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77F" w:rsidRDefault="0089671D">
      <w:pPr>
        <w:spacing w:before="17"/>
        <w:ind w:left="841" w:right="116" w:hanging="1"/>
        <w:jc w:val="center"/>
        <w:rPr>
          <w:b/>
          <w:sz w:val="44"/>
        </w:rPr>
      </w:pPr>
      <w:r>
        <w:rPr>
          <w:b/>
          <w:sz w:val="44"/>
        </w:rPr>
        <w:t>EVALUATING ENERGY SAVING SCHOOL FEATURES AND STUDENTS’ COMFORT IN CENTRAL PRISTINA STATE SCHOOLS</w:t>
      </w:r>
    </w:p>
    <w:p w:rsidR="00F3177F" w:rsidRDefault="00F3177F">
      <w:pPr>
        <w:pStyle w:val="BodyText"/>
        <w:rPr>
          <w:b/>
          <w:sz w:val="44"/>
        </w:rPr>
      </w:pPr>
    </w:p>
    <w:p w:rsidR="00F3177F" w:rsidRDefault="00F3177F">
      <w:pPr>
        <w:pStyle w:val="BodyText"/>
        <w:spacing w:before="2"/>
        <w:rPr>
          <w:b/>
          <w:sz w:val="62"/>
        </w:rPr>
      </w:pPr>
    </w:p>
    <w:p w:rsidR="00F3177F" w:rsidRDefault="0089671D">
      <w:pPr>
        <w:ind w:left="1436" w:right="709"/>
        <w:jc w:val="center"/>
        <w:rPr>
          <w:b/>
          <w:sz w:val="40"/>
        </w:rPr>
      </w:pPr>
      <w:proofErr w:type="gramStart"/>
      <w:r>
        <w:rPr>
          <w:b/>
          <w:sz w:val="40"/>
        </w:rPr>
        <w:t>by</w:t>
      </w:r>
      <w:proofErr w:type="gramEnd"/>
    </w:p>
    <w:p w:rsidR="00F3177F" w:rsidRDefault="00F3177F">
      <w:pPr>
        <w:pStyle w:val="BodyText"/>
        <w:spacing w:before="10"/>
        <w:rPr>
          <w:b/>
          <w:sz w:val="39"/>
        </w:rPr>
      </w:pPr>
    </w:p>
    <w:p w:rsidR="00F3177F" w:rsidRDefault="0089671D">
      <w:pPr>
        <w:ind w:left="2598"/>
        <w:rPr>
          <w:b/>
          <w:sz w:val="40"/>
        </w:rPr>
      </w:pPr>
      <w:r>
        <w:rPr>
          <w:b/>
          <w:sz w:val="40"/>
        </w:rPr>
        <w:t>Ibrahim Can Korkut, MA</w:t>
      </w:r>
    </w:p>
    <w:p w:rsidR="00F3177F" w:rsidRDefault="00F3177F">
      <w:pPr>
        <w:pStyle w:val="BodyText"/>
        <w:rPr>
          <w:b/>
          <w:sz w:val="40"/>
        </w:rPr>
      </w:pPr>
    </w:p>
    <w:p w:rsidR="00F3177F" w:rsidRDefault="00F3177F">
      <w:pPr>
        <w:pStyle w:val="BodyText"/>
        <w:rPr>
          <w:b/>
          <w:sz w:val="40"/>
        </w:rPr>
      </w:pPr>
    </w:p>
    <w:p w:rsidR="00F3177F" w:rsidRDefault="00F3177F">
      <w:pPr>
        <w:pStyle w:val="BodyText"/>
        <w:rPr>
          <w:b/>
          <w:sz w:val="40"/>
        </w:rPr>
      </w:pPr>
    </w:p>
    <w:p w:rsidR="00F3177F" w:rsidRDefault="00F3177F">
      <w:pPr>
        <w:pStyle w:val="BodyText"/>
        <w:rPr>
          <w:b/>
          <w:sz w:val="40"/>
        </w:rPr>
      </w:pPr>
    </w:p>
    <w:p w:rsidR="00F3177F" w:rsidRDefault="00F3177F">
      <w:pPr>
        <w:pStyle w:val="BodyText"/>
        <w:rPr>
          <w:b/>
          <w:sz w:val="40"/>
        </w:rPr>
      </w:pPr>
    </w:p>
    <w:p w:rsidR="00F3177F" w:rsidRDefault="00F3177F">
      <w:pPr>
        <w:pStyle w:val="BodyText"/>
        <w:rPr>
          <w:b/>
          <w:sz w:val="40"/>
        </w:rPr>
      </w:pPr>
    </w:p>
    <w:p w:rsidR="00F3177F" w:rsidRDefault="0089671D">
      <w:pPr>
        <w:spacing w:before="277"/>
        <w:ind w:left="1436" w:right="711"/>
        <w:jc w:val="center"/>
        <w:rPr>
          <w:b/>
          <w:sz w:val="40"/>
        </w:rPr>
      </w:pPr>
      <w:r>
        <w:rPr>
          <w:b/>
          <w:sz w:val="40"/>
        </w:rPr>
        <w:t>Thesis submitted for the degree of PhD Department of Business Administration</w:t>
      </w:r>
    </w:p>
    <w:p w:rsidR="00F3177F" w:rsidRDefault="00F3177F">
      <w:pPr>
        <w:pStyle w:val="BodyText"/>
        <w:rPr>
          <w:b/>
          <w:sz w:val="40"/>
        </w:rPr>
      </w:pPr>
    </w:p>
    <w:p w:rsidR="00F3177F" w:rsidRDefault="00F3177F">
      <w:pPr>
        <w:pStyle w:val="BodyText"/>
        <w:rPr>
          <w:b/>
          <w:sz w:val="40"/>
        </w:rPr>
      </w:pPr>
    </w:p>
    <w:p w:rsidR="00F3177F" w:rsidRDefault="00F3177F">
      <w:pPr>
        <w:pStyle w:val="BodyText"/>
        <w:rPr>
          <w:b/>
          <w:sz w:val="52"/>
        </w:rPr>
      </w:pPr>
    </w:p>
    <w:p w:rsidR="00F3177F" w:rsidRDefault="0089671D">
      <w:pPr>
        <w:ind w:left="1435" w:right="711"/>
        <w:jc w:val="center"/>
        <w:rPr>
          <w:b/>
          <w:sz w:val="48"/>
        </w:rPr>
      </w:pPr>
      <w:r>
        <w:rPr>
          <w:b/>
          <w:sz w:val="48"/>
        </w:rPr>
        <w:t>Epoka University</w:t>
      </w:r>
    </w:p>
    <w:p w:rsidR="00F3177F" w:rsidRDefault="00F3177F">
      <w:pPr>
        <w:pStyle w:val="BodyText"/>
        <w:spacing w:before="10"/>
        <w:rPr>
          <w:b/>
          <w:sz w:val="39"/>
        </w:rPr>
      </w:pPr>
    </w:p>
    <w:p w:rsidR="00F3177F" w:rsidRDefault="0089671D">
      <w:pPr>
        <w:ind w:left="1436" w:right="711"/>
        <w:jc w:val="center"/>
        <w:rPr>
          <w:b/>
          <w:sz w:val="40"/>
        </w:rPr>
      </w:pPr>
      <w:r>
        <w:rPr>
          <w:b/>
          <w:sz w:val="40"/>
        </w:rPr>
        <w:t>J</w:t>
      </w:r>
      <w:r w:rsidR="009E3F2C">
        <w:rPr>
          <w:b/>
          <w:sz w:val="40"/>
        </w:rPr>
        <w:t>une</w:t>
      </w:r>
      <w:r>
        <w:rPr>
          <w:b/>
          <w:sz w:val="40"/>
        </w:rPr>
        <w:t>, 2017</w:t>
      </w:r>
    </w:p>
    <w:p w:rsidR="00F3177F" w:rsidRDefault="00F3177F">
      <w:pPr>
        <w:jc w:val="center"/>
        <w:rPr>
          <w:sz w:val="40"/>
        </w:rPr>
        <w:sectPr w:rsidR="00F3177F">
          <w:type w:val="continuous"/>
          <w:pgSz w:w="12240" w:h="15840"/>
          <w:pgMar w:top="1420" w:right="1580" w:bottom="280" w:left="1720" w:header="720" w:footer="720" w:gutter="0"/>
          <w:cols w:space="720"/>
        </w:sectPr>
      </w:pPr>
    </w:p>
    <w:p w:rsidR="00F3177F" w:rsidRDefault="0089671D">
      <w:pPr>
        <w:pStyle w:val="Heading1"/>
        <w:spacing w:before="35"/>
        <w:ind w:right="3966"/>
      </w:pPr>
      <w:bookmarkStart w:id="0" w:name="_TOC_250031"/>
      <w:bookmarkEnd w:id="0"/>
      <w:r>
        <w:lastRenderedPageBreak/>
        <w:t>Approval Page</w:t>
      </w:r>
    </w:p>
    <w:p w:rsidR="00F3177F" w:rsidRDefault="00F3177F">
      <w:pPr>
        <w:pStyle w:val="BodyText"/>
        <w:spacing w:before="3"/>
        <w:rPr>
          <w:b/>
          <w:sz w:val="28"/>
        </w:rPr>
      </w:pPr>
    </w:p>
    <w:p w:rsidR="00F3177F" w:rsidRDefault="0089671D">
      <w:pPr>
        <w:pStyle w:val="BodyText"/>
        <w:tabs>
          <w:tab w:val="left" w:pos="2221"/>
          <w:tab w:val="left" w:pos="2761"/>
        </w:tabs>
        <w:spacing w:line="357" w:lineRule="auto"/>
        <w:ind w:left="2761" w:right="926" w:hanging="2178"/>
      </w:pPr>
      <w:r>
        <w:rPr>
          <w:b/>
        </w:rPr>
        <w:t>Thesis</w:t>
      </w:r>
      <w:r>
        <w:rPr>
          <w:b/>
          <w:spacing w:val="-1"/>
        </w:rPr>
        <w:t xml:space="preserve"> </w:t>
      </w:r>
      <w:r>
        <w:rPr>
          <w:b/>
        </w:rPr>
        <w:t>Title</w:t>
      </w:r>
      <w:r>
        <w:rPr>
          <w:b/>
        </w:rPr>
        <w:tab/>
      </w:r>
      <w:r>
        <w:t>:</w:t>
      </w:r>
      <w:r>
        <w:tab/>
        <w:t>Evaluating Energy Saving School Features</w:t>
      </w:r>
      <w:r>
        <w:rPr>
          <w:spacing w:val="-10"/>
        </w:rPr>
        <w:t xml:space="preserve"> </w:t>
      </w:r>
      <w:r>
        <w:t>and</w:t>
      </w:r>
      <w:r>
        <w:rPr>
          <w:spacing w:val="-1"/>
        </w:rPr>
        <w:t xml:space="preserve"> </w:t>
      </w:r>
      <w:r>
        <w:t>Students’ Comfort in Central Pristina State</w:t>
      </w:r>
      <w:r>
        <w:rPr>
          <w:spacing w:val="-8"/>
        </w:rPr>
        <w:t xml:space="preserve"> </w:t>
      </w:r>
      <w:r>
        <w:t>Schools</w:t>
      </w:r>
    </w:p>
    <w:p w:rsidR="00F3177F" w:rsidRDefault="0089671D">
      <w:pPr>
        <w:tabs>
          <w:tab w:val="left" w:pos="2221"/>
          <w:tab w:val="left" w:pos="2761"/>
        </w:tabs>
        <w:spacing w:before="9" w:line="480" w:lineRule="auto"/>
        <w:ind w:left="584" w:right="3966"/>
        <w:rPr>
          <w:sz w:val="24"/>
        </w:rPr>
      </w:pPr>
      <w:r>
        <w:rPr>
          <w:b/>
          <w:sz w:val="24"/>
        </w:rPr>
        <w:t>Author</w:t>
      </w:r>
      <w:r>
        <w:rPr>
          <w:b/>
          <w:sz w:val="24"/>
        </w:rPr>
        <w:tab/>
      </w:r>
      <w:r>
        <w:rPr>
          <w:sz w:val="24"/>
        </w:rPr>
        <w:t>:</w:t>
      </w:r>
      <w:r>
        <w:rPr>
          <w:sz w:val="24"/>
        </w:rPr>
        <w:tab/>
        <w:t>Ibrahim Can</w:t>
      </w:r>
      <w:r>
        <w:rPr>
          <w:spacing w:val="-5"/>
          <w:sz w:val="24"/>
        </w:rPr>
        <w:t xml:space="preserve"> </w:t>
      </w:r>
      <w:r>
        <w:rPr>
          <w:sz w:val="24"/>
        </w:rPr>
        <w:t>Korkut,</w:t>
      </w:r>
      <w:r>
        <w:rPr>
          <w:spacing w:val="-3"/>
          <w:sz w:val="24"/>
        </w:rPr>
        <w:t xml:space="preserve"> </w:t>
      </w:r>
      <w:r>
        <w:rPr>
          <w:sz w:val="24"/>
        </w:rPr>
        <w:t>MA</w:t>
      </w:r>
      <w:r>
        <w:rPr>
          <w:w w:val="99"/>
          <w:sz w:val="24"/>
        </w:rPr>
        <w:t xml:space="preserve"> </w:t>
      </w:r>
      <w:r>
        <w:rPr>
          <w:b/>
          <w:sz w:val="24"/>
        </w:rPr>
        <w:t>Qualification</w:t>
      </w:r>
      <w:r>
        <w:rPr>
          <w:b/>
          <w:sz w:val="24"/>
        </w:rPr>
        <w:tab/>
      </w:r>
      <w:r>
        <w:rPr>
          <w:sz w:val="24"/>
        </w:rPr>
        <w:t>:</w:t>
      </w:r>
      <w:r>
        <w:rPr>
          <w:sz w:val="24"/>
        </w:rPr>
        <w:tab/>
        <w:t>Doctor</w:t>
      </w:r>
      <w:r>
        <w:rPr>
          <w:spacing w:val="-2"/>
          <w:sz w:val="24"/>
        </w:rPr>
        <w:t xml:space="preserve"> </w:t>
      </w:r>
      <w:r>
        <w:rPr>
          <w:sz w:val="24"/>
        </w:rPr>
        <w:t>of</w:t>
      </w:r>
      <w:r>
        <w:rPr>
          <w:spacing w:val="-2"/>
          <w:sz w:val="24"/>
        </w:rPr>
        <w:t xml:space="preserve"> </w:t>
      </w:r>
      <w:r>
        <w:rPr>
          <w:sz w:val="24"/>
        </w:rPr>
        <w:t xml:space="preserve">Philosophy </w:t>
      </w:r>
      <w:r>
        <w:rPr>
          <w:b/>
          <w:sz w:val="24"/>
        </w:rPr>
        <w:t>Program</w:t>
      </w:r>
      <w:r>
        <w:rPr>
          <w:b/>
          <w:sz w:val="24"/>
        </w:rPr>
        <w:tab/>
      </w:r>
      <w:r>
        <w:rPr>
          <w:sz w:val="24"/>
        </w:rPr>
        <w:t>:</w:t>
      </w:r>
      <w:r>
        <w:rPr>
          <w:sz w:val="24"/>
        </w:rPr>
        <w:tab/>
        <w:t>Business</w:t>
      </w:r>
      <w:r>
        <w:rPr>
          <w:spacing w:val="-3"/>
          <w:sz w:val="24"/>
        </w:rPr>
        <w:t xml:space="preserve"> </w:t>
      </w:r>
      <w:r>
        <w:rPr>
          <w:sz w:val="24"/>
        </w:rPr>
        <w:t xml:space="preserve">Administration </w:t>
      </w:r>
      <w:r>
        <w:rPr>
          <w:b/>
          <w:sz w:val="24"/>
        </w:rPr>
        <w:t>Department</w:t>
      </w:r>
      <w:r>
        <w:rPr>
          <w:b/>
          <w:sz w:val="24"/>
        </w:rPr>
        <w:tab/>
      </w:r>
      <w:r>
        <w:rPr>
          <w:sz w:val="24"/>
        </w:rPr>
        <w:t>:</w:t>
      </w:r>
      <w:r>
        <w:rPr>
          <w:sz w:val="24"/>
        </w:rPr>
        <w:tab/>
        <w:t>Business</w:t>
      </w:r>
      <w:r>
        <w:rPr>
          <w:spacing w:val="-2"/>
          <w:sz w:val="24"/>
        </w:rPr>
        <w:t xml:space="preserve"> </w:t>
      </w:r>
      <w:r>
        <w:rPr>
          <w:sz w:val="24"/>
        </w:rPr>
        <w:t>Administration</w:t>
      </w:r>
    </w:p>
    <w:p w:rsidR="00F3177F" w:rsidRDefault="0089671D">
      <w:pPr>
        <w:pStyle w:val="BodyText"/>
        <w:tabs>
          <w:tab w:val="left" w:pos="2221"/>
          <w:tab w:val="left" w:pos="2761"/>
        </w:tabs>
        <w:spacing w:before="11"/>
        <w:ind w:left="584" w:right="151"/>
      </w:pPr>
      <w:r>
        <w:rPr>
          <w:b/>
        </w:rPr>
        <w:t>Faculty</w:t>
      </w:r>
      <w:r>
        <w:rPr>
          <w:b/>
        </w:rPr>
        <w:tab/>
      </w:r>
      <w:r>
        <w:t>:</w:t>
      </w:r>
      <w:r>
        <w:tab/>
        <w:t>Economics and Administrative</w:t>
      </w:r>
      <w:r>
        <w:rPr>
          <w:spacing w:val="-9"/>
        </w:rPr>
        <w:t xml:space="preserve"> </w:t>
      </w:r>
      <w:r>
        <w:t>Sciences</w:t>
      </w:r>
    </w:p>
    <w:p w:rsidR="00F3177F" w:rsidRDefault="00F3177F">
      <w:pPr>
        <w:pStyle w:val="BodyText"/>
      </w:pPr>
    </w:p>
    <w:p w:rsidR="00F3177F" w:rsidRDefault="0089671D">
      <w:pPr>
        <w:tabs>
          <w:tab w:val="left" w:pos="2221"/>
          <w:tab w:val="left" w:pos="2761"/>
        </w:tabs>
        <w:ind w:left="584" w:right="3966"/>
        <w:rPr>
          <w:sz w:val="24"/>
        </w:rPr>
      </w:pPr>
      <w:r>
        <w:rPr>
          <w:b/>
          <w:sz w:val="24"/>
        </w:rPr>
        <w:t>Thesis</w:t>
      </w:r>
      <w:r>
        <w:rPr>
          <w:b/>
          <w:spacing w:val="-1"/>
          <w:sz w:val="24"/>
        </w:rPr>
        <w:t xml:space="preserve"> </w:t>
      </w:r>
      <w:r>
        <w:rPr>
          <w:b/>
          <w:sz w:val="24"/>
        </w:rPr>
        <w:t>Date</w:t>
      </w:r>
      <w:r>
        <w:rPr>
          <w:b/>
          <w:sz w:val="24"/>
        </w:rPr>
        <w:tab/>
      </w:r>
      <w:r>
        <w:rPr>
          <w:sz w:val="24"/>
        </w:rPr>
        <w:t>:</w:t>
      </w:r>
      <w:r>
        <w:rPr>
          <w:sz w:val="24"/>
        </w:rPr>
        <w:tab/>
        <w:t>J</w:t>
      </w:r>
      <w:r w:rsidR="009E3F2C">
        <w:rPr>
          <w:sz w:val="24"/>
        </w:rPr>
        <w:t>une</w:t>
      </w:r>
      <w:r>
        <w:rPr>
          <w:sz w:val="24"/>
        </w:rPr>
        <w:t>,</w:t>
      </w:r>
      <w:r>
        <w:rPr>
          <w:spacing w:val="-5"/>
          <w:sz w:val="24"/>
        </w:rPr>
        <w:t xml:space="preserve"> </w:t>
      </w:r>
      <w:r>
        <w:rPr>
          <w:sz w:val="24"/>
        </w:rPr>
        <w:t>2017</w:t>
      </w: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spacing w:before="2"/>
        <w:rPr>
          <w:sz w:val="19"/>
        </w:rPr>
      </w:pPr>
    </w:p>
    <w:p w:rsidR="00F3177F" w:rsidRDefault="0089671D">
      <w:pPr>
        <w:pStyle w:val="BodyText"/>
        <w:spacing w:line="360" w:lineRule="auto"/>
        <w:ind w:left="584" w:right="151"/>
      </w:pPr>
      <w:r>
        <w:t>I certify that this thesis satisfies all the legal requirements as a thesis for the degree of Doctor of Philosophy (PhD).</w:t>
      </w:r>
    </w:p>
    <w:p w:rsidR="00F3177F" w:rsidRDefault="00F3177F">
      <w:pPr>
        <w:pStyle w:val="BodyText"/>
      </w:pPr>
    </w:p>
    <w:p w:rsidR="00F3177F" w:rsidRDefault="00F3177F">
      <w:pPr>
        <w:pStyle w:val="BodyText"/>
        <w:spacing w:before="3"/>
        <w:rPr>
          <w:sz w:val="33"/>
        </w:rPr>
      </w:pPr>
    </w:p>
    <w:p w:rsidR="00F3177F" w:rsidRDefault="0089671D">
      <w:pPr>
        <w:pStyle w:val="BodyText"/>
        <w:ind w:left="5605" w:right="755"/>
        <w:jc w:val="center"/>
      </w:pPr>
      <w:r>
        <w:t>Assist. Prof. Dr. Xhimi Hysa</w:t>
      </w:r>
    </w:p>
    <w:p w:rsidR="00F3177F" w:rsidRDefault="00F3177F">
      <w:pPr>
        <w:pStyle w:val="BodyText"/>
        <w:spacing w:before="11"/>
        <w:rPr>
          <w:sz w:val="22"/>
        </w:rPr>
      </w:pPr>
    </w:p>
    <w:p w:rsidR="00F3177F" w:rsidRDefault="0089671D">
      <w:pPr>
        <w:pStyle w:val="Heading2"/>
        <w:ind w:left="5605" w:right="590" w:firstLine="0"/>
        <w:jc w:val="center"/>
      </w:pPr>
      <w:r>
        <w:t>Head of Department</w:t>
      </w:r>
    </w:p>
    <w:p w:rsidR="00F3177F" w:rsidRDefault="00F3177F">
      <w:pPr>
        <w:pStyle w:val="BodyText"/>
        <w:rPr>
          <w:b/>
        </w:rPr>
      </w:pPr>
    </w:p>
    <w:p w:rsidR="00F3177F" w:rsidRDefault="00F3177F">
      <w:pPr>
        <w:pStyle w:val="BodyText"/>
        <w:rPr>
          <w:b/>
        </w:rPr>
      </w:pPr>
    </w:p>
    <w:p w:rsidR="00F3177F" w:rsidRDefault="00F3177F">
      <w:pPr>
        <w:pStyle w:val="BodyText"/>
        <w:rPr>
          <w:b/>
        </w:rPr>
      </w:pPr>
    </w:p>
    <w:p w:rsidR="00F3177F" w:rsidRDefault="00F3177F">
      <w:pPr>
        <w:pStyle w:val="BodyText"/>
        <w:rPr>
          <w:b/>
        </w:rPr>
      </w:pPr>
    </w:p>
    <w:p w:rsidR="00F3177F" w:rsidRDefault="00F3177F">
      <w:pPr>
        <w:pStyle w:val="BodyText"/>
        <w:spacing w:before="9"/>
        <w:rPr>
          <w:b/>
          <w:sz w:val="18"/>
        </w:rPr>
      </w:pPr>
    </w:p>
    <w:p w:rsidR="00F3177F" w:rsidRDefault="0089671D">
      <w:pPr>
        <w:pStyle w:val="BodyText"/>
        <w:spacing w:line="362" w:lineRule="auto"/>
        <w:ind w:left="584" w:right="151"/>
      </w:pPr>
      <w:r>
        <w:t xml:space="preserve">I certify that I have read this study that is fully adequate, in scope and quality, as </w:t>
      </w:r>
      <w:proofErr w:type="gramStart"/>
      <w:r>
        <w:t>a  thesis</w:t>
      </w:r>
      <w:proofErr w:type="gramEnd"/>
      <w:r>
        <w:t xml:space="preserve"> for the degree of Doctor of Philosophy</w:t>
      </w:r>
      <w:r>
        <w:rPr>
          <w:spacing w:val="-9"/>
        </w:rPr>
        <w:t xml:space="preserve"> </w:t>
      </w:r>
      <w:r>
        <w:t>(PhD).</w:t>
      </w:r>
    </w:p>
    <w:p w:rsidR="00F3177F" w:rsidRDefault="00F3177F">
      <w:pPr>
        <w:pStyle w:val="BodyText"/>
      </w:pPr>
    </w:p>
    <w:p w:rsidR="00F3177F" w:rsidRDefault="00F3177F">
      <w:pPr>
        <w:pStyle w:val="BodyText"/>
        <w:spacing w:before="10"/>
        <w:rPr>
          <w:sz w:val="32"/>
        </w:rPr>
      </w:pPr>
    </w:p>
    <w:p w:rsidR="00F3177F" w:rsidRDefault="0089671D">
      <w:pPr>
        <w:pStyle w:val="BodyText"/>
        <w:ind w:left="5449" w:right="755"/>
        <w:jc w:val="center"/>
      </w:pPr>
      <w:r>
        <w:t>Prof. Dr. Shyqyri Llaci</w:t>
      </w:r>
    </w:p>
    <w:p w:rsidR="00F3177F" w:rsidRDefault="00F3177F">
      <w:pPr>
        <w:pStyle w:val="BodyText"/>
        <w:spacing w:before="11"/>
        <w:rPr>
          <w:sz w:val="22"/>
        </w:rPr>
      </w:pPr>
    </w:p>
    <w:p w:rsidR="00F3177F" w:rsidRDefault="0089671D">
      <w:pPr>
        <w:pStyle w:val="Heading2"/>
        <w:ind w:left="0" w:right="1712" w:firstLine="0"/>
        <w:jc w:val="right"/>
      </w:pPr>
      <w:r>
        <w:t>Supervisor</w:t>
      </w:r>
    </w:p>
    <w:p w:rsidR="00F3177F" w:rsidRDefault="00F3177F">
      <w:pPr>
        <w:jc w:val="right"/>
        <w:sectPr w:rsidR="00F3177F">
          <w:footerReference w:type="default" r:id="rId7"/>
          <w:pgSz w:w="12240" w:h="15840"/>
          <w:pgMar w:top="1400" w:right="1340" w:bottom="1900" w:left="1720" w:header="0" w:footer="1720" w:gutter="0"/>
          <w:pgNumType w:start="2"/>
          <w:cols w:space="720"/>
        </w:sectPr>
      </w:pPr>
    </w:p>
    <w:p w:rsidR="00F3177F" w:rsidRDefault="0089671D">
      <w:pPr>
        <w:pStyle w:val="Heading1"/>
        <w:ind w:right="544"/>
      </w:pPr>
      <w:bookmarkStart w:id="1" w:name="_TOC_250030"/>
      <w:bookmarkEnd w:id="1"/>
      <w:r>
        <w:lastRenderedPageBreak/>
        <w:t>Exam Board of Thesis</w:t>
      </w:r>
    </w:p>
    <w:p w:rsidR="00F3177F" w:rsidRDefault="00F3177F">
      <w:pPr>
        <w:pStyle w:val="BodyText"/>
        <w:rPr>
          <w:b/>
          <w:sz w:val="28"/>
        </w:rPr>
      </w:pPr>
    </w:p>
    <w:p w:rsidR="00F3177F" w:rsidRDefault="00F3177F">
      <w:pPr>
        <w:pStyle w:val="BodyText"/>
        <w:spacing w:before="7"/>
        <w:rPr>
          <w:b/>
          <w:sz w:val="32"/>
        </w:rPr>
      </w:pPr>
    </w:p>
    <w:p w:rsidR="00F3177F" w:rsidRDefault="0089671D">
      <w:pPr>
        <w:pStyle w:val="BodyText"/>
        <w:tabs>
          <w:tab w:val="left" w:pos="2221"/>
          <w:tab w:val="left" w:pos="2761"/>
        </w:tabs>
        <w:spacing w:line="355" w:lineRule="auto"/>
        <w:ind w:left="2761" w:right="544" w:hanging="2178"/>
      </w:pPr>
      <w:r>
        <w:rPr>
          <w:b/>
        </w:rPr>
        <w:t>Thesis</w:t>
      </w:r>
      <w:r>
        <w:rPr>
          <w:b/>
          <w:spacing w:val="-1"/>
        </w:rPr>
        <w:t xml:space="preserve"> </w:t>
      </w:r>
      <w:r>
        <w:rPr>
          <w:b/>
        </w:rPr>
        <w:t>Title</w:t>
      </w:r>
      <w:r>
        <w:rPr>
          <w:b/>
        </w:rPr>
        <w:tab/>
      </w:r>
      <w:r>
        <w:t>:</w:t>
      </w:r>
      <w:r>
        <w:tab/>
        <w:t>Evaluating Energy Saving School Features</w:t>
      </w:r>
      <w:r>
        <w:rPr>
          <w:spacing w:val="-10"/>
        </w:rPr>
        <w:t xml:space="preserve"> </w:t>
      </w:r>
      <w:r>
        <w:t>and</w:t>
      </w:r>
      <w:r>
        <w:rPr>
          <w:spacing w:val="-1"/>
        </w:rPr>
        <w:t xml:space="preserve"> </w:t>
      </w:r>
      <w:r>
        <w:t>Students’ Comfort in Central Pristina State</w:t>
      </w:r>
      <w:r>
        <w:rPr>
          <w:spacing w:val="-8"/>
        </w:rPr>
        <w:t xml:space="preserve"> </w:t>
      </w:r>
      <w:r>
        <w:t>Schools</w:t>
      </w:r>
    </w:p>
    <w:p w:rsidR="00F3177F" w:rsidRDefault="0089671D">
      <w:pPr>
        <w:tabs>
          <w:tab w:val="left" w:pos="2221"/>
          <w:tab w:val="left" w:pos="2761"/>
        </w:tabs>
        <w:spacing w:before="14"/>
        <w:ind w:left="584" w:right="544"/>
        <w:rPr>
          <w:sz w:val="24"/>
        </w:rPr>
      </w:pPr>
      <w:r>
        <w:rPr>
          <w:b/>
          <w:sz w:val="24"/>
        </w:rPr>
        <w:t>Author</w:t>
      </w:r>
      <w:r>
        <w:rPr>
          <w:b/>
          <w:sz w:val="24"/>
        </w:rPr>
        <w:tab/>
      </w:r>
      <w:r>
        <w:rPr>
          <w:sz w:val="24"/>
        </w:rPr>
        <w:t>:</w:t>
      </w:r>
      <w:r>
        <w:rPr>
          <w:sz w:val="24"/>
        </w:rPr>
        <w:tab/>
        <w:t>Ibrahim Can Korkut,</w:t>
      </w:r>
      <w:r>
        <w:rPr>
          <w:spacing w:val="-8"/>
          <w:sz w:val="24"/>
        </w:rPr>
        <w:t xml:space="preserve"> </w:t>
      </w:r>
      <w:r>
        <w:rPr>
          <w:sz w:val="24"/>
        </w:rPr>
        <w:t>MA</w:t>
      </w:r>
    </w:p>
    <w:p w:rsidR="00F3177F" w:rsidRDefault="00F3177F">
      <w:pPr>
        <w:pStyle w:val="BodyText"/>
        <w:spacing w:before="6"/>
        <w:rPr>
          <w:sz w:val="17"/>
        </w:rPr>
      </w:pPr>
    </w:p>
    <w:p w:rsidR="00F3177F" w:rsidRDefault="00F3177F">
      <w:pPr>
        <w:rPr>
          <w:sz w:val="17"/>
        </w:rPr>
        <w:sectPr w:rsidR="00F3177F">
          <w:pgSz w:w="12240" w:h="15840"/>
          <w:pgMar w:top="1400" w:right="1720" w:bottom="1900" w:left="1720" w:header="0" w:footer="1720" w:gutter="0"/>
          <w:cols w:space="720"/>
        </w:sectPr>
      </w:pPr>
    </w:p>
    <w:p w:rsidR="00F3177F" w:rsidRDefault="0089671D">
      <w:pPr>
        <w:pStyle w:val="Heading2"/>
        <w:tabs>
          <w:tab w:val="left" w:pos="2221"/>
        </w:tabs>
        <w:spacing w:before="74"/>
        <w:ind w:left="584" w:firstLine="0"/>
        <w:jc w:val="left"/>
        <w:rPr>
          <w:b w:val="0"/>
        </w:rPr>
      </w:pPr>
      <w:r>
        <w:lastRenderedPageBreak/>
        <w:t>Qualification</w:t>
      </w:r>
      <w:r>
        <w:tab/>
      </w:r>
      <w:r>
        <w:rPr>
          <w:b w:val="0"/>
        </w:rPr>
        <w:t>:</w:t>
      </w:r>
    </w:p>
    <w:p w:rsidR="00F3177F" w:rsidRDefault="00F3177F">
      <w:pPr>
        <w:pStyle w:val="BodyText"/>
      </w:pPr>
    </w:p>
    <w:p w:rsidR="00F3177F" w:rsidRDefault="0089671D">
      <w:pPr>
        <w:tabs>
          <w:tab w:val="left" w:pos="2221"/>
        </w:tabs>
        <w:ind w:left="584"/>
        <w:rPr>
          <w:sz w:val="24"/>
        </w:rPr>
      </w:pPr>
      <w:r>
        <w:rPr>
          <w:b/>
          <w:sz w:val="24"/>
        </w:rPr>
        <w:t>Date</w:t>
      </w:r>
      <w:r>
        <w:rPr>
          <w:b/>
          <w:sz w:val="24"/>
        </w:rPr>
        <w:tab/>
      </w:r>
      <w:r>
        <w:rPr>
          <w:sz w:val="24"/>
        </w:rPr>
        <w:t>:</w:t>
      </w:r>
    </w:p>
    <w:p w:rsidR="00F3177F" w:rsidRDefault="0089671D">
      <w:pPr>
        <w:pStyle w:val="BodyText"/>
        <w:spacing w:before="69" w:line="480" w:lineRule="auto"/>
        <w:ind w:left="433" w:right="3951"/>
      </w:pPr>
      <w:r>
        <w:br w:type="column"/>
      </w:r>
      <w:r>
        <w:lastRenderedPageBreak/>
        <w:t>Doctor of Philosophy J</w:t>
      </w:r>
      <w:r w:rsidR="009E3F2C">
        <w:t>une</w:t>
      </w:r>
      <w:r>
        <w:t>, 2017</w:t>
      </w:r>
    </w:p>
    <w:p w:rsidR="00F3177F" w:rsidRDefault="00F3177F">
      <w:pPr>
        <w:spacing w:line="480" w:lineRule="auto"/>
        <w:sectPr w:rsidR="00F3177F">
          <w:type w:val="continuous"/>
          <w:pgSz w:w="12240" w:h="15840"/>
          <w:pgMar w:top="1420" w:right="1720" w:bottom="280" w:left="1720" w:header="720" w:footer="720" w:gutter="0"/>
          <w:cols w:num="2" w:space="720" w:equalWidth="0">
            <w:col w:w="2289" w:space="40"/>
            <w:col w:w="6471"/>
          </w:cols>
        </w:sect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spacing w:before="9"/>
        <w:rPr>
          <w:sz w:val="21"/>
        </w:rPr>
      </w:pPr>
    </w:p>
    <w:p w:rsidR="00F3177F" w:rsidRDefault="0089671D">
      <w:pPr>
        <w:pStyle w:val="Heading2"/>
        <w:spacing w:before="69"/>
        <w:ind w:left="584" w:right="544" w:firstLine="0"/>
        <w:jc w:val="left"/>
      </w:pPr>
      <w:r>
        <w:t>Members</w:t>
      </w:r>
    </w:p>
    <w:p w:rsidR="00F3177F" w:rsidRDefault="00F3177F">
      <w:pPr>
        <w:pStyle w:val="BodyText"/>
        <w:spacing w:before="6"/>
        <w:rPr>
          <w:b/>
          <w:sz w:val="23"/>
        </w:rPr>
      </w:pPr>
    </w:p>
    <w:p w:rsidR="00F3177F" w:rsidRDefault="0089671D">
      <w:pPr>
        <w:pStyle w:val="BodyText"/>
        <w:tabs>
          <w:tab w:val="left" w:pos="5834"/>
        </w:tabs>
        <w:ind w:left="584" w:right="544"/>
      </w:pPr>
      <w:r>
        <w:t>(Title, Name</w:t>
      </w:r>
      <w:r>
        <w:rPr>
          <w:spacing w:val="-3"/>
        </w:rPr>
        <w:t xml:space="preserve"> </w:t>
      </w:r>
      <w:r>
        <w:t>and</w:t>
      </w:r>
      <w:r>
        <w:rPr>
          <w:spacing w:val="-2"/>
        </w:rPr>
        <w:t xml:space="preserve"> </w:t>
      </w:r>
      <w:r>
        <w:t>Signature)</w:t>
      </w:r>
      <w:r>
        <w:tab/>
        <w:t>……………………….</w:t>
      </w:r>
    </w:p>
    <w:p w:rsidR="00F3177F" w:rsidRDefault="00F3177F">
      <w:pPr>
        <w:pStyle w:val="BodyText"/>
      </w:pPr>
    </w:p>
    <w:p w:rsidR="00F3177F" w:rsidRDefault="00F3177F">
      <w:pPr>
        <w:pStyle w:val="BodyText"/>
      </w:pPr>
    </w:p>
    <w:p w:rsidR="00F3177F" w:rsidRDefault="00F3177F">
      <w:pPr>
        <w:pStyle w:val="BodyText"/>
        <w:spacing w:before="6"/>
        <w:rPr>
          <w:sz w:val="22"/>
        </w:rPr>
      </w:pPr>
    </w:p>
    <w:p w:rsidR="00F3177F" w:rsidRDefault="0089671D">
      <w:pPr>
        <w:pStyle w:val="BodyText"/>
        <w:tabs>
          <w:tab w:val="left" w:pos="5855"/>
        </w:tabs>
        <w:ind w:left="584" w:right="544"/>
      </w:pPr>
      <w:r>
        <w:t>(Title, Name</w:t>
      </w:r>
      <w:r>
        <w:rPr>
          <w:spacing w:val="-3"/>
        </w:rPr>
        <w:t xml:space="preserve"> </w:t>
      </w:r>
      <w:r>
        <w:t>and</w:t>
      </w:r>
      <w:r>
        <w:rPr>
          <w:spacing w:val="-2"/>
        </w:rPr>
        <w:t xml:space="preserve"> </w:t>
      </w:r>
      <w:r>
        <w:t>Signature)</w:t>
      </w:r>
      <w:r>
        <w:tab/>
        <w:t>……………………….</w:t>
      </w:r>
    </w:p>
    <w:p w:rsidR="00F3177F" w:rsidRDefault="00F3177F">
      <w:pPr>
        <w:pStyle w:val="BodyText"/>
      </w:pPr>
    </w:p>
    <w:p w:rsidR="00F3177F" w:rsidRDefault="00F3177F">
      <w:pPr>
        <w:pStyle w:val="BodyText"/>
        <w:spacing w:before="5"/>
        <w:rPr>
          <w:sz w:val="34"/>
        </w:rPr>
      </w:pPr>
    </w:p>
    <w:p w:rsidR="00F3177F" w:rsidRDefault="0089671D">
      <w:pPr>
        <w:pStyle w:val="BodyText"/>
        <w:tabs>
          <w:tab w:val="left" w:pos="5858"/>
        </w:tabs>
        <w:ind w:left="584" w:right="544"/>
      </w:pPr>
      <w:r>
        <w:t>(Title, Name</w:t>
      </w:r>
      <w:r>
        <w:rPr>
          <w:spacing w:val="-3"/>
        </w:rPr>
        <w:t xml:space="preserve"> </w:t>
      </w:r>
      <w:r>
        <w:t>and</w:t>
      </w:r>
      <w:r>
        <w:rPr>
          <w:spacing w:val="-2"/>
        </w:rPr>
        <w:t xml:space="preserve"> </w:t>
      </w:r>
      <w:r>
        <w:t>Signature)</w:t>
      </w:r>
      <w:r>
        <w:tab/>
        <w:t>……………………….</w:t>
      </w:r>
    </w:p>
    <w:p w:rsidR="00F3177F" w:rsidRDefault="00F3177F">
      <w:pPr>
        <w:pStyle w:val="BodyText"/>
      </w:pPr>
    </w:p>
    <w:p w:rsidR="00F3177F" w:rsidRDefault="00F3177F">
      <w:pPr>
        <w:pStyle w:val="BodyText"/>
        <w:spacing w:before="5"/>
        <w:rPr>
          <w:sz w:val="34"/>
        </w:rPr>
      </w:pPr>
    </w:p>
    <w:p w:rsidR="00F3177F" w:rsidRDefault="0089671D">
      <w:pPr>
        <w:pStyle w:val="BodyText"/>
        <w:tabs>
          <w:tab w:val="left" w:pos="5855"/>
        </w:tabs>
        <w:ind w:left="584" w:right="544"/>
      </w:pPr>
      <w:r>
        <w:t>(Title, Name</w:t>
      </w:r>
      <w:r>
        <w:rPr>
          <w:spacing w:val="-3"/>
        </w:rPr>
        <w:t xml:space="preserve"> </w:t>
      </w:r>
      <w:r>
        <w:t>and</w:t>
      </w:r>
      <w:r>
        <w:rPr>
          <w:spacing w:val="-2"/>
        </w:rPr>
        <w:t xml:space="preserve"> </w:t>
      </w:r>
      <w:r>
        <w:t>Signature)</w:t>
      </w:r>
      <w:r>
        <w:tab/>
        <w:t>……………………….</w:t>
      </w:r>
    </w:p>
    <w:p w:rsidR="00F3177F" w:rsidRDefault="00F3177F">
      <w:pPr>
        <w:pStyle w:val="BodyText"/>
      </w:pPr>
    </w:p>
    <w:p w:rsidR="00F3177F" w:rsidRDefault="00F3177F">
      <w:pPr>
        <w:pStyle w:val="BodyText"/>
        <w:spacing w:before="5"/>
        <w:rPr>
          <w:sz w:val="34"/>
        </w:rPr>
      </w:pPr>
    </w:p>
    <w:p w:rsidR="00F3177F" w:rsidRDefault="0089671D">
      <w:pPr>
        <w:pStyle w:val="BodyText"/>
        <w:tabs>
          <w:tab w:val="left" w:pos="5862"/>
        </w:tabs>
        <w:ind w:left="584" w:right="544"/>
      </w:pPr>
      <w:r>
        <w:t>(Title, Name</w:t>
      </w:r>
      <w:r>
        <w:rPr>
          <w:spacing w:val="13"/>
        </w:rPr>
        <w:t xml:space="preserve"> </w:t>
      </w:r>
      <w:r>
        <w:t>and</w:t>
      </w:r>
      <w:r>
        <w:rPr>
          <w:spacing w:val="-2"/>
        </w:rPr>
        <w:t xml:space="preserve"> </w:t>
      </w:r>
      <w:r>
        <w:t>Signature)</w:t>
      </w:r>
      <w:r>
        <w:tab/>
        <w:t>……………………….</w:t>
      </w:r>
    </w:p>
    <w:p w:rsidR="00F3177F" w:rsidRDefault="00F3177F">
      <w:pPr>
        <w:sectPr w:rsidR="00F3177F">
          <w:type w:val="continuous"/>
          <w:pgSz w:w="12240" w:h="15840"/>
          <w:pgMar w:top="1420" w:right="1720" w:bottom="280" w:left="1720" w:header="720" w:footer="720" w:gutter="0"/>
          <w:cols w:space="720"/>
        </w:sectPr>
      </w:pPr>
    </w:p>
    <w:p w:rsidR="00F3177F" w:rsidRDefault="0089671D">
      <w:pPr>
        <w:pStyle w:val="Heading1"/>
        <w:ind w:right="0"/>
        <w:jc w:val="both"/>
      </w:pPr>
      <w:bookmarkStart w:id="2" w:name="_TOC_250029"/>
      <w:bookmarkEnd w:id="2"/>
      <w:r>
        <w:lastRenderedPageBreak/>
        <w:t>Abstract</w:t>
      </w:r>
    </w:p>
    <w:p w:rsidR="00F3177F" w:rsidRDefault="00F3177F">
      <w:pPr>
        <w:pStyle w:val="BodyText"/>
        <w:rPr>
          <w:b/>
          <w:sz w:val="28"/>
        </w:rPr>
      </w:pPr>
    </w:p>
    <w:p w:rsidR="00F3177F" w:rsidRDefault="0089671D">
      <w:pPr>
        <w:pStyle w:val="BodyText"/>
        <w:spacing w:before="250" w:line="360" w:lineRule="auto"/>
        <w:ind w:left="584" w:right="111"/>
        <w:jc w:val="both"/>
      </w:pPr>
      <w:r>
        <w:t xml:space="preserve">Energy management and efficiency along with environmental issues specifically in buildings is a growing concern. Schools as one of the most-spread public buildings can greatly contribute to energy saving and education. However, schools should prove their contributions by practice at first. This practice can be viewed from students’ and staff’ energy behavior to building design, from number of students to energy types used in school buildings since there are several factors affecting a school’s energy performance and efficiency. This thesis deals with school type, students’ shift, building age, the number of buildings, floors and students, total school size, students’ density, floor height, extra building and energy types used in the schools to find out energy saving school features for the state primary and secondary schools in Pristina Central Municipality. The research results show that state schools investigated consume considerably less energy and produce a smaller amount of carbon dioxide than the schools in the European Union. However, stunningly lower levels of energy consumptions and carbon dioxide emissions cannot be considered as a success since providing </w:t>
      </w:r>
      <w:proofErr w:type="gramStart"/>
      <w:r>
        <w:t>students</w:t>
      </w:r>
      <w:proofErr w:type="gramEnd"/>
      <w:r>
        <w:t xml:space="preserve"> comfortable environment presents another aspect of school energy practice success. Thus, as the second stage of the research, this thesis also compares the highest and the lowest energy consuming state primary and secondary schools </w:t>
      </w:r>
      <w:proofErr w:type="gramStart"/>
      <w:r>
        <w:t>in  Pristina</w:t>
      </w:r>
      <w:proofErr w:type="gramEnd"/>
      <w:r>
        <w:t xml:space="preserve"> Central Municipality from the point of students’ comfort levels with the help of Örebro Survey. The comparisons are carried out to find out complaint level differences based on students’ location in their classrooms and the number of attended lessons. </w:t>
      </w:r>
      <w:proofErr w:type="gramStart"/>
      <w:r>
        <w:t>between</w:t>
      </w:r>
      <w:proofErr w:type="gramEnd"/>
      <w:r>
        <w:t xml:space="preserve"> the two groups of the schools. The comparative research results indicate that school energy performances specifically in low energy consuming schools should be handled together with students’ health, well-being and comfort along with environmental</w:t>
      </w:r>
      <w:r>
        <w:rPr>
          <w:spacing w:val="-4"/>
        </w:rPr>
        <w:t xml:space="preserve"> </w:t>
      </w:r>
      <w:r>
        <w:t>issues.</w:t>
      </w:r>
    </w:p>
    <w:p w:rsidR="00F3177F" w:rsidRDefault="00F3177F">
      <w:pPr>
        <w:pStyle w:val="BodyText"/>
      </w:pPr>
    </w:p>
    <w:p w:rsidR="00F3177F" w:rsidRDefault="0089671D">
      <w:pPr>
        <w:pStyle w:val="BodyText"/>
        <w:spacing w:before="143"/>
        <w:ind w:left="584"/>
        <w:jc w:val="both"/>
      </w:pPr>
      <w:r>
        <w:rPr>
          <w:b/>
        </w:rPr>
        <w:t>Keywords</w:t>
      </w:r>
      <w:proofErr w:type="gramStart"/>
      <w:r>
        <w:rPr>
          <w:b/>
        </w:rPr>
        <w:t>:</w:t>
      </w:r>
      <w:r>
        <w:t>Energy</w:t>
      </w:r>
      <w:proofErr w:type="gramEnd"/>
      <w:r>
        <w:t xml:space="preserve"> consumption, school, students’ comfort</w:t>
      </w:r>
    </w:p>
    <w:p w:rsidR="00F3177F" w:rsidRDefault="00F3177F">
      <w:pPr>
        <w:jc w:val="both"/>
        <w:sectPr w:rsidR="00F3177F">
          <w:pgSz w:w="12240" w:h="15840"/>
          <w:pgMar w:top="1400" w:right="1320" w:bottom="1900" w:left="1720" w:header="0" w:footer="1720" w:gutter="0"/>
          <w:cols w:space="720"/>
        </w:sectPr>
      </w:pPr>
    </w:p>
    <w:p w:rsidR="00F3177F" w:rsidRDefault="0089671D">
      <w:pPr>
        <w:pStyle w:val="Heading1"/>
        <w:ind w:right="0"/>
        <w:jc w:val="both"/>
      </w:pPr>
      <w:bookmarkStart w:id="3" w:name="_TOC_250028"/>
      <w:bookmarkEnd w:id="3"/>
      <w:r>
        <w:lastRenderedPageBreak/>
        <w:t>Abstrakt</w:t>
      </w:r>
    </w:p>
    <w:p w:rsidR="00F3177F" w:rsidRDefault="00F3177F">
      <w:pPr>
        <w:pStyle w:val="BodyText"/>
        <w:rPr>
          <w:b/>
          <w:sz w:val="28"/>
        </w:rPr>
      </w:pPr>
    </w:p>
    <w:p w:rsidR="00F3177F" w:rsidRDefault="00F3177F">
      <w:pPr>
        <w:pStyle w:val="BodyText"/>
        <w:rPr>
          <w:b/>
          <w:sz w:val="28"/>
        </w:rPr>
      </w:pPr>
    </w:p>
    <w:p w:rsidR="00F3177F" w:rsidRDefault="0089671D">
      <w:pPr>
        <w:pStyle w:val="BodyText"/>
        <w:spacing w:before="209" w:line="360" w:lineRule="auto"/>
        <w:ind w:left="584" w:right="117"/>
        <w:jc w:val="both"/>
      </w:pPr>
      <w:r>
        <w:t xml:space="preserve">Menaxhimi i energjisë dhe efikasitetit së bashku me çështjet e mjedisit, në mënyrë të veçantë në ndërtesa është një shqetësim në rritje. Shkollat, si një nga ndërtesat publike më të përhapura mund të kontribuojnë në masë të madhe ne kursimin e energjisë dhe arsimimin e gjeneratave te reja. Megjithatë, shkollat duhet të vërtetojnë se po punojnë në praktikë në fillim. Kjo praktikë mund të vërehet nga sjellja e studentëve 'dhe stafit', për ndërtimin e projektimit, nga numri i nxënësve e deri te llojet e energjisë të përdorura në objektet shkollore; përderisa ka disa faktorë që ndikojnë në performancën e energjisë e një shkollës dhe efikasitetit. Kjo tezë ka të bëjë me llojin e shkollës, "ndryshimet, vjetërsia e ndërtimit, numri i ndërtesave, dyshemetë dhe nxënësit, madhësia totale e shkollës, dendësia e numrit të studentëve, lartësia e dyshemeve, për tëkuptuar mënyrën më të lehtë për të implementuar praktika për mbrojtjen e mjedisit. Rezultatet e hulumtimit tregojnë se shkollat shtetërore në vend konsumojnë në mënyrë të konsiderueshme më pak energji, dhe prodhojnë edhe një sasi më të vogël të dioksidit të karbonit sesa shkollat në Bashkimin Evropian. Megjithatë, nivelet magjepsëse të </w:t>
      </w:r>
      <w:proofErr w:type="gramStart"/>
      <w:r>
        <w:t>ulëta  të</w:t>
      </w:r>
      <w:proofErr w:type="gramEnd"/>
      <w:r>
        <w:t xml:space="preserve"> konsumimit të energjisë dhe emisionet e dioksidit të karbonit nuk mund të konsiderohen si një sukses për shkak se ofrimi i një hapësireje të rehatshme për studentët është një ndër qëllimet kryesore të praktikave për ruajtjen e ambientit. Kështu, si në fazën e dytë të hulumtimit, kjo tezë krahason edhe përdorimin më të lartë dhe </w:t>
      </w:r>
      <w:proofErr w:type="gramStart"/>
      <w:r>
        <w:t>më  të</w:t>
      </w:r>
      <w:proofErr w:type="gramEnd"/>
      <w:r>
        <w:t xml:space="preserve"> ulët të energjisë që konsumojnë shkollat fillore shtetërore dhe shkollat e mesme në Prishtinë; komunën qendrore, nga pikëpamja e nivelit të komoditetit të nxënësve, me ndihmën e Anketës Örebro. Krahasimet janë kryer për të gjetur dallimet në nivelet e ankesave, bazuar në vendndodhjen e nxënësve në klasat e tyre dhe numrin e mësimeve që kanë ndjekur. Rezultatet e krahasimit tregojnë se përdorimi i energjisë, sidomos në shkollat qe kanë përdorim të ulet, duhet të mirret parasysh bashkë me shëndetin e nxënësve, konfortin dhe mirëqenien – dhe</w:t>
      </w:r>
      <w:r>
        <w:rPr>
          <w:spacing w:val="-4"/>
        </w:rPr>
        <w:t xml:space="preserve"> </w:t>
      </w:r>
      <w:r>
        <w:t>mjedidin.</w:t>
      </w:r>
    </w:p>
    <w:p w:rsidR="00F3177F" w:rsidRDefault="00F3177F">
      <w:pPr>
        <w:pStyle w:val="BodyText"/>
        <w:spacing w:before="8"/>
      </w:pPr>
    </w:p>
    <w:p w:rsidR="00F3177F" w:rsidRDefault="0089671D">
      <w:pPr>
        <w:ind w:left="584"/>
        <w:jc w:val="both"/>
        <w:rPr>
          <w:sz w:val="24"/>
        </w:rPr>
      </w:pPr>
      <w:r>
        <w:rPr>
          <w:b/>
          <w:sz w:val="24"/>
        </w:rPr>
        <w:t xml:space="preserve">Fjalet Kyçe: </w:t>
      </w:r>
      <w:r>
        <w:rPr>
          <w:sz w:val="24"/>
        </w:rPr>
        <w:t>konsumim i energjise, shkollë, rehati</w:t>
      </w:r>
    </w:p>
    <w:p w:rsidR="00F3177F" w:rsidRDefault="00F3177F">
      <w:pPr>
        <w:jc w:val="both"/>
        <w:rPr>
          <w:sz w:val="24"/>
        </w:rPr>
        <w:sectPr w:rsidR="00F3177F">
          <w:pgSz w:w="12240" w:h="15840"/>
          <w:pgMar w:top="1400" w:right="1320" w:bottom="1900" w:left="1720" w:header="0" w:footer="1720" w:gutter="0"/>
          <w:cols w:space="720"/>
        </w:sect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spacing w:before="11"/>
        <w:rPr>
          <w:sz w:val="20"/>
        </w:rPr>
      </w:pPr>
    </w:p>
    <w:p w:rsidR="00F3177F" w:rsidRDefault="0089671D">
      <w:pPr>
        <w:pStyle w:val="Heading1"/>
        <w:spacing w:before="65"/>
        <w:ind w:left="2288" w:right="1421"/>
        <w:jc w:val="center"/>
      </w:pPr>
      <w:bookmarkStart w:id="4" w:name="_TOC_250027"/>
      <w:bookmarkEnd w:id="4"/>
      <w:r>
        <w:t>Dedication</w:t>
      </w:r>
    </w:p>
    <w:p w:rsidR="00F3177F" w:rsidRDefault="00F3177F">
      <w:pPr>
        <w:pStyle w:val="BodyText"/>
        <w:rPr>
          <w:b/>
          <w:sz w:val="28"/>
        </w:rPr>
      </w:pPr>
    </w:p>
    <w:p w:rsidR="00F3177F" w:rsidRDefault="0089671D">
      <w:pPr>
        <w:pStyle w:val="BodyText"/>
        <w:spacing w:before="250"/>
        <w:ind w:left="2288" w:right="1425"/>
        <w:jc w:val="center"/>
      </w:pPr>
      <w:r>
        <w:t>Humbly, To My Family, All Educators and Families</w:t>
      </w:r>
    </w:p>
    <w:p w:rsidR="00F3177F" w:rsidRDefault="00F3177F">
      <w:pPr>
        <w:jc w:val="center"/>
        <w:sectPr w:rsidR="00F3177F">
          <w:pgSz w:w="12240" w:h="15840"/>
          <w:pgMar w:top="1500" w:right="1720" w:bottom="1900" w:left="1720" w:header="0" w:footer="1720" w:gutter="0"/>
          <w:cols w:space="720"/>
        </w:sectPr>
      </w:pPr>
    </w:p>
    <w:p w:rsidR="00F3177F" w:rsidRDefault="0089671D">
      <w:pPr>
        <w:pStyle w:val="Heading1"/>
        <w:ind w:right="0"/>
        <w:jc w:val="both"/>
      </w:pPr>
      <w:bookmarkStart w:id="5" w:name="_TOC_250026"/>
      <w:bookmarkEnd w:id="5"/>
      <w:r>
        <w:lastRenderedPageBreak/>
        <w:t>Acknowledgements</w:t>
      </w:r>
    </w:p>
    <w:p w:rsidR="00F3177F" w:rsidRDefault="00F3177F">
      <w:pPr>
        <w:pStyle w:val="BodyText"/>
        <w:rPr>
          <w:b/>
          <w:sz w:val="38"/>
        </w:rPr>
      </w:pPr>
    </w:p>
    <w:p w:rsidR="00F3177F" w:rsidRDefault="0089671D">
      <w:pPr>
        <w:pStyle w:val="BodyText"/>
        <w:spacing w:before="1" w:line="360" w:lineRule="auto"/>
        <w:ind w:left="584" w:right="113"/>
        <w:jc w:val="both"/>
      </w:pPr>
      <w:r>
        <w:t>I am deeply grateful to Prof. Dr. Shyqyri Llaci, my supervisor, for his encouragement and guidance. They were priceless. I also owe special thanks to Prof. Dr. Güngör Turan for his guidance on publication, Prof. Dr. Fatmir Memaj for the statistical work of the thesis, Assoc. Prof. Dr. Mustafa Üç for his help with the resource material, and my family for supporting me all the time. Finally, Mr. Ziyaddin Gashi, Mr. Güven Gökçeoğlu, Mr. Gökhan Aydemir, Mr. Ensar Bajrami and Miss Riga Demiri for their help to collect the accurate and complete research data, and Mr. Ervin Sulika for his special help and encouragement should be mentioned as well.</w:t>
      </w:r>
    </w:p>
    <w:p w:rsidR="00F3177F" w:rsidRDefault="00F3177F">
      <w:pPr>
        <w:spacing w:line="360" w:lineRule="auto"/>
        <w:jc w:val="both"/>
        <w:sectPr w:rsidR="00F3177F">
          <w:pgSz w:w="12240" w:h="15840"/>
          <w:pgMar w:top="1400" w:right="1320" w:bottom="1900" w:left="1720" w:header="0" w:footer="1720" w:gutter="0"/>
          <w:cols w:space="720"/>
        </w:sectPr>
      </w:pPr>
    </w:p>
    <w:p w:rsidR="00F3177F" w:rsidRDefault="0089671D">
      <w:pPr>
        <w:pStyle w:val="Heading1"/>
        <w:ind w:right="0"/>
        <w:jc w:val="both"/>
      </w:pPr>
      <w:bookmarkStart w:id="6" w:name="_TOC_250025"/>
      <w:bookmarkEnd w:id="6"/>
      <w:r>
        <w:lastRenderedPageBreak/>
        <w:t>Declaration Statement</w:t>
      </w:r>
    </w:p>
    <w:p w:rsidR="00F3177F" w:rsidRDefault="00F3177F">
      <w:pPr>
        <w:pStyle w:val="BodyText"/>
        <w:rPr>
          <w:b/>
          <w:sz w:val="28"/>
        </w:rPr>
      </w:pPr>
    </w:p>
    <w:p w:rsidR="00F3177F" w:rsidRDefault="0089671D">
      <w:pPr>
        <w:pStyle w:val="BodyText"/>
        <w:spacing w:before="250" w:line="360" w:lineRule="auto"/>
        <w:ind w:left="584" w:right="112"/>
        <w:jc w:val="both"/>
      </w:pPr>
      <w: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F3177F" w:rsidRDefault="00F3177F">
      <w:pPr>
        <w:pStyle w:val="BodyText"/>
      </w:pPr>
    </w:p>
    <w:p w:rsidR="009E3F2C" w:rsidRDefault="0089671D">
      <w:pPr>
        <w:pStyle w:val="BodyText"/>
        <w:spacing w:before="143" w:line="362" w:lineRule="auto"/>
        <w:ind w:left="584" w:right="5843"/>
      </w:pPr>
      <w:r>
        <w:t xml:space="preserve">Ibrahim Can Korkut </w:t>
      </w:r>
    </w:p>
    <w:p w:rsidR="00F3177F" w:rsidRDefault="0089671D">
      <w:pPr>
        <w:pStyle w:val="BodyText"/>
        <w:spacing w:before="143" w:line="362" w:lineRule="auto"/>
        <w:ind w:left="584" w:right="5843"/>
      </w:pPr>
      <w:r>
        <w:t>J</w:t>
      </w:r>
      <w:r w:rsidR="009E3F2C">
        <w:t>une 13</w:t>
      </w:r>
      <w:r>
        <w:t>, 2017</w:t>
      </w:r>
    </w:p>
    <w:p w:rsidR="00F3177F" w:rsidRDefault="00F3177F">
      <w:pPr>
        <w:spacing w:line="362" w:lineRule="auto"/>
        <w:sectPr w:rsidR="00F3177F">
          <w:pgSz w:w="12240" w:h="15840"/>
          <w:pgMar w:top="1400" w:right="1360" w:bottom="1900" w:left="1720" w:header="0" w:footer="1720" w:gutter="0"/>
          <w:cols w:space="720"/>
        </w:sectPr>
      </w:pPr>
    </w:p>
    <w:p w:rsidR="00F3177F" w:rsidRDefault="0089671D">
      <w:pPr>
        <w:pStyle w:val="Heading1"/>
        <w:ind w:left="1032" w:right="566"/>
        <w:jc w:val="center"/>
      </w:pPr>
      <w:bookmarkStart w:id="7" w:name="_TOC_250024"/>
      <w:bookmarkEnd w:id="7"/>
      <w:r>
        <w:lastRenderedPageBreak/>
        <w:t>TABLE OF CONTENTS</w:t>
      </w:r>
    </w:p>
    <w:sdt>
      <w:sdtPr>
        <w:id w:val="-1927796524"/>
        <w:docPartObj>
          <w:docPartGallery w:val="Table of Contents"/>
          <w:docPartUnique/>
        </w:docPartObj>
      </w:sdtPr>
      <w:sdtEndPr/>
      <w:sdtContent>
        <w:p w:rsidR="00F3177F" w:rsidRDefault="00CA6556">
          <w:pPr>
            <w:pStyle w:val="TOC1"/>
            <w:tabs>
              <w:tab w:val="left" w:leader="dot" w:pos="8891"/>
            </w:tabs>
            <w:spacing w:before="317"/>
          </w:pPr>
          <w:hyperlink w:anchor="_TOC_250031" w:history="1">
            <w:r w:rsidR="0089671D">
              <w:t>APPROVAL</w:t>
            </w:r>
            <w:r w:rsidR="0089671D">
              <w:rPr>
                <w:spacing w:val="-14"/>
              </w:rPr>
              <w:t xml:space="preserve"> </w:t>
            </w:r>
            <w:r w:rsidR="0089671D">
              <w:t>PAGE</w:t>
            </w:r>
            <w:r w:rsidR="0089671D">
              <w:tab/>
              <w:t>ii</w:t>
            </w:r>
          </w:hyperlink>
        </w:p>
        <w:p w:rsidR="00F3177F" w:rsidRDefault="00CA6556">
          <w:pPr>
            <w:pStyle w:val="TOC1"/>
            <w:tabs>
              <w:tab w:val="left" w:leader="dot" w:pos="8840"/>
            </w:tabs>
            <w:spacing w:before="43"/>
          </w:pPr>
          <w:hyperlink w:anchor="_TOC_250030" w:history="1">
            <w:r w:rsidR="0089671D">
              <w:rPr>
                <w:spacing w:val="-3"/>
              </w:rPr>
              <w:t xml:space="preserve">EXAM </w:t>
            </w:r>
            <w:r w:rsidR="0089671D">
              <w:t>BOARD</w:t>
            </w:r>
            <w:r w:rsidR="0089671D">
              <w:rPr>
                <w:spacing w:val="-5"/>
              </w:rPr>
              <w:t xml:space="preserve"> </w:t>
            </w:r>
            <w:r w:rsidR="0089671D">
              <w:t>OF</w:t>
            </w:r>
            <w:r w:rsidR="0089671D">
              <w:rPr>
                <w:spacing w:val="-8"/>
              </w:rPr>
              <w:t xml:space="preserve"> </w:t>
            </w:r>
            <w:r w:rsidR="0089671D">
              <w:rPr>
                <w:spacing w:val="-3"/>
              </w:rPr>
              <w:t>THESIS</w:t>
            </w:r>
            <w:r w:rsidR="0089671D">
              <w:rPr>
                <w:spacing w:val="-3"/>
              </w:rPr>
              <w:tab/>
            </w:r>
            <w:r w:rsidR="0089671D">
              <w:t>iii</w:t>
            </w:r>
          </w:hyperlink>
        </w:p>
        <w:p w:rsidR="00F3177F" w:rsidRDefault="00CA6556">
          <w:pPr>
            <w:pStyle w:val="TOC1"/>
            <w:tabs>
              <w:tab w:val="left" w:leader="dot" w:pos="8838"/>
            </w:tabs>
          </w:pPr>
          <w:hyperlink w:anchor="_TOC_250029" w:history="1">
            <w:r w:rsidR="0089671D">
              <w:rPr>
                <w:spacing w:val="-3"/>
              </w:rPr>
              <w:t>ABSTRACT</w:t>
            </w:r>
            <w:r w:rsidR="0089671D">
              <w:rPr>
                <w:spacing w:val="-3"/>
              </w:rPr>
              <w:tab/>
            </w:r>
            <w:r w:rsidR="0089671D">
              <w:t>iv</w:t>
            </w:r>
          </w:hyperlink>
        </w:p>
        <w:p w:rsidR="00F3177F" w:rsidRDefault="00CA6556">
          <w:pPr>
            <w:pStyle w:val="TOC1"/>
            <w:tabs>
              <w:tab w:val="left" w:leader="dot" w:pos="8909"/>
            </w:tabs>
          </w:pPr>
          <w:hyperlink w:anchor="_TOC_250028" w:history="1">
            <w:r w:rsidR="0089671D">
              <w:rPr>
                <w:spacing w:val="-3"/>
              </w:rPr>
              <w:t>ABSTRAKT</w:t>
            </w:r>
            <w:r w:rsidR="0089671D">
              <w:rPr>
                <w:spacing w:val="-3"/>
              </w:rPr>
              <w:tab/>
            </w:r>
            <w:r w:rsidR="0089671D">
              <w:t>v</w:t>
            </w:r>
          </w:hyperlink>
        </w:p>
        <w:p w:rsidR="00F3177F" w:rsidRDefault="00CA6556">
          <w:pPr>
            <w:pStyle w:val="TOC1"/>
            <w:tabs>
              <w:tab w:val="left" w:leader="dot" w:pos="8886"/>
            </w:tabs>
          </w:pPr>
          <w:hyperlink w:anchor="_TOC_250027" w:history="1">
            <w:r w:rsidR="0089671D">
              <w:rPr>
                <w:spacing w:val="-3"/>
              </w:rPr>
              <w:t>DEDICATION</w:t>
            </w:r>
            <w:r w:rsidR="0089671D">
              <w:rPr>
                <w:spacing w:val="-3"/>
              </w:rPr>
              <w:tab/>
            </w:r>
            <w:r w:rsidR="0089671D">
              <w:t>vi</w:t>
            </w:r>
          </w:hyperlink>
        </w:p>
        <w:p w:rsidR="00F3177F" w:rsidRDefault="00CA6556">
          <w:pPr>
            <w:pStyle w:val="TOC1"/>
            <w:tabs>
              <w:tab w:val="left" w:leader="dot" w:pos="8797"/>
            </w:tabs>
            <w:spacing w:before="43"/>
          </w:pPr>
          <w:hyperlink w:anchor="_TOC_250026" w:history="1">
            <w:r w:rsidR="0089671D">
              <w:rPr>
                <w:spacing w:val="-3"/>
              </w:rPr>
              <w:t>ACKNOWLEDGEMENTS</w:t>
            </w:r>
            <w:r w:rsidR="0089671D">
              <w:rPr>
                <w:spacing w:val="-3"/>
              </w:rPr>
              <w:tab/>
            </w:r>
            <w:r w:rsidR="0089671D">
              <w:t>vii</w:t>
            </w:r>
          </w:hyperlink>
        </w:p>
        <w:p w:rsidR="00F3177F" w:rsidRDefault="00CA6556">
          <w:pPr>
            <w:pStyle w:val="TOC1"/>
            <w:tabs>
              <w:tab w:val="left" w:leader="dot" w:pos="8723"/>
            </w:tabs>
          </w:pPr>
          <w:hyperlink w:anchor="_TOC_250025" w:history="1">
            <w:r w:rsidR="0089671D">
              <w:rPr>
                <w:spacing w:val="-3"/>
              </w:rPr>
              <w:t>DECLARATION</w:t>
            </w:r>
            <w:r w:rsidR="0089671D">
              <w:rPr>
                <w:spacing w:val="-4"/>
              </w:rPr>
              <w:t xml:space="preserve"> </w:t>
            </w:r>
            <w:r w:rsidR="0089671D">
              <w:rPr>
                <w:spacing w:val="-2"/>
              </w:rPr>
              <w:t>STATEMENT</w:t>
            </w:r>
            <w:r w:rsidR="0089671D">
              <w:rPr>
                <w:spacing w:val="-2"/>
              </w:rPr>
              <w:tab/>
            </w:r>
            <w:r w:rsidR="00D14D1A">
              <w:rPr>
                <w:spacing w:val="-2"/>
              </w:rPr>
              <w:t xml:space="preserve"> </w:t>
            </w:r>
            <w:r w:rsidR="0089671D">
              <w:t>viii</w:t>
            </w:r>
          </w:hyperlink>
        </w:p>
        <w:p w:rsidR="00F3177F" w:rsidRDefault="00CA6556">
          <w:pPr>
            <w:pStyle w:val="TOC1"/>
            <w:tabs>
              <w:tab w:val="left" w:leader="dot" w:pos="8744"/>
            </w:tabs>
          </w:pPr>
          <w:hyperlink w:anchor="_TOC_250024" w:history="1">
            <w:r w:rsidR="0089671D">
              <w:rPr>
                <w:spacing w:val="-3"/>
              </w:rPr>
              <w:t>TABLE</w:t>
            </w:r>
            <w:r w:rsidR="0089671D">
              <w:rPr>
                <w:spacing w:val="-2"/>
              </w:rPr>
              <w:t xml:space="preserve"> </w:t>
            </w:r>
            <w:r w:rsidR="0089671D">
              <w:t>OF</w:t>
            </w:r>
            <w:r w:rsidR="0089671D">
              <w:rPr>
                <w:spacing w:val="-3"/>
              </w:rPr>
              <w:t xml:space="preserve"> CONTENTS</w:t>
            </w:r>
            <w:r w:rsidR="0089671D">
              <w:rPr>
                <w:spacing w:val="-3"/>
              </w:rPr>
              <w:tab/>
            </w:r>
            <w:r w:rsidR="00D14D1A">
              <w:rPr>
                <w:spacing w:val="-3"/>
              </w:rPr>
              <w:t xml:space="preserve">   </w:t>
            </w:r>
            <w:r w:rsidR="0089671D">
              <w:t>ix</w:t>
            </w:r>
          </w:hyperlink>
        </w:p>
        <w:p w:rsidR="00F3177F" w:rsidRDefault="00CA6556">
          <w:pPr>
            <w:pStyle w:val="TOC1"/>
            <w:tabs>
              <w:tab w:val="left" w:leader="dot" w:pos="8891"/>
            </w:tabs>
          </w:pPr>
          <w:hyperlink w:anchor="_TOC_250023" w:history="1">
            <w:r w:rsidR="0089671D">
              <w:rPr>
                <w:spacing w:val="-3"/>
              </w:rPr>
              <w:t>LIST</w:t>
            </w:r>
            <w:r w:rsidR="0089671D">
              <w:rPr>
                <w:spacing w:val="-4"/>
              </w:rPr>
              <w:t xml:space="preserve"> </w:t>
            </w:r>
            <w:r w:rsidR="0089671D">
              <w:t>OF</w:t>
            </w:r>
            <w:r w:rsidR="0089671D">
              <w:rPr>
                <w:spacing w:val="-4"/>
              </w:rPr>
              <w:t xml:space="preserve"> </w:t>
            </w:r>
            <w:r w:rsidR="0089671D">
              <w:rPr>
                <w:spacing w:val="-3"/>
              </w:rPr>
              <w:t>TABLES</w:t>
            </w:r>
            <w:r w:rsidR="0089671D">
              <w:rPr>
                <w:spacing w:val="-3"/>
              </w:rPr>
              <w:tab/>
            </w:r>
            <w:r w:rsidR="00D14D1A">
              <w:rPr>
                <w:spacing w:val="-3"/>
              </w:rPr>
              <w:t xml:space="preserve"> </w:t>
            </w:r>
            <w:r w:rsidR="0089671D">
              <w:t>xi</w:t>
            </w:r>
          </w:hyperlink>
        </w:p>
        <w:p w:rsidR="00F3177F" w:rsidRDefault="00CA6556">
          <w:pPr>
            <w:pStyle w:val="TOC1"/>
            <w:tabs>
              <w:tab w:val="left" w:leader="dot" w:pos="8752"/>
            </w:tabs>
          </w:pPr>
          <w:hyperlink w:anchor="_TOC_250022" w:history="1">
            <w:r w:rsidR="0089671D">
              <w:rPr>
                <w:spacing w:val="-3"/>
              </w:rPr>
              <w:t>LIST</w:t>
            </w:r>
            <w:r w:rsidR="0089671D">
              <w:rPr>
                <w:spacing w:val="-4"/>
              </w:rPr>
              <w:t xml:space="preserve"> </w:t>
            </w:r>
            <w:r w:rsidR="0089671D">
              <w:t>OF</w:t>
            </w:r>
            <w:r w:rsidR="0089671D">
              <w:rPr>
                <w:spacing w:val="-4"/>
              </w:rPr>
              <w:t xml:space="preserve"> </w:t>
            </w:r>
            <w:r w:rsidR="0089671D">
              <w:rPr>
                <w:spacing w:val="-3"/>
              </w:rPr>
              <w:t>FIGURES</w:t>
            </w:r>
            <w:r w:rsidR="0089671D">
              <w:rPr>
                <w:spacing w:val="-3"/>
              </w:rPr>
              <w:tab/>
            </w:r>
            <w:r w:rsidR="00D14D1A">
              <w:rPr>
                <w:spacing w:val="-3"/>
              </w:rPr>
              <w:t xml:space="preserve"> </w:t>
            </w:r>
            <w:r w:rsidR="0089671D">
              <w:t>xiv</w:t>
            </w:r>
          </w:hyperlink>
        </w:p>
        <w:p w:rsidR="00F3177F" w:rsidRDefault="00CA6556">
          <w:pPr>
            <w:pStyle w:val="TOC1"/>
            <w:tabs>
              <w:tab w:val="left" w:leader="dot" w:pos="8742"/>
            </w:tabs>
            <w:spacing w:before="43"/>
          </w:pPr>
          <w:hyperlink w:anchor="_TOC_250021" w:history="1">
            <w:r w:rsidR="0089671D">
              <w:rPr>
                <w:spacing w:val="-3"/>
              </w:rPr>
              <w:t>LIST</w:t>
            </w:r>
            <w:r w:rsidR="0089671D">
              <w:rPr>
                <w:spacing w:val="-2"/>
              </w:rPr>
              <w:t xml:space="preserve"> </w:t>
            </w:r>
            <w:r w:rsidR="0089671D">
              <w:t>OF</w:t>
            </w:r>
            <w:r w:rsidR="0089671D">
              <w:rPr>
                <w:spacing w:val="-2"/>
              </w:rPr>
              <w:t xml:space="preserve"> </w:t>
            </w:r>
            <w:r w:rsidR="0089671D">
              <w:rPr>
                <w:spacing w:val="-3"/>
              </w:rPr>
              <w:t>ABBREVIATIONS</w:t>
            </w:r>
            <w:r w:rsidR="0089671D">
              <w:rPr>
                <w:spacing w:val="-3"/>
              </w:rPr>
              <w:tab/>
            </w:r>
            <w:r w:rsidR="00D14D1A">
              <w:rPr>
                <w:spacing w:val="-3"/>
              </w:rPr>
              <w:t xml:space="preserve">  </w:t>
            </w:r>
            <w:r w:rsidR="0089671D">
              <w:t>xv</w:t>
            </w:r>
          </w:hyperlink>
        </w:p>
        <w:p w:rsidR="00F3177F" w:rsidRDefault="00CA6556">
          <w:pPr>
            <w:pStyle w:val="TOC1"/>
            <w:tabs>
              <w:tab w:val="left" w:leader="dot" w:pos="8630"/>
            </w:tabs>
          </w:pPr>
          <w:hyperlink w:anchor="_TOC_250020" w:history="1">
            <w:r w:rsidR="0089671D">
              <w:rPr>
                <w:spacing w:val="-3"/>
              </w:rPr>
              <w:t xml:space="preserve">LIST </w:t>
            </w:r>
            <w:r w:rsidR="0089671D">
              <w:t>OF PUBLICATIONS BY</w:t>
            </w:r>
            <w:r w:rsidR="0089671D">
              <w:rPr>
                <w:spacing w:val="-41"/>
              </w:rPr>
              <w:t xml:space="preserve"> </w:t>
            </w:r>
            <w:r w:rsidR="0089671D">
              <w:t>THE</w:t>
            </w:r>
            <w:r w:rsidR="0089671D">
              <w:rPr>
                <w:spacing w:val="-12"/>
              </w:rPr>
              <w:t xml:space="preserve"> </w:t>
            </w:r>
            <w:r w:rsidR="0089671D">
              <w:t>CANDIDATE</w:t>
            </w:r>
            <w:r w:rsidR="0089671D">
              <w:tab/>
            </w:r>
            <w:r w:rsidR="00D14D1A">
              <w:t xml:space="preserve"> </w:t>
            </w:r>
            <w:r w:rsidR="0089671D">
              <w:t>xviii</w:t>
            </w:r>
          </w:hyperlink>
        </w:p>
        <w:p w:rsidR="00F3177F" w:rsidRDefault="00CA6556">
          <w:pPr>
            <w:pStyle w:val="TOC1"/>
            <w:tabs>
              <w:tab w:val="left" w:leader="dot" w:pos="8792"/>
            </w:tabs>
          </w:pPr>
          <w:hyperlink w:anchor="_TOC_250019" w:history="1">
            <w:r w:rsidR="0089671D">
              <w:rPr>
                <w:spacing w:val="-3"/>
              </w:rPr>
              <w:t xml:space="preserve">LIST </w:t>
            </w:r>
            <w:r w:rsidR="0089671D">
              <w:t>OF</w:t>
            </w:r>
            <w:r w:rsidR="0089671D">
              <w:rPr>
                <w:spacing w:val="-3"/>
              </w:rPr>
              <w:t xml:space="preserve"> APPENDICES</w:t>
            </w:r>
            <w:r w:rsidR="0089671D">
              <w:rPr>
                <w:spacing w:val="-3"/>
              </w:rPr>
              <w:tab/>
            </w:r>
            <w:r w:rsidR="00D14D1A">
              <w:rPr>
                <w:spacing w:val="-3"/>
              </w:rPr>
              <w:t xml:space="preserve"> </w:t>
            </w:r>
            <w:r w:rsidR="0089671D">
              <w:t>xx</w:t>
            </w:r>
          </w:hyperlink>
        </w:p>
        <w:p w:rsidR="00F3177F" w:rsidRDefault="0089671D">
          <w:pPr>
            <w:pStyle w:val="TOC1"/>
            <w:tabs>
              <w:tab w:val="left" w:leader="dot" w:pos="8896"/>
            </w:tabs>
          </w:pPr>
          <w:r>
            <w:t>CHAPTER</w:t>
          </w:r>
          <w:r>
            <w:rPr>
              <w:spacing w:val="-2"/>
            </w:rPr>
            <w:t xml:space="preserve"> </w:t>
          </w:r>
          <w:r>
            <w:t>1: INTRODUCTION</w:t>
          </w:r>
          <w:r>
            <w:tab/>
          </w:r>
          <w:r w:rsidR="00D14D1A">
            <w:t xml:space="preserve"> </w:t>
          </w:r>
          <w:r>
            <w:t>1</w:t>
          </w:r>
        </w:p>
        <w:p w:rsidR="00F3177F" w:rsidRDefault="00CA6556">
          <w:pPr>
            <w:pStyle w:val="TOC2"/>
            <w:numPr>
              <w:ilvl w:val="1"/>
              <w:numId w:val="48"/>
            </w:numPr>
            <w:tabs>
              <w:tab w:val="left" w:pos="1967"/>
              <w:tab w:val="left" w:leader="dot" w:pos="8927"/>
            </w:tabs>
            <w:ind w:hanging="482"/>
          </w:pPr>
          <w:hyperlink w:anchor="_TOC_250018" w:history="1">
            <w:r w:rsidR="0089671D">
              <w:t>Introduction</w:t>
            </w:r>
            <w:r w:rsidR="0089671D">
              <w:rPr>
                <w:spacing w:val="-3"/>
              </w:rPr>
              <w:t xml:space="preserve"> </w:t>
            </w:r>
            <w:r w:rsidR="0089671D">
              <w:t>and</w:t>
            </w:r>
            <w:r w:rsidR="0089671D">
              <w:rPr>
                <w:spacing w:val="-3"/>
              </w:rPr>
              <w:t xml:space="preserve"> </w:t>
            </w:r>
            <w:r w:rsidR="0089671D">
              <w:t>Background</w:t>
            </w:r>
            <w:r w:rsidR="0089671D">
              <w:tab/>
            </w:r>
            <w:r w:rsidR="00D14D1A">
              <w:t xml:space="preserve"> </w:t>
            </w:r>
            <w:r w:rsidR="0089671D">
              <w:t>1</w:t>
            </w:r>
          </w:hyperlink>
        </w:p>
        <w:p w:rsidR="00F3177F" w:rsidRDefault="00CA6556">
          <w:pPr>
            <w:pStyle w:val="TOC3"/>
            <w:numPr>
              <w:ilvl w:val="1"/>
              <w:numId w:val="48"/>
            </w:numPr>
            <w:tabs>
              <w:tab w:val="left" w:pos="1996"/>
              <w:tab w:val="left" w:leader="dot" w:pos="8925"/>
            </w:tabs>
            <w:ind w:left="1995" w:hanging="480"/>
          </w:pPr>
          <w:hyperlink w:anchor="_TOC_250017" w:history="1">
            <w:r w:rsidR="0089671D">
              <w:t>Significance of</w:t>
            </w:r>
            <w:r w:rsidR="0089671D">
              <w:rPr>
                <w:spacing w:val="-2"/>
              </w:rPr>
              <w:t xml:space="preserve"> </w:t>
            </w:r>
            <w:r w:rsidR="0089671D">
              <w:t>the</w:t>
            </w:r>
            <w:r w:rsidR="0089671D">
              <w:rPr>
                <w:spacing w:val="-1"/>
              </w:rPr>
              <w:t xml:space="preserve"> </w:t>
            </w:r>
            <w:r w:rsidR="0089671D">
              <w:t>Study</w:t>
            </w:r>
            <w:r w:rsidR="0089671D">
              <w:tab/>
            </w:r>
            <w:r w:rsidR="00D14D1A">
              <w:t xml:space="preserve"> </w:t>
            </w:r>
            <w:r w:rsidR="0089671D">
              <w:t>8</w:t>
            </w:r>
          </w:hyperlink>
        </w:p>
        <w:p w:rsidR="00F3177F" w:rsidRDefault="00CA6556">
          <w:pPr>
            <w:pStyle w:val="TOC3"/>
            <w:numPr>
              <w:ilvl w:val="1"/>
              <w:numId w:val="48"/>
            </w:numPr>
            <w:tabs>
              <w:tab w:val="left" w:pos="1996"/>
              <w:tab w:val="left" w:leader="dot" w:pos="8922"/>
            </w:tabs>
            <w:ind w:left="1995" w:hanging="480"/>
          </w:pPr>
          <w:hyperlink w:anchor="_TOC_250016" w:history="1">
            <w:r w:rsidR="0089671D">
              <w:t>Purpose of</w:t>
            </w:r>
            <w:r w:rsidR="0089671D">
              <w:rPr>
                <w:spacing w:val="-2"/>
              </w:rPr>
              <w:t xml:space="preserve"> </w:t>
            </w:r>
            <w:r w:rsidR="0089671D">
              <w:t>the Study</w:t>
            </w:r>
            <w:r w:rsidR="0089671D">
              <w:tab/>
            </w:r>
            <w:r w:rsidR="00D14D1A">
              <w:t xml:space="preserve"> </w:t>
            </w:r>
            <w:r w:rsidR="0089671D">
              <w:t>9</w:t>
            </w:r>
          </w:hyperlink>
        </w:p>
        <w:p w:rsidR="00F3177F" w:rsidRDefault="00CA6556">
          <w:pPr>
            <w:pStyle w:val="TOC3"/>
            <w:numPr>
              <w:ilvl w:val="1"/>
              <w:numId w:val="48"/>
            </w:numPr>
            <w:tabs>
              <w:tab w:val="left" w:pos="1996"/>
              <w:tab w:val="left" w:leader="dot" w:pos="8794"/>
            </w:tabs>
            <w:ind w:left="1995" w:hanging="480"/>
          </w:pPr>
          <w:hyperlink w:anchor="_TOC_250015" w:history="1">
            <w:r w:rsidR="0089671D">
              <w:t>Research</w:t>
            </w:r>
            <w:r w:rsidR="0089671D">
              <w:rPr>
                <w:spacing w:val="-1"/>
              </w:rPr>
              <w:t xml:space="preserve"> </w:t>
            </w:r>
            <w:r w:rsidR="0089671D">
              <w:t>Hypotheses</w:t>
            </w:r>
            <w:r w:rsidR="0089671D">
              <w:tab/>
            </w:r>
            <w:r w:rsidR="00D14D1A">
              <w:t xml:space="preserve">  </w:t>
            </w:r>
            <w:r w:rsidR="0089671D">
              <w:t>10</w:t>
            </w:r>
          </w:hyperlink>
        </w:p>
        <w:p w:rsidR="00F3177F" w:rsidRDefault="00CA6556">
          <w:pPr>
            <w:pStyle w:val="TOC3"/>
            <w:numPr>
              <w:ilvl w:val="1"/>
              <w:numId w:val="48"/>
            </w:numPr>
            <w:tabs>
              <w:tab w:val="left" w:pos="1998"/>
              <w:tab w:val="left" w:leader="dot" w:pos="8800"/>
            </w:tabs>
            <w:spacing w:before="43"/>
            <w:ind w:left="1997" w:hanging="482"/>
          </w:pPr>
          <w:hyperlink w:anchor="_TOC_250014" w:history="1">
            <w:r w:rsidR="0089671D">
              <w:t>Limitations</w:t>
            </w:r>
            <w:r w:rsidR="0089671D">
              <w:tab/>
            </w:r>
            <w:r w:rsidR="00D14D1A">
              <w:t xml:space="preserve">  </w:t>
            </w:r>
            <w:r w:rsidR="0089671D">
              <w:t>11</w:t>
            </w:r>
          </w:hyperlink>
        </w:p>
        <w:p w:rsidR="00F3177F" w:rsidRDefault="00CA6556">
          <w:pPr>
            <w:pStyle w:val="TOC3"/>
            <w:numPr>
              <w:ilvl w:val="1"/>
              <w:numId w:val="48"/>
            </w:numPr>
            <w:tabs>
              <w:tab w:val="left" w:pos="1996"/>
              <w:tab w:val="left" w:leader="dot" w:pos="8821"/>
            </w:tabs>
            <w:ind w:left="1995" w:hanging="480"/>
          </w:pPr>
          <w:hyperlink w:anchor="_TOC_250013" w:history="1">
            <w:r w:rsidR="0089671D">
              <w:t>Delimitations</w:t>
            </w:r>
            <w:r w:rsidR="0089671D">
              <w:tab/>
            </w:r>
            <w:r w:rsidR="00D14D1A">
              <w:t xml:space="preserve">  </w:t>
            </w:r>
            <w:r w:rsidR="0089671D">
              <w:t>11</w:t>
            </w:r>
          </w:hyperlink>
        </w:p>
        <w:p w:rsidR="00F3177F" w:rsidRDefault="0089671D">
          <w:pPr>
            <w:pStyle w:val="TOC1"/>
            <w:tabs>
              <w:tab w:val="left" w:leader="dot" w:pos="8835"/>
            </w:tabs>
          </w:pPr>
          <w:r>
            <w:t>CHAPTER 2:</w:t>
          </w:r>
          <w:r>
            <w:rPr>
              <w:spacing w:val="-3"/>
            </w:rPr>
            <w:t xml:space="preserve"> </w:t>
          </w:r>
          <w:r>
            <w:t>LITERATURE</w:t>
          </w:r>
          <w:r>
            <w:rPr>
              <w:spacing w:val="-3"/>
            </w:rPr>
            <w:t xml:space="preserve"> </w:t>
          </w:r>
          <w:r>
            <w:t>REVIEW</w:t>
          </w:r>
          <w:r>
            <w:tab/>
          </w:r>
          <w:r w:rsidR="00D14D1A">
            <w:t xml:space="preserve"> </w:t>
          </w:r>
          <w:r>
            <w:t>13</w:t>
          </w:r>
        </w:p>
        <w:p w:rsidR="00F3177F" w:rsidRDefault="00CA6556">
          <w:pPr>
            <w:pStyle w:val="TOC3"/>
            <w:numPr>
              <w:ilvl w:val="1"/>
              <w:numId w:val="47"/>
            </w:numPr>
            <w:tabs>
              <w:tab w:val="left" w:pos="2058"/>
              <w:tab w:val="left" w:leader="dot" w:pos="8832"/>
            </w:tabs>
            <w:ind w:hanging="537"/>
            <w:jc w:val="left"/>
          </w:pPr>
          <w:hyperlink w:anchor="_TOC_250012" w:history="1">
            <w:r w:rsidR="0089671D">
              <w:t>Energy</w:t>
            </w:r>
            <w:r w:rsidR="0089671D">
              <w:rPr>
                <w:spacing w:val="-5"/>
              </w:rPr>
              <w:t xml:space="preserve"> </w:t>
            </w:r>
            <w:r w:rsidR="0089671D">
              <w:t>Conservation</w:t>
            </w:r>
            <w:r w:rsidR="0089671D">
              <w:tab/>
            </w:r>
            <w:r w:rsidR="00D14D1A">
              <w:t xml:space="preserve">  </w:t>
            </w:r>
            <w:r w:rsidR="0089671D">
              <w:t>13</w:t>
            </w:r>
          </w:hyperlink>
        </w:p>
        <w:p w:rsidR="00F3177F" w:rsidRDefault="00CA6556">
          <w:pPr>
            <w:pStyle w:val="TOC5"/>
            <w:numPr>
              <w:ilvl w:val="2"/>
              <w:numId w:val="47"/>
            </w:numPr>
            <w:tabs>
              <w:tab w:val="left" w:pos="2776"/>
              <w:tab w:val="left" w:leader="dot" w:pos="8792"/>
            </w:tabs>
            <w:spacing w:before="43"/>
          </w:pPr>
          <w:hyperlink w:anchor="_TOC_250011" w:history="1">
            <w:r w:rsidR="0089671D">
              <w:t>Energy Conservation</w:t>
            </w:r>
            <w:r w:rsidR="0089671D">
              <w:rPr>
                <w:spacing w:val="-5"/>
              </w:rPr>
              <w:t xml:space="preserve"> </w:t>
            </w:r>
            <w:r w:rsidR="0089671D">
              <w:t>and Efficiency</w:t>
            </w:r>
            <w:r w:rsidR="0089671D">
              <w:tab/>
            </w:r>
            <w:r w:rsidR="00D14D1A">
              <w:t xml:space="preserve">  </w:t>
            </w:r>
            <w:r w:rsidR="0089671D">
              <w:t>13</w:t>
            </w:r>
          </w:hyperlink>
        </w:p>
        <w:p w:rsidR="00F3177F" w:rsidRDefault="00CA6556">
          <w:pPr>
            <w:pStyle w:val="TOC5"/>
            <w:numPr>
              <w:ilvl w:val="2"/>
              <w:numId w:val="47"/>
            </w:numPr>
            <w:tabs>
              <w:tab w:val="left" w:pos="2760"/>
              <w:tab w:val="left" w:leader="dot" w:pos="8738"/>
            </w:tabs>
            <w:ind w:left="2759" w:hanging="644"/>
          </w:pPr>
          <w:hyperlink w:anchor="_TOC_250010" w:history="1">
            <w:r w:rsidR="0089671D">
              <w:t>Energy</w:t>
            </w:r>
            <w:r w:rsidR="0089671D">
              <w:rPr>
                <w:spacing w:val="-12"/>
              </w:rPr>
              <w:t xml:space="preserve"> </w:t>
            </w:r>
            <w:r w:rsidR="0089671D">
              <w:t>Efficiency</w:t>
            </w:r>
            <w:r w:rsidR="0089671D">
              <w:rPr>
                <w:spacing w:val="-10"/>
              </w:rPr>
              <w:t xml:space="preserve"> </w:t>
            </w:r>
            <w:r w:rsidR="0089671D">
              <w:rPr>
                <w:spacing w:val="-3"/>
              </w:rPr>
              <w:t>Indicators</w:t>
            </w:r>
            <w:r w:rsidR="0089671D">
              <w:rPr>
                <w:spacing w:val="-3"/>
              </w:rPr>
              <w:tab/>
            </w:r>
            <w:r w:rsidR="00D14D1A">
              <w:rPr>
                <w:spacing w:val="-3"/>
              </w:rPr>
              <w:t xml:space="preserve">   </w:t>
            </w:r>
            <w:r w:rsidR="0089671D">
              <w:t>16</w:t>
            </w:r>
          </w:hyperlink>
        </w:p>
        <w:p w:rsidR="00F3177F" w:rsidRDefault="00CA6556">
          <w:pPr>
            <w:pStyle w:val="TOC5"/>
            <w:numPr>
              <w:ilvl w:val="2"/>
              <w:numId w:val="47"/>
            </w:numPr>
            <w:tabs>
              <w:tab w:val="left" w:pos="2776"/>
              <w:tab w:val="left" w:leader="dot" w:pos="8838"/>
            </w:tabs>
          </w:pPr>
          <w:hyperlink w:anchor="_TOC_250009" w:history="1">
            <w:r w:rsidR="0089671D">
              <w:t>Energy Conservation</w:t>
            </w:r>
            <w:r w:rsidR="0089671D">
              <w:rPr>
                <w:spacing w:val="-7"/>
              </w:rPr>
              <w:t xml:space="preserve"> </w:t>
            </w:r>
            <w:r w:rsidR="0089671D">
              <w:t>Measures</w:t>
            </w:r>
            <w:r w:rsidR="0089671D">
              <w:rPr>
                <w:spacing w:val="1"/>
              </w:rPr>
              <w:t xml:space="preserve"> </w:t>
            </w:r>
            <w:r w:rsidR="0089671D">
              <w:t>(ECMs)</w:t>
            </w:r>
            <w:r w:rsidR="0089671D">
              <w:tab/>
            </w:r>
            <w:r w:rsidR="00D14D1A">
              <w:t xml:space="preserve">  </w:t>
            </w:r>
            <w:r w:rsidR="0089671D">
              <w:t>17</w:t>
            </w:r>
          </w:hyperlink>
        </w:p>
        <w:p w:rsidR="00F3177F" w:rsidRDefault="00CA6556">
          <w:pPr>
            <w:pStyle w:val="TOC3"/>
            <w:numPr>
              <w:ilvl w:val="1"/>
              <w:numId w:val="47"/>
            </w:numPr>
            <w:tabs>
              <w:tab w:val="left" w:pos="2056"/>
              <w:tab w:val="left" w:leader="dot" w:pos="8831"/>
            </w:tabs>
            <w:ind w:left="2055"/>
            <w:jc w:val="left"/>
          </w:pPr>
          <w:hyperlink w:anchor="_TOC_250008" w:history="1">
            <w:r w:rsidR="0089671D">
              <w:t>Energy</w:t>
            </w:r>
            <w:r w:rsidR="0089671D">
              <w:rPr>
                <w:spacing w:val="-6"/>
              </w:rPr>
              <w:t xml:space="preserve"> </w:t>
            </w:r>
            <w:r w:rsidR="0089671D">
              <w:t>Performance</w:t>
            </w:r>
            <w:r w:rsidR="0089671D">
              <w:tab/>
            </w:r>
            <w:r w:rsidR="00D14D1A">
              <w:t xml:space="preserve">  </w:t>
            </w:r>
            <w:r w:rsidR="0089671D">
              <w:t>21</w:t>
            </w:r>
          </w:hyperlink>
        </w:p>
        <w:p w:rsidR="00F3177F" w:rsidRDefault="00CA6556">
          <w:pPr>
            <w:pStyle w:val="TOC5"/>
            <w:numPr>
              <w:ilvl w:val="2"/>
              <w:numId w:val="47"/>
            </w:numPr>
            <w:tabs>
              <w:tab w:val="left" w:pos="2776"/>
              <w:tab w:val="left" w:leader="dot" w:pos="8834"/>
            </w:tabs>
            <w:spacing w:before="43"/>
          </w:pPr>
          <w:hyperlink w:anchor="_TOC_250007" w:history="1">
            <w:r w:rsidR="0089671D">
              <w:t>Building Energy Performance</w:t>
            </w:r>
            <w:r w:rsidR="0089671D">
              <w:rPr>
                <w:spacing w:val="-8"/>
              </w:rPr>
              <w:t xml:space="preserve"> </w:t>
            </w:r>
            <w:r w:rsidR="0089671D">
              <w:t>and</w:t>
            </w:r>
            <w:r w:rsidR="0089671D">
              <w:rPr>
                <w:spacing w:val="-1"/>
              </w:rPr>
              <w:t xml:space="preserve"> </w:t>
            </w:r>
            <w:r w:rsidR="0089671D">
              <w:t>Ratings</w:t>
            </w:r>
            <w:r w:rsidR="0089671D">
              <w:tab/>
            </w:r>
            <w:r w:rsidR="00D14D1A">
              <w:t xml:space="preserve">  </w:t>
            </w:r>
            <w:r w:rsidR="0089671D">
              <w:t>21</w:t>
            </w:r>
          </w:hyperlink>
        </w:p>
        <w:p w:rsidR="00F3177F" w:rsidRDefault="00CA6556">
          <w:pPr>
            <w:pStyle w:val="TOC5"/>
            <w:numPr>
              <w:ilvl w:val="2"/>
              <w:numId w:val="47"/>
            </w:numPr>
            <w:tabs>
              <w:tab w:val="left" w:pos="2776"/>
              <w:tab w:val="left" w:leader="dot" w:pos="8837"/>
            </w:tabs>
          </w:pPr>
          <w:hyperlink w:anchor="_TOC_250006" w:history="1">
            <w:r w:rsidR="0089671D">
              <w:t>Building Energy</w:t>
            </w:r>
            <w:r w:rsidR="0089671D">
              <w:rPr>
                <w:spacing w:val="-8"/>
              </w:rPr>
              <w:t xml:space="preserve"> </w:t>
            </w:r>
            <w:r w:rsidR="0089671D">
              <w:t>(Performance)</w:t>
            </w:r>
            <w:r w:rsidR="0089671D">
              <w:rPr>
                <w:spacing w:val="-1"/>
              </w:rPr>
              <w:t xml:space="preserve"> </w:t>
            </w:r>
            <w:r w:rsidR="0089671D">
              <w:t>Certificates</w:t>
            </w:r>
            <w:r w:rsidR="0089671D">
              <w:tab/>
            </w:r>
            <w:r w:rsidR="00D14D1A">
              <w:t xml:space="preserve">  </w:t>
            </w:r>
            <w:r w:rsidR="0089671D">
              <w:t>25</w:t>
            </w:r>
          </w:hyperlink>
        </w:p>
        <w:p w:rsidR="00F3177F" w:rsidRDefault="00CA6556">
          <w:pPr>
            <w:pStyle w:val="TOC5"/>
            <w:numPr>
              <w:ilvl w:val="2"/>
              <w:numId w:val="47"/>
            </w:numPr>
            <w:tabs>
              <w:tab w:val="left" w:pos="2776"/>
              <w:tab w:val="left" w:leader="dot" w:pos="8841"/>
            </w:tabs>
          </w:pPr>
          <w:hyperlink w:anchor="_TOC_250005" w:history="1">
            <w:r w:rsidR="0089671D">
              <w:t>Energy</w:t>
            </w:r>
            <w:r w:rsidR="0089671D">
              <w:rPr>
                <w:spacing w:val="-4"/>
              </w:rPr>
              <w:t xml:space="preserve"> </w:t>
            </w:r>
            <w:r w:rsidR="0089671D">
              <w:t>Benchmarking</w:t>
            </w:r>
            <w:r w:rsidR="0089671D">
              <w:tab/>
            </w:r>
            <w:r w:rsidR="00D14D1A">
              <w:t xml:space="preserve"> </w:t>
            </w:r>
            <w:r w:rsidR="0089671D">
              <w:t>29</w:t>
            </w:r>
          </w:hyperlink>
        </w:p>
        <w:p w:rsidR="00F3177F" w:rsidRDefault="00CA6556">
          <w:pPr>
            <w:pStyle w:val="TOC3"/>
            <w:numPr>
              <w:ilvl w:val="1"/>
              <w:numId w:val="47"/>
            </w:numPr>
            <w:tabs>
              <w:tab w:val="left" w:pos="2056"/>
              <w:tab w:val="left" w:leader="dot" w:pos="8834"/>
            </w:tabs>
            <w:ind w:left="2055"/>
            <w:jc w:val="left"/>
          </w:pPr>
          <w:hyperlink w:anchor="_TOC_250004" w:history="1">
            <w:r w:rsidR="0089671D">
              <w:t>Energy</w:t>
            </w:r>
            <w:r w:rsidR="0089671D">
              <w:rPr>
                <w:spacing w:val="-6"/>
              </w:rPr>
              <w:t xml:space="preserve"> </w:t>
            </w:r>
            <w:r w:rsidR="0089671D">
              <w:t>and</w:t>
            </w:r>
            <w:r w:rsidR="0089671D">
              <w:rPr>
                <w:spacing w:val="-1"/>
              </w:rPr>
              <w:t xml:space="preserve"> </w:t>
            </w:r>
            <w:r w:rsidR="0089671D">
              <w:t>Schools</w:t>
            </w:r>
            <w:r w:rsidR="0089671D">
              <w:tab/>
            </w:r>
            <w:r w:rsidR="00D14D1A">
              <w:t xml:space="preserve"> </w:t>
            </w:r>
            <w:r w:rsidR="00296818">
              <w:t xml:space="preserve"> </w:t>
            </w:r>
            <w:r w:rsidR="0089671D">
              <w:t>32</w:t>
            </w:r>
          </w:hyperlink>
        </w:p>
        <w:p w:rsidR="00F3177F" w:rsidRDefault="00CA6556">
          <w:pPr>
            <w:pStyle w:val="TOC5"/>
            <w:numPr>
              <w:ilvl w:val="2"/>
              <w:numId w:val="47"/>
            </w:numPr>
            <w:tabs>
              <w:tab w:val="left" w:pos="2776"/>
              <w:tab w:val="left" w:leader="dot" w:pos="8803"/>
            </w:tabs>
          </w:pPr>
          <w:hyperlink w:anchor="_TOC_250003" w:history="1">
            <w:r w:rsidR="0089671D">
              <w:t>Energy Consumptions</w:t>
            </w:r>
            <w:r w:rsidR="0089671D">
              <w:rPr>
                <w:spacing w:val="-5"/>
              </w:rPr>
              <w:t xml:space="preserve"> </w:t>
            </w:r>
            <w:r w:rsidR="0089671D">
              <w:t>in Schools</w:t>
            </w:r>
            <w:r w:rsidR="0089671D">
              <w:tab/>
            </w:r>
            <w:r w:rsidR="00D14D1A">
              <w:t xml:space="preserve"> </w:t>
            </w:r>
            <w:r w:rsidR="00296818">
              <w:t xml:space="preserve"> </w:t>
            </w:r>
            <w:r w:rsidR="0089671D">
              <w:t>32</w:t>
            </w:r>
          </w:hyperlink>
        </w:p>
        <w:p w:rsidR="00F3177F" w:rsidRDefault="0089671D">
          <w:pPr>
            <w:pStyle w:val="TOC5"/>
            <w:numPr>
              <w:ilvl w:val="2"/>
              <w:numId w:val="47"/>
            </w:numPr>
            <w:tabs>
              <w:tab w:val="left" w:pos="2776"/>
            </w:tabs>
            <w:spacing w:before="43"/>
          </w:pPr>
          <w:r>
            <w:t>School Energy Consumption Figures and Benchmarks</w:t>
          </w:r>
          <w:r>
            <w:rPr>
              <w:spacing w:val="-14"/>
            </w:rPr>
            <w:t xml:space="preserve"> </w:t>
          </w:r>
          <w:r>
            <w:t>in</w:t>
          </w:r>
        </w:p>
        <w:p w:rsidR="00F3177F" w:rsidRDefault="0089671D">
          <w:pPr>
            <w:pStyle w:val="TOC6"/>
            <w:tabs>
              <w:tab w:val="left" w:leader="dot" w:pos="8809"/>
            </w:tabs>
          </w:pPr>
          <w:r>
            <w:t>Europa</w:t>
          </w:r>
          <w:r>
            <w:tab/>
          </w:r>
          <w:r w:rsidR="00D14D1A">
            <w:t xml:space="preserve"> </w:t>
          </w:r>
          <w:r>
            <w:t>39</w:t>
          </w:r>
        </w:p>
        <w:p w:rsidR="00F3177F" w:rsidRDefault="00CA6556">
          <w:pPr>
            <w:pStyle w:val="TOC5"/>
            <w:numPr>
              <w:ilvl w:val="2"/>
              <w:numId w:val="47"/>
            </w:numPr>
            <w:tabs>
              <w:tab w:val="left" w:pos="2776"/>
              <w:tab w:val="left" w:leader="dot" w:pos="8808"/>
            </w:tabs>
          </w:pPr>
          <w:hyperlink w:anchor="_TOC_250002" w:history="1">
            <w:r w:rsidR="0089671D">
              <w:t>Energy Auditing</w:t>
            </w:r>
            <w:r w:rsidR="0089671D">
              <w:rPr>
                <w:spacing w:val="-7"/>
              </w:rPr>
              <w:t xml:space="preserve"> </w:t>
            </w:r>
            <w:r w:rsidR="0089671D">
              <w:t>in Schools</w:t>
            </w:r>
            <w:r w:rsidR="0089671D">
              <w:tab/>
            </w:r>
            <w:r w:rsidR="00D14D1A">
              <w:t xml:space="preserve"> </w:t>
            </w:r>
            <w:r w:rsidR="0089671D">
              <w:t>42</w:t>
            </w:r>
          </w:hyperlink>
        </w:p>
        <w:p w:rsidR="00F3177F" w:rsidRDefault="00CA6556">
          <w:pPr>
            <w:pStyle w:val="TOC4"/>
            <w:numPr>
              <w:ilvl w:val="1"/>
              <w:numId w:val="47"/>
            </w:numPr>
            <w:tabs>
              <w:tab w:val="left" w:pos="2145"/>
              <w:tab w:val="left" w:leader="dot" w:pos="8630"/>
            </w:tabs>
            <w:ind w:left="2144"/>
            <w:jc w:val="left"/>
          </w:pPr>
          <w:hyperlink w:anchor="_TOC_250001" w:history="1">
            <w:r w:rsidR="0089671D">
              <w:t>School Energy</w:t>
            </w:r>
            <w:r w:rsidR="0089671D">
              <w:rPr>
                <w:spacing w:val="-5"/>
              </w:rPr>
              <w:t xml:space="preserve"> </w:t>
            </w:r>
            <w:r w:rsidR="0089671D">
              <w:t>Policy</w:t>
            </w:r>
            <w:r w:rsidR="0089671D">
              <w:tab/>
            </w:r>
            <w:r w:rsidR="00D14D1A">
              <w:t xml:space="preserve">    </w:t>
            </w:r>
            <w:r w:rsidR="0089671D">
              <w:t>44</w:t>
            </w:r>
          </w:hyperlink>
        </w:p>
        <w:p w:rsidR="00F3177F" w:rsidRDefault="00CA6556">
          <w:pPr>
            <w:pStyle w:val="TOC5"/>
            <w:numPr>
              <w:ilvl w:val="2"/>
              <w:numId w:val="47"/>
            </w:numPr>
            <w:tabs>
              <w:tab w:val="left" w:pos="2776"/>
              <w:tab w:val="left" w:leader="dot" w:pos="8832"/>
            </w:tabs>
            <w:spacing w:before="43"/>
          </w:pPr>
          <w:hyperlink w:anchor="_TOC_250000" w:history="1">
            <w:r w:rsidR="0089671D">
              <w:t>Significance of Energy</w:t>
            </w:r>
            <w:r w:rsidR="0089671D">
              <w:rPr>
                <w:spacing w:val="-7"/>
              </w:rPr>
              <w:t xml:space="preserve"> </w:t>
            </w:r>
            <w:r w:rsidR="0089671D">
              <w:t>Users’</w:t>
            </w:r>
            <w:r w:rsidR="0089671D">
              <w:rPr>
                <w:spacing w:val="-3"/>
              </w:rPr>
              <w:t xml:space="preserve"> </w:t>
            </w:r>
            <w:r w:rsidR="0089671D">
              <w:t>Behavior</w:t>
            </w:r>
            <w:r w:rsidR="0089671D">
              <w:tab/>
            </w:r>
            <w:r w:rsidR="00D14D1A">
              <w:t xml:space="preserve"> </w:t>
            </w:r>
            <w:r w:rsidR="0089671D">
              <w:t>44</w:t>
            </w:r>
          </w:hyperlink>
        </w:p>
        <w:p w:rsidR="00F3177F" w:rsidRDefault="0089671D">
          <w:pPr>
            <w:pStyle w:val="TOC5"/>
            <w:numPr>
              <w:ilvl w:val="2"/>
              <w:numId w:val="47"/>
            </w:numPr>
            <w:tabs>
              <w:tab w:val="left" w:pos="2776"/>
              <w:tab w:val="left" w:leader="dot" w:pos="8806"/>
            </w:tabs>
          </w:pPr>
          <w:r>
            <w:t>Developing School</w:t>
          </w:r>
          <w:r>
            <w:rPr>
              <w:spacing w:val="-2"/>
            </w:rPr>
            <w:t xml:space="preserve"> </w:t>
          </w:r>
          <w:r>
            <w:t>Energy</w:t>
          </w:r>
          <w:r>
            <w:rPr>
              <w:spacing w:val="-5"/>
            </w:rPr>
            <w:t xml:space="preserve"> </w:t>
          </w:r>
          <w:r>
            <w:t>Policy</w:t>
          </w:r>
          <w:r>
            <w:tab/>
          </w:r>
          <w:r w:rsidR="00D14D1A">
            <w:t xml:space="preserve"> </w:t>
          </w:r>
          <w:r>
            <w:t>45</w:t>
          </w:r>
        </w:p>
      </w:sdtContent>
    </w:sdt>
    <w:p w:rsidR="00F3177F" w:rsidRDefault="00F3177F">
      <w:pPr>
        <w:sectPr w:rsidR="00F3177F">
          <w:pgSz w:w="12240" w:h="15840"/>
          <w:pgMar w:top="1400" w:right="1320" w:bottom="1900" w:left="1720" w:header="0" w:footer="1720" w:gutter="0"/>
          <w:cols w:space="720"/>
        </w:sectPr>
      </w:pPr>
    </w:p>
    <w:p w:rsidR="00F3177F" w:rsidRDefault="0089671D">
      <w:pPr>
        <w:pStyle w:val="ListParagraph"/>
        <w:numPr>
          <w:ilvl w:val="1"/>
          <w:numId w:val="47"/>
        </w:numPr>
        <w:tabs>
          <w:tab w:val="left" w:pos="2085"/>
          <w:tab w:val="left" w:leader="dot" w:pos="8782"/>
        </w:tabs>
        <w:spacing w:before="54" w:line="276" w:lineRule="auto"/>
        <w:ind w:right="140" w:hanging="451"/>
        <w:jc w:val="left"/>
        <w:rPr>
          <w:sz w:val="24"/>
        </w:rPr>
      </w:pPr>
      <w:r>
        <w:rPr>
          <w:sz w:val="24"/>
        </w:rPr>
        <w:lastRenderedPageBreak/>
        <w:t xml:space="preserve">Energy Consumption, School Environment &amp; Students’ </w:t>
      </w:r>
      <w:proofErr w:type="gramStart"/>
      <w:r>
        <w:rPr>
          <w:sz w:val="24"/>
        </w:rPr>
        <w:t>Comfort ..</w:t>
      </w:r>
      <w:proofErr w:type="gramEnd"/>
      <w:r>
        <w:rPr>
          <w:sz w:val="24"/>
        </w:rPr>
        <w:t xml:space="preserve">… 48 2.5.1 </w:t>
      </w:r>
      <w:r>
        <w:rPr>
          <w:spacing w:val="57"/>
          <w:sz w:val="24"/>
        </w:rPr>
        <w:t xml:space="preserve"> </w:t>
      </w:r>
      <w:r>
        <w:rPr>
          <w:sz w:val="24"/>
        </w:rPr>
        <w:t>Thermal</w:t>
      </w:r>
      <w:r>
        <w:rPr>
          <w:spacing w:val="-1"/>
          <w:sz w:val="24"/>
        </w:rPr>
        <w:t xml:space="preserve"> </w:t>
      </w:r>
      <w:r>
        <w:rPr>
          <w:sz w:val="24"/>
        </w:rPr>
        <w:t>Comfort</w:t>
      </w:r>
      <w:r>
        <w:rPr>
          <w:sz w:val="24"/>
        </w:rPr>
        <w:tab/>
        <w:t>50</w:t>
      </w:r>
    </w:p>
    <w:p w:rsidR="00F3177F" w:rsidRDefault="0089671D">
      <w:pPr>
        <w:pStyle w:val="ListParagraph"/>
        <w:numPr>
          <w:ilvl w:val="2"/>
          <w:numId w:val="46"/>
        </w:numPr>
        <w:tabs>
          <w:tab w:val="left" w:pos="2778"/>
          <w:tab w:val="left" w:leader="dot" w:pos="8836"/>
        </w:tabs>
        <w:spacing w:before="1"/>
        <w:ind w:hanging="662"/>
        <w:rPr>
          <w:sz w:val="24"/>
        </w:rPr>
      </w:pPr>
      <w:r>
        <w:rPr>
          <w:sz w:val="24"/>
        </w:rPr>
        <w:t>Indoor</w:t>
      </w:r>
      <w:r>
        <w:rPr>
          <w:spacing w:val="-2"/>
          <w:sz w:val="24"/>
        </w:rPr>
        <w:t xml:space="preserve"> </w:t>
      </w:r>
      <w:r>
        <w:rPr>
          <w:sz w:val="24"/>
        </w:rPr>
        <w:t>Air</w:t>
      </w:r>
      <w:r>
        <w:rPr>
          <w:spacing w:val="-2"/>
          <w:sz w:val="24"/>
        </w:rPr>
        <w:t xml:space="preserve"> </w:t>
      </w:r>
      <w:r>
        <w:rPr>
          <w:sz w:val="24"/>
        </w:rPr>
        <w:t>Quality</w:t>
      </w:r>
      <w:r>
        <w:rPr>
          <w:sz w:val="24"/>
        </w:rPr>
        <w:tab/>
        <w:t>52</w:t>
      </w:r>
    </w:p>
    <w:p w:rsidR="00F3177F" w:rsidRDefault="0089671D">
      <w:pPr>
        <w:pStyle w:val="ListParagraph"/>
        <w:numPr>
          <w:ilvl w:val="2"/>
          <w:numId w:val="46"/>
        </w:numPr>
        <w:tabs>
          <w:tab w:val="left" w:pos="2776"/>
          <w:tab w:val="left" w:leader="dot" w:pos="8834"/>
        </w:tabs>
        <w:spacing w:before="43"/>
        <w:ind w:left="2775" w:hanging="660"/>
        <w:rPr>
          <w:sz w:val="24"/>
        </w:rPr>
      </w:pPr>
      <w:r>
        <w:rPr>
          <w:sz w:val="24"/>
        </w:rPr>
        <w:t>Visual</w:t>
      </w:r>
      <w:r>
        <w:rPr>
          <w:spacing w:val="-1"/>
          <w:sz w:val="24"/>
        </w:rPr>
        <w:t xml:space="preserve"> </w:t>
      </w:r>
      <w:r>
        <w:rPr>
          <w:sz w:val="24"/>
        </w:rPr>
        <w:t>Comfort</w:t>
      </w:r>
      <w:r>
        <w:rPr>
          <w:sz w:val="24"/>
        </w:rPr>
        <w:tab/>
        <w:t>55</w:t>
      </w:r>
    </w:p>
    <w:p w:rsidR="00F3177F" w:rsidRDefault="0089671D">
      <w:pPr>
        <w:pStyle w:val="ListParagraph"/>
        <w:numPr>
          <w:ilvl w:val="2"/>
          <w:numId w:val="46"/>
        </w:numPr>
        <w:tabs>
          <w:tab w:val="left" w:pos="2776"/>
          <w:tab w:val="left" w:leader="dot" w:pos="8820"/>
        </w:tabs>
        <w:spacing w:before="41"/>
        <w:ind w:left="2775" w:hanging="660"/>
        <w:rPr>
          <w:sz w:val="24"/>
        </w:rPr>
      </w:pPr>
      <w:r>
        <w:rPr>
          <w:sz w:val="24"/>
        </w:rPr>
        <w:t>Acoustic</w:t>
      </w:r>
      <w:r>
        <w:rPr>
          <w:spacing w:val="-2"/>
          <w:sz w:val="24"/>
        </w:rPr>
        <w:t xml:space="preserve"> </w:t>
      </w:r>
      <w:r>
        <w:rPr>
          <w:sz w:val="24"/>
        </w:rPr>
        <w:t>Comfort</w:t>
      </w:r>
      <w:r>
        <w:rPr>
          <w:sz w:val="24"/>
        </w:rPr>
        <w:tab/>
        <w:t>57</w:t>
      </w:r>
    </w:p>
    <w:p w:rsidR="00F3177F" w:rsidRDefault="0089671D">
      <w:pPr>
        <w:pStyle w:val="ListParagraph"/>
        <w:numPr>
          <w:ilvl w:val="1"/>
          <w:numId w:val="46"/>
        </w:numPr>
        <w:tabs>
          <w:tab w:val="left" w:pos="2085"/>
          <w:tab w:val="left" w:leader="dot" w:pos="8817"/>
        </w:tabs>
        <w:spacing w:before="41"/>
        <w:ind w:left="2084" w:hanging="420"/>
        <w:jc w:val="left"/>
        <w:rPr>
          <w:sz w:val="24"/>
        </w:rPr>
      </w:pPr>
      <w:r>
        <w:rPr>
          <w:sz w:val="24"/>
        </w:rPr>
        <w:t>Bases of</w:t>
      </w:r>
      <w:r>
        <w:rPr>
          <w:spacing w:val="-2"/>
          <w:sz w:val="24"/>
        </w:rPr>
        <w:t xml:space="preserve"> </w:t>
      </w:r>
      <w:r>
        <w:rPr>
          <w:sz w:val="24"/>
        </w:rPr>
        <w:t>the</w:t>
      </w:r>
      <w:r>
        <w:rPr>
          <w:spacing w:val="-3"/>
          <w:sz w:val="24"/>
        </w:rPr>
        <w:t xml:space="preserve"> </w:t>
      </w:r>
      <w:r>
        <w:rPr>
          <w:sz w:val="24"/>
        </w:rPr>
        <w:t>Hypotheses</w:t>
      </w:r>
      <w:r>
        <w:rPr>
          <w:sz w:val="24"/>
        </w:rPr>
        <w:tab/>
        <w:t>60</w:t>
      </w:r>
    </w:p>
    <w:p w:rsidR="00F3177F" w:rsidRDefault="0089671D">
      <w:pPr>
        <w:pStyle w:val="BodyText"/>
        <w:tabs>
          <w:tab w:val="left" w:leader="dot" w:pos="8825"/>
        </w:tabs>
        <w:spacing w:before="41"/>
        <w:ind w:left="1304"/>
      </w:pPr>
      <w:r>
        <w:t>CHAPTER 3: METHODS</w:t>
      </w:r>
      <w:r>
        <w:rPr>
          <w:spacing w:val="-3"/>
        </w:rPr>
        <w:t xml:space="preserve"> </w:t>
      </w:r>
      <w:r>
        <w:t>AND</w:t>
      </w:r>
      <w:r>
        <w:rPr>
          <w:spacing w:val="-1"/>
        </w:rPr>
        <w:t xml:space="preserve"> </w:t>
      </w:r>
      <w:r>
        <w:t>PROCEDURES</w:t>
      </w:r>
      <w:r>
        <w:tab/>
        <w:t>69</w:t>
      </w:r>
    </w:p>
    <w:p w:rsidR="00F3177F" w:rsidRDefault="0089671D">
      <w:pPr>
        <w:pStyle w:val="ListParagraph"/>
        <w:numPr>
          <w:ilvl w:val="1"/>
          <w:numId w:val="45"/>
        </w:numPr>
        <w:tabs>
          <w:tab w:val="left" w:pos="2145"/>
          <w:tab w:val="left" w:leader="dot" w:pos="8790"/>
        </w:tabs>
        <w:spacing w:before="43"/>
        <w:rPr>
          <w:sz w:val="24"/>
        </w:rPr>
      </w:pPr>
      <w:r>
        <w:rPr>
          <w:sz w:val="24"/>
        </w:rPr>
        <w:t>Overview</w:t>
      </w:r>
      <w:r>
        <w:rPr>
          <w:sz w:val="24"/>
        </w:rPr>
        <w:tab/>
        <w:t>69</w:t>
      </w:r>
    </w:p>
    <w:p w:rsidR="00F3177F" w:rsidRDefault="0089671D">
      <w:pPr>
        <w:pStyle w:val="ListParagraph"/>
        <w:numPr>
          <w:ilvl w:val="1"/>
          <w:numId w:val="45"/>
        </w:numPr>
        <w:tabs>
          <w:tab w:val="left" w:pos="2145"/>
          <w:tab w:val="left" w:leader="dot" w:pos="8823"/>
        </w:tabs>
        <w:spacing w:before="41"/>
        <w:rPr>
          <w:sz w:val="24"/>
        </w:rPr>
      </w:pPr>
      <w:r>
        <w:rPr>
          <w:sz w:val="24"/>
        </w:rPr>
        <w:t>Research-Design</w:t>
      </w:r>
      <w:r>
        <w:rPr>
          <w:sz w:val="24"/>
        </w:rPr>
        <w:tab/>
        <w:t>71</w:t>
      </w:r>
    </w:p>
    <w:p w:rsidR="00F3177F" w:rsidRDefault="0089671D">
      <w:pPr>
        <w:pStyle w:val="ListParagraph"/>
        <w:numPr>
          <w:ilvl w:val="1"/>
          <w:numId w:val="45"/>
        </w:numPr>
        <w:tabs>
          <w:tab w:val="left" w:pos="2145"/>
          <w:tab w:val="left" w:leader="dot" w:pos="8824"/>
        </w:tabs>
        <w:spacing w:before="41"/>
        <w:rPr>
          <w:sz w:val="24"/>
        </w:rPr>
      </w:pPr>
      <w:r>
        <w:rPr>
          <w:sz w:val="24"/>
        </w:rPr>
        <w:t>Population</w:t>
      </w:r>
      <w:r>
        <w:rPr>
          <w:sz w:val="24"/>
        </w:rPr>
        <w:tab/>
        <w:t>72</w:t>
      </w:r>
    </w:p>
    <w:p w:rsidR="00F3177F" w:rsidRDefault="0089671D">
      <w:pPr>
        <w:pStyle w:val="ListParagraph"/>
        <w:numPr>
          <w:ilvl w:val="1"/>
          <w:numId w:val="45"/>
        </w:numPr>
        <w:tabs>
          <w:tab w:val="left" w:pos="2145"/>
          <w:tab w:val="left" w:leader="dot" w:pos="8804"/>
        </w:tabs>
        <w:spacing w:before="41"/>
        <w:rPr>
          <w:sz w:val="24"/>
        </w:rPr>
      </w:pPr>
      <w:r>
        <w:rPr>
          <w:sz w:val="24"/>
        </w:rPr>
        <w:t>Sample</w:t>
      </w:r>
      <w:r>
        <w:rPr>
          <w:sz w:val="24"/>
        </w:rPr>
        <w:tab/>
        <w:t>72</w:t>
      </w:r>
    </w:p>
    <w:p w:rsidR="00F3177F" w:rsidRDefault="0089671D">
      <w:pPr>
        <w:pStyle w:val="ListParagraph"/>
        <w:numPr>
          <w:ilvl w:val="1"/>
          <w:numId w:val="45"/>
        </w:numPr>
        <w:tabs>
          <w:tab w:val="left" w:pos="2147"/>
          <w:tab w:val="left" w:leader="dot" w:pos="8824"/>
        </w:tabs>
        <w:spacing w:before="44"/>
        <w:ind w:left="2146" w:hanging="482"/>
        <w:rPr>
          <w:sz w:val="24"/>
        </w:rPr>
      </w:pPr>
      <w:r>
        <w:rPr>
          <w:sz w:val="24"/>
        </w:rPr>
        <w:t>Instrument</w:t>
      </w:r>
      <w:r>
        <w:rPr>
          <w:sz w:val="24"/>
        </w:rPr>
        <w:tab/>
        <w:t>76</w:t>
      </w:r>
    </w:p>
    <w:p w:rsidR="00F3177F" w:rsidRDefault="0089671D">
      <w:pPr>
        <w:pStyle w:val="ListParagraph"/>
        <w:numPr>
          <w:ilvl w:val="1"/>
          <w:numId w:val="45"/>
        </w:numPr>
        <w:tabs>
          <w:tab w:val="left" w:pos="2145"/>
          <w:tab w:val="left" w:leader="dot" w:pos="8838"/>
        </w:tabs>
        <w:spacing w:before="41"/>
        <w:rPr>
          <w:sz w:val="24"/>
        </w:rPr>
      </w:pPr>
      <w:r>
        <w:rPr>
          <w:sz w:val="24"/>
        </w:rPr>
        <w:t>Data-Collection</w:t>
      </w:r>
      <w:r>
        <w:rPr>
          <w:sz w:val="24"/>
        </w:rPr>
        <w:tab/>
        <w:t>78</w:t>
      </w:r>
    </w:p>
    <w:p w:rsidR="00F3177F" w:rsidRDefault="0089671D">
      <w:pPr>
        <w:pStyle w:val="ListParagraph"/>
        <w:numPr>
          <w:ilvl w:val="1"/>
          <w:numId w:val="45"/>
        </w:numPr>
        <w:tabs>
          <w:tab w:val="left" w:pos="2145"/>
          <w:tab w:val="left" w:leader="dot" w:pos="8838"/>
        </w:tabs>
        <w:spacing w:before="41"/>
        <w:rPr>
          <w:sz w:val="24"/>
        </w:rPr>
      </w:pPr>
      <w:r>
        <w:rPr>
          <w:sz w:val="24"/>
        </w:rPr>
        <w:t>Data-Analyses</w:t>
      </w:r>
      <w:r>
        <w:rPr>
          <w:sz w:val="24"/>
        </w:rPr>
        <w:tab/>
        <w:t>79</w:t>
      </w:r>
    </w:p>
    <w:p w:rsidR="00F3177F" w:rsidRDefault="0089671D">
      <w:pPr>
        <w:pStyle w:val="BodyText"/>
        <w:tabs>
          <w:tab w:val="left" w:leader="dot" w:pos="8800"/>
        </w:tabs>
        <w:spacing w:before="41"/>
        <w:ind w:left="1304"/>
      </w:pPr>
      <w:r>
        <w:t>CHAPTER 4: RESULTS</w:t>
      </w:r>
      <w:r>
        <w:rPr>
          <w:spacing w:val="-4"/>
        </w:rPr>
        <w:t xml:space="preserve"> </w:t>
      </w:r>
      <w:r>
        <w:t>AND</w:t>
      </w:r>
      <w:r>
        <w:rPr>
          <w:spacing w:val="-2"/>
        </w:rPr>
        <w:t xml:space="preserve"> </w:t>
      </w:r>
      <w:r>
        <w:t>DISCUSSION</w:t>
      </w:r>
      <w:r>
        <w:tab/>
      </w:r>
      <w:r w:rsidR="008C4866">
        <w:t xml:space="preserve"> </w:t>
      </w:r>
      <w:r>
        <w:t>85</w:t>
      </w:r>
    </w:p>
    <w:p w:rsidR="00F3177F" w:rsidRDefault="0089671D">
      <w:pPr>
        <w:pStyle w:val="ListParagraph"/>
        <w:numPr>
          <w:ilvl w:val="1"/>
          <w:numId w:val="44"/>
        </w:numPr>
        <w:tabs>
          <w:tab w:val="left" w:pos="2116"/>
          <w:tab w:val="left" w:leader="dot" w:pos="8823"/>
        </w:tabs>
        <w:spacing w:before="43"/>
        <w:ind w:hanging="451"/>
        <w:rPr>
          <w:sz w:val="24"/>
        </w:rPr>
      </w:pPr>
      <w:r>
        <w:rPr>
          <w:sz w:val="24"/>
        </w:rPr>
        <w:t>Results</w:t>
      </w:r>
      <w:r>
        <w:rPr>
          <w:sz w:val="24"/>
        </w:rPr>
        <w:tab/>
      </w:r>
      <w:r w:rsidR="008C4866">
        <w:rPr>
          <w:sz w:val="24"/>
        </w:rPr>
        <w:t xml:space="preserve"> </w:t>
      </w:r>
      <w:r>
        <w:rPr>
          <w:sz w:val="24"/>
        </w:rPr>
        <w:t>85</w:t>
      </w:r>
    </w:p>
    <w:p w:rsidR="00F3177F" w:rsidRDefault="0089671D">
      <w:pPr>
        <w:pStyle w:val="ListParagraph"/>
        <w:numPr>
          <w:ilvl w:val="2"/>
          <w:numId w:val="44"/>
        </w:numPr>
        <w:tabs>
          <w:tab w:val="left" w:pos="2656"/>
          <w:tab w:val="left" w:leader="dot" w:pos="8802"/>
        </w:tabs>
        <w:spacing w:before="41"/>
        <w:rPr>
          <w:sz w:val="24"/>
        </w:rPr>
      </w:pPr>
      <w:r>
        <w:rPr>
          <w:sz w:val="24"/>
        </w:rPr>
        <w:t>The</w:t>
      </w:r>
      <w:r>
        <w:rPr>
          <w:spacing w:val="-3"/>
          <w:sz w:val="24"/>
        </w:rPr>
        <w:t xml:space="preserve"> </w:t>
      </w:r>
      <w:r>
        <w:rPr>
          <w:sz w:val="24"/>
        </w:rPr>
        <w:t>First</w:t>
      </w:r>
      <w:r>
        <w:rPr>
          <w:spacing w:val="-1"/>
          <w:sz w:val="24"/>
        </w:rPr>
        <w:t xml:space="preserve"> </w:t>
      </w:r>
      <w:r>
        <w:rPr>
          <w:sz w:val="24"/>
        </w:rPr>
        <w:t>Stage</w:t>
      </w:r>
      <w:r>
        <w:rPr>
          <w:sz w:val="24"/>
        </w:rPr>
        <w:tab/>
      </w:r>
      <w:r w:rsidR="008C4866">
        <w:rPr>
          <w:sz w:val="24"/>
        </w:rPr>
        <w:t xml:space="preserve"> </w:t>
      </w:r>
      <w:r>
        <w:rPr>
          <w:sz w:val="24"/>
        </w:rPr>
        <w:t>85</w:t>
      </w:r>
    </w:p>
    <w:p w:rsidR="00F3177F" w:rsidRDefault="0089671D">
      <w:pPr>
        <w:pStyle w:val="ListParagraph"/>
        <w:numPr>
          <w:ilvl w:val="2"/>
          <w:numId w:val="44"/>
        </w:numPr>
        <w:tabs>
          <w:tab w:val="left" w:pos="2656"/>
          <w:tab w:val="left" w:leader="dot" w:pos="8829"/>
        </w:tabs>
        <w:spacing w:before="41"/>
        <w:rPr>
          <w:sz w:val="24"/>
        </w:rPr>
      </w:pPr>
      <w:r>
        <w:rPr>
          <w:sz w:val="24"/>
        </w:rPr>
        <w:t>The</w:t>
      </w:r>
      <w:r>
        <w:rPr>
          <w:spacing w:val="-3"/>
          <w:sz w:val="24"/>
        </w:rPr>
        <w:t xml:space="preserve"> </w:t>
      </w:r>
      <w:r>
        <w:rPr>
          <w:sz w:val="24"/>
        </w:rPr>
        <w:t>Second</w:t>
      </w:r>
      <w:r>
        <w:rPr>
          <w:spacing w:val="-1"/>
          <w:sz w:val="24"/>
        </w:rPr>
        <w:t xml:space="preserve"> </w:t>
      </w:r>
      <w:r>
        <w:rPr>
          <w:sz w:val="24"/>
        </w:rPr>
        <w:t>Stage</w:t>
      </w:r>
      <w:r>
        <w:rPr>
          <w:sz w:val="24"/>
        </w:rPr>
        <w:tab/>
      </w:r>
      <w:r w:rsidR="008C4866">
        <w:rPr>
          <w:sz w:val="24"/>
        </w:rPr>
        <w:t xml:space="preserve"> </w:t>
      </w:r>
      <w:r>
        <w:rPr>
          <w:sz w:val="24"/>
        </w:rPr>
        <w:t>94</w:t>
      </w:r>
    </w:p>
    <w:p w:rsidR="00F3177F" w:rsidRDefault="0089671D">
      <w:pPr>
        <w:pStyle w:val="ListParagraph"/>
        <w:numPr>
          <w:ilvl w:val="2"/>
          <w:numId w:val="44"/>
        </w:numPr>
        <w:tabs>
          <w:tab w:val="left" w:pos="2656"/>
          <w:tab w:val="left" w:leader="dot" w:pos="8669"/>
        </w:tabs>
        <w:spacing w:before="41"/>
        <w:rPr>
          <w:sz w:val="24"/>
        </w:rPr>
      </w:pPr>
      <w:r>
        <w:rPr>
          <w:sz w:val="24"/>
        </w:rPr>
        <w:t>Analyses of the</w:t>
      </w:r>
      <w:r>
        <w:rPr>
          <w:spacing w:val="-6"/>
          <w:sz w:val="24"/>
        </w:rPr>
        <w:t xml:space="preserve"> </w:t>
      </w:r>
      <w:r>
        <w:rPr>
          <w:sz w:val="24"/>
        </w:rPr>
        <w:t>Research Hypotheses</w:t>
      </w:r>
      <w:r>
        <w:rPr>
          <w:sz w:val="24"/>
        </w:rPr>
        <w:tab/>
      </w:r>
      <w:r w:rsidR="00D14D1A">
        <w:rPr>
          <w:sz w:val="24"/>
        </w:rPr>
        <w:t xml:space="preserve"> </w:t>
      </w:r>
      <w:r w:rsidR="008C4866">
        <w:rPr>
          <w:sz w:val="24"/>
        </w:rPr>
        <w:t xml:space="preserve"> </w:t>
      </w:r>
      <w:r>
        <w:rPr>
          <w:sz w:val="24"/>
        </w:rPr>
        <w:t>112</w:t>
      </w:r>
    </w:p>
    <w:p w:rsidR="00F3177F" w:rsidRDefault="0089671D">
      <w:pPr>
        <w:pStyle w:val="ListParagraph"/>
        <w:numPr>
          <w:ilvl w:val="1"/>
          <w:numId w:val="44"/>
        </w:numPr>
        <w:tabs>
          <w:tab w:val="left" w:pos="2085"/>
          <w:tab w:val="left" w:leader="dot" w:pos="8678"/>
        </w:tabs>
        <w:spacing w:before="43"/>
        <w:ind w:left="2084" w:hanging="420"/>
        <w:rPr>
          <w:sz w:val="24"/>
        </w:rPr>
      </w:pPr>
      <w:r>
        <w:rPr>
          <w:sz w:val="24"/>
        </w:rPr>
        <w:t>Conclusions, Discussion</w:t>
      </w:r>
      <w:r>
        <w:rPr>
          <w:spacing w:val="-1"/>
          <w:sz w:val="24"/>
        </w:rPr>
        <w:t xml:space="preserve"> </w:t>
      </w:r>
      <w:r>
        <w:rPr>
          <w:sz w:val="24"/>
        </w:rPr>
        <w:t>and</w:t>
      </w:r>
      <w:r>
        <w:rPr>
          <w:spacing w:val="-1"/>
          <w:sz w:val="24"/>
        </w:rPr>
        <w:t xml:space="preserve"> </w:t>
      </w:r>
      <w:r>
        <w:rPr>
          <w:sz w:val="24"/>
        </w:rPr>
        <w:t>Recommendations</w:t>
      </w:r>
      <w:r>
        <w:rPr>
          <w:sz w:val="24"/>
        </w:rPr>
        <w:tab/>
      </w:r>
      <w:r w:rsidR="008C4866">
        <w:rPr>
          <w:sz w:val="24"/>
        </w:rPr>
        <w:t xml:space="preserve">  </w:t>
      </w:r>
      <w:r>
        <w:rPr>
          <w:sz w:val="24"/>
        </w:rPr>
        <w:t>131</w:t>
      </w:r>
    </w:p>
    <w:p w:rsidR="00F3177F" w:rsidRDefault="0089671D">
      <w:pPr>
        <w:pStyle w:val="BodyText"/>
        <w:tabs>
          <w:tab w:val="left" w:leader="dot" w:pos="8693"/>
        </w:tabs>
        <w:spacing w:before="41"/>
        <w:ind w:left="584"/>
      </w:pPr>
      <w:r>
        <w:t>REFERENCES</w:t>
      </w:r>
      <w:r>
        <w:tab/>
      </w:r>
      <w:r w:rsidR="008C4866">
        <w:t xml:space="preserve">  </w:t>
      </w:r>
      <w:r>
        <w:t>140</w:t>
      </w:r>
    </w:p>
    <w:p w:rsidR="00F3177F" w:rsidRDefault="0089671D">
      <w:pPr>
        <w:pStyle w:val="BodyText"/>
        <w:tabs>
          <w:tab w:val="left" w:leader="dot" w:pos="8700"/>
        </w:tabs>
        <w:spacing w:before="41"/>
        <w:ind w:left="584"/>
      </w:pPr>
      <w:r>
        <w:t>APPENDICES</w:t>
      </w:r>
      <w:r>
        <w:tab/>
      </w:r>
      <w:r w:rsidR="008C4866">
        <w:t xml:space="preserve">  </w:t>
      </w:r>
      <w:r>
        <w:t>170</w:t>
      </w:r>
    </w:p>
    <w:p w:rsidR="00F3177F" w:rsidRDefault="0089671D">
      <w:pPr>
        <w:pStyle w:val="BodyText"/>
        <w:spacing w:before="41"/>
        <w:ind w:left="584" w:right="151"/>
      </w:pPr>
      <w:r>
        <w:t>A: Örebro Questionnaire and the average complaint percentages for the minimum</w:t>
      </w:r>
    </w:p>
    <w:p w:rsidR="00F3177F" w:rsidRDefault="0089671D">
      <w:pPr>
        <w:pStyle w:val="BodyText"/>
        <w:tabs>
          <w:tab w:val="left" w:leader="dot" w:pos="8701"/>
        </w:tabs>
        <w:spacing w:before="41"/>
        <w:ind w:left="855"/>
      </w:pPr>
      <w:proofErr w:type="gramStart"/>
      <w:r>
        <w:t>and</w:t>
      </w:r>
      <w:proofErr w:type="gramEnd"/>
      <w:r>
        <w:t xml:space="preserve"> maximum energy consuming state schools in</w:t>
      </w:r>
      <w:r>
        <w:rPr>
          <w:spacing w:val="-5"/>
        </w:rPr>
        <w:t xml:space="preserve"> </w:t>
      </w:r>
      <w:r>
        <w:t>Pristina</w:t>
      </w:r>
      <w:r>
        <w:rPr>
          <w:spacing w:val="2"/>
        </w:rPr>
        <w:t xml:space="preserve"> </w:t>
      </w:r>
      <w:r>
        <w:t>Municipality</w:t>
      </w:r>
      <w:r>
        <w:tab/>
      </w:r>
      <w:r w:rsidR="008C4866">
        <w:t xml:space="preserve"> </w:t>
      </w:r>
      <w:r>
        <w:t>170</w:t>
      </w:r>
    </w:p>
    <w:p w:rsidR="00F3177F" w:rsidRDefault="0089671D">
      <w:pPr>
        <w:pStyle w:val="BodyText"/>
        <w:tabs>
          <w:tab w:val="left" w:leader="dot" w:pos="8712"/>
        </w:tabs>
        <w:spacing w:before="43"/>
        <w:ind w:left="584"/>
      </w:pPr>
      <w:r>
        <w:t>B: A Sample Primary School</w:t>
      </w:r>
      <w:r>
        <w:rPr>
          <w:spacing w:val="-4"/>
        </w:rPr>
        <w:t xml:space="preserve"> </w:t>
      </w:r>
      <w:r>
        <w:t>Energy</w:t>
      </w:r>
      <w:r>
        <w:rPr>
          <w:spacing w:val="-5"/>
        </w:rPr>
        <w:t xml:space="preserve"> </w:t>
      </w:r>
      <w:r>
        <w:t>Policy</w:t>
      </w:r>
      <w:r>
        <w:tab/>
      </w:r>
      <w:r w:rsidR="008C4866">
        <w:t xml:space="preserve"> </w:t>
      </w:r>
      <w:r>
        <w:t>173</w:t>
      </w:r>
    </w:p>
    <w:p w:rsidR="00F3177F" w:rsidRDefault="0089671D" w:rsidP="008C4866">
      <w:pPr>
        <w:pStyle w:val="BodyText"/>
        <w:tabs>
          <w:tab w:val="left" w:leader="dot" w:pos="8716"/>
        </w:tabs>
        <w:spacing w:before="41" w:line="276" w:lineRule="auto"/>
        <w:ind w:left="584"/>
      </w:pPr>
      <w:r>
        <w:t>C: Key Elements and Potential Changes in the Kosovo Legislative Framework …</w:t>
      </w:r>
      <w:r w:rsidR="006259EA">
        <w:t>..</w:t>
      </w:r>
      <w:r>
        <w:t xml:space="preserve">. </w:t>
      </w:r>
      <w:r w:rsidR="008C4866">
        <w:t xml:space="preserve">  </w:t>
      </w:r>
      <w:r>
        <w:t>175 D: Energy Efficiency Barrier Matrix for</w:t>
      </w:r>
      <w:r>
        <w:rPr>
          <w:spacing w:val="-12"/>
        </w:rPr>
        <w:t xml:space="preserve"> </w:t>
      </w:r>
      <w:r>
        <w:t>Public</w:t>
      </w:r>
      <w:r>
        <w:rPr>
          <w:spacing w:val="-2"/>
        </w:rPr>
        <w:t xml:space="preserve"> </w:t>
      </w:r>
      <w:r>
        <w:t>Sector</w:t>
      </w:r>
      <w:r>
        <w:tab/>
      </w:r>
      <w:r w:rsidR="008C4866">
        <w:t xml:space="preserve"> </w:t>
      </w:r>
      <w:r>
        <w:t>180</w:t>
      </w:r>
    </w:p>
    <w:p w:rsidR="00F3177F" w:rsidRDefault="0089671D">
      <w:pPr>
        <w:pStyle w:val="BodyText"/>
        <w:tabs>
          <w:tab w:val="left" w:leader="dot" w:pos="8671"/>
        </w:tabs>
        <w:spacing w:before="1"/>
        <w:ind w:left="584"/>
      </w:pPr>
      <w:r>
        <w:t>E: Questionnaire to Determine Energy Consumption</w:t>
      </w:r>
      <w:r>
        <w:rPr>
          <w:spacing w:val="-12"/>
        </w:rPr>
        <w:t xml:space="preserve"> </w:t>
      </w:r>
      <w:r>
        <w:t>in</w:t>
      </w:r>
      <w:r>
        <w:rPr>
          <w:spacing w:val="-1"/>
        </w:rPr>
        <w:t xml:space="preserve"> </w:t>
      </w:r>
      <w:r>
        <w:t>Buildings</w:t>
      </w:r>
      <w:r>
        <w:tab/>
      </w:r>
      <w:r w:rsidR="008C4866">
        <w:t xml:space="preserve">  </w:t>
      </w:r>
      <w:r>
        <w:t>182</w:t>
      </w:r>
    </w:p>
    <w:p w:rsidR="00F3177F" w:rsidRDefault="00F3177F">
      <w:pPr>
        <w:sectPr w:rsidR="00F3177F">
          <w:pgSz w:w="12240" w:h="15840"/>
          <w:pgMar w:top="1380" w:right="1340" w:bottom="1900" w:left="1720" w:header="0" w:footer="1720" w:gutter="0"/>
          <w:cols w:space="720"/>
        </w:sectPr>
      </w:pPr>
    </w:p>
    <w:p w:rsidR="00F3177F" w:rsidRDefault="0089671D">
      <w:pPr>
        <w:pStyle w:val="Heading1"/>
        <w:ind w:right="3966"/>
      </w:pPr>
      <w:bookmarkStart w:id="8" w:name="_TOC_250023"/>
      <w:bookmarkEnd w:id="8"/>
      <w:r>
        <w:lastRenderedPageBreak/>
        <w:t>LIST OF TABLES</w:t>
      </w:r>
    </w:p>
    <w:p w:rsidR="00F3177F" w:rsidRDefault="00F3177F">
      <w:pPr>
        <w:pStyle w:val="BodyText"/>
        <w:spacing w:before="7"/>
        <w:rPr>
          <w:b/>
          <w:sz w:val="27"/>
        </w:rPr>
      </w:pPr>
    </w:p>
    <w:p w:rsidR="00F3177F" w:rsidRDefault="0089671D">
      <w:pPr>
        <w:pStyle w:val="BodyText"/>
        <w:tabs>
          <w:tab w:val="left" w:pos="1664"/>
          <w:tab w:val="left" w:leader="dot" w:pos="8822"/>
        </w:tabs>
        <w:spacing w:line="360" w:lineRule="auto"/>
        <w:ind w:left="1664" w:right="115" w:hanging="1080"/>
      </w:pPr>
      <w:r>
        <w:t>Table</w:t>
      </w:r>
      <w:r>
        <w:rPr>
          <w:spacing w:val="-1"/>
        </w:rPr>
        <w:t xml:space="preserve"> </w:t>
      </w:r>
      <w:r>
        <w:t>1</w:t>
      </w:r>
      <w:r>
        <w:tab/>
        <w:t>Comparison of data characteristics used in school</w:t>
      </w:r>
      <w:r>
        <w:rPr>
          <w:spacing w:val="-6"/>
        </w:rPr>
        <w:t xml:space="preserve"> </w:t>
      </w:r>
      <w:r>
        <w:t>energy</w:t>
      </w:r>
      <w:r>
        <w:rPr>
          <w:spacing w:val="-6"/>
        </w:rPr>
        <w:t xml:space="preserve"> </w:t>
      </w:r>
      <w:r>
        <w:t>consumption literature</w:t>
      </w:r>
      <w:r>
        <w:rPr>
          <w:spacing w:val="-4"/>
        </w:rPr>
        <w:t xml:space="preserve"> </w:t>
      </w:r>
      <w:r>
        <w:t>analysis</w:t>
      </w:r>
      <w:r>
        <w:tab/>
        <w:t>38</w:t>
      </w:r>
    </w:p>
    <w:p w:rsidR="00F3177F" w:rsidRDefault="0089671D">
      <w:pPr>
        <w:pStyle w:val="BodyText"/>
        <w:tabs>
          <w:tab w:val="left" w:pos="1664"/>
          <w:tab w:val="left" w:leader="dot" w:pos="8838"/>
        </w:tabs>
        <w:spacing w:before="4"/>
        <w:ind w:left="584"/>
      </w:pPr>
      <w:r>
        <w:t>Table</w:t>
      </w:r>
      <w:r>
        <w:rPr>
          <w:spacing w:val="-2"/>
        </w:rPr>
        <w:t xml:space="preserve"> </w:t>
      </w:r>
      <w:r>
        <w:t>2</w:t>
      </w:r>
      <w:r>
        <w:tab/>
        <w:t>Energy Consumption by Building Type</w:t>
      </w:r>
      <w:r>
        <w:rPr>
          <w:spacing w:val="-12"/>
        </w:rPr>
        <w:t xml:space="preserve"> </w:t>
      </w:r>
      <w:r>
        <w:t>in Municipalities</w:t>
      </w:r>
      <w:r>
        <w:tab/>
        <w:t>65</w:t>
      </w:r>
    </w:p>
    <w:p w:rsidR="00F3177F" w:rsidRDefault="0089671D">
      <w:pPr>
        <w:pStyle w:val="BodyText"/>
        <w:tabs>
          <w:tab w:val="left" w:pos="1664"/>
          <w:tab w:val="left" w:leader="dot" w:pos="8814"/>
        </w:tabs>
        <w:spacing w:before="139"/>
        <w:ind w:left="584"/>
      </w:pPr>
      <w:r>
        <w:rPr>
          <w:spacing w:val="-3"/>
        </w:rPr>
        <w:t>Table</w:t>
      </w:r>
      <w:r>
        <w:rPr>
          <w:spacing w:val="-4"/>
        </w:rPr>
        <w:t xml:space="preserve"> </w:t>
      </w:r>
      <w:r>
        <w:t>3</w:t>
      </w:r>
      <w:r>
        <w:tab/>
        <w:t xml:space="preserve">Energy Efficiency Measures </w:t>
      </w:r>
      <w:r>
        <w:rPr>
          <w:spacing w:val="-3"/>
        </w:rPr>
        <w:t>and</w:t>
      </w:r>
      <w:r>
        <w:rPr>
          <w:spacing w:val="-40"/>
        </w:rPr>
        <w:t xml:space="preserve"> </w:t>
      </w:r>
      <w:r>
        <w:rPr>
          <w:spacing w:val="-3"/>
        </w:rPr>
        <w:t>Potential</w:t>
      </w:r>
      <w:r>
        <w:rPr>
          <w:spacing w:val="-6"/>
        </w:rPr>
        <w:t xml:space="preserve"> </w:t>
      </w:r>
      <w:r>
        <w:rPr>
          <w:spacing w:val="-3"/>
        </w:rPr>
        <w:t>Savings</w:t>
      </w:r>
      <w:r>
        <w:rPr>
          <w:spacing w:val="-3"/>
        </w:rPr>
        <w:tab/>
      </w:r>
      <w:r>
        <w:t>67</w:t>
      </w:r>
    </w:p>
    <w:p w:rsidR="00F3177F" w:rsidRDefault="0089671D">
      <w:pPr>
        <w:pStyle w:val="BodyText"/>
        <w:tabs>
          <w:tab w:val="left" w:pos="1664"/>
          <w:tab w:val="left" w:leader="dot" w:pos="8824"/>
        </w:tabs>
        <w:spacing w:before="137"/>
        <w:ind w:left="584"/>
      </w:pPr>
      <w:r>
        <w:t>Table</w:t>
      </w:r>
      <w:r>
        <w:rPr>
          <w:spacing w:val="-1"/>
        </w:rPr>
        <w:t xml:space="preserve"> </w:t>
      </w:r>
      <w:r>
        <w:t>4</w:t>
      </w:r>
      <w:r>
        <w:tab/>
        <w:t>Results of Energy</w:t>
      </w:r>
      <w:r>
        <w:rPr>
          <w:spacing w:val="-5"/>
        </w:rPr>
        <w:t xml:space="preserve"> </w:t>
      </w:r>
      <w:r>
        <w:t>Audits</w:t>
      </w:r>
      <w:r>
        <w:tab/>
        <w:t>68</w:t>
      </w:r>
    </w:p>
    <w:p w:rsidR="00F3177F" w:rsidRDefault="0089671D">
      <w:pPr>
        <w:pStyle w:val="BodyText"/>
        <w:tabs>
          <w:tab w:val="left" w:pos="1664"/>
          <w:tab w:val="left" w:leader="dot" w:pos="8812"/>
        </w:tabs>
        <w:spacing w:before="139" w:line="360" w:lineRule="auto"/>
        <w:ind w:left="584" w:right="125"/>
      </w:pPr>
      <w:r>
        <w:t>Table</w:t>
      </w:r>
      <w:r>
        <w:rPr>
          <w:spacing w:val="-1"/>
        </w:rPr>
        <w:t xml:space="preserve"> </w:t>
      </w:r>
      <w:r>
        <w:t>5</w:t>
      </w:r>
      <w:r>
        <w:tab/>
        <w:t xml:space="preserve">Features of the three </w:t>
      </w:r>
      <w:proofErr w:type="gramStart"/>
      <w:r>
        <w:t>MAXECSs  and</w:t>
      </w:r>
      <w:proofErr w:type="gramEnd"/>
      <w:r>
        <w:t xml:space="preserve"> three MINECSs per students</w:t>
      </w:r>
      <w:r>
        <w:rPr>
          <w:spacing w:val="-8"/>
        </w:rPr>
        <w:t xml:space="preserve"> </w:t>
      </w:r>
      <w:r>
        <w:t xml:space="preserve">…… </w:t>
      </w:r>
      <w:r>
        <w:rPr>
          <w:spacing w:val="58"/>
        </w:rPr>
        <w:t xml:space="preserve"> </w:t>
      </w:r>
      <w:r>
        <w:t>74 Table</w:t>
      </w:r>
      <w:r>
        <w:rPr>
          <w:spacing w:val="-1"/>
        </w:rPr>
        <w:t xml:space="preserve"> </w:t>
      </w:r>
      <w:r>
        <w:t>6</w:t>
      </w:r>
      <w:r>
        <w:tab/>
        <w:t>School and Energy Consumption Figures as</w:t>
      </w:r>
      <w:r>
        <w:rPr>
          <w:spacing w:val="-8"/>
        </w:rPr>
        <w:t xml:space="preserve"> </w:t>
      </w:r>
      <w:r>
        <w:t>a</w:t>
      </w:r>
      <w:r>
        <w:rPr>
          <w:spacing w:val="-1"/>
        </w:rPr>
        <w:t xml:space="preserve"> </w:t>
      </w:r>
      <w:r>
        <w:t>Sample</w:t>
      </w:r>
      <w:r>
        <w:tab/>
        <w:t>77</w:t>
      </w:r>
    </w:p>
    <w:p w:rsidR="00F3177F" w:rsidRDefault="0089671D">
      <w:pPr>
        <w:pStyle w:val="BodyText"/>
        <w:tabs>
          <w:tab w:val="left" w:pos="1664"/>
          <w:tab w:val="left" w:leader="dot" w:pos="8815"/>
        </w:tabs>
        <w:spacing w:before="7" w:line="348" w:lineRule="auto"/>
        <w:ind w:left="1664" w:right="121" w:hanging="1080"/>
      </w:pPr>
      <w:r>
        <w:t>Table</w:t>
      </w:r>
      <w:r>
        <w:rPr>
          <w:spacing w:val="-1"/>
        </w:rPr>
        <w:t xml:space="preserve"> </w:t>
      </w:r>
      <w:r>
        <w:t>7</w:t>
      </w:r>
      <w:r>
        <w:tab/>
        <w:t xml:space="preserve">Average energy consumptions and </w:t>
      </w:r>
      <w:proofErr w:type="gramStart"/>
      <w:r>
        <w:t>CO</w:t>
      </w:r>
      <w:r>
        <w:rPr>
          <w:position w:val="-2"/>
          <w:sz w:val="16"/>
        </w:rPr>
        <w:t xml:space="preserve">2  </w:t>
      </w:r>
      <w:r>
        <w:t>emissions</w:t>
      </w:r>
      <w:proofErr w:type="gramEnd"/>
      <w:r>
        <w:t xml:space="preserve"> comparison</w:t>
      </w:r>
      <w:r>
        <w:rPr>
          <w:spacing w:val="-31"/>
        </w:rPr>
        <w:t xml:space="preserve"> </w:t>
      </w:r>
      <w:r>
        <w:t>for all searched</w:t>
      </w:r>
      <w:r>
        <w:rPr>
          <w:spacing w:val="-2"/>
        </w:rPr>
        <w:t xml:space="preserve"> </w:t>
      </w:r>
      <w:r>
        <w:t>categories</w:t>
      </w:r>
      <w:r>
        <w:tab/>
        <w:t>86</w:t>
      </w:r>
    </w:p>
    <w:p w:rsidR="00F3177F" w:rsidRDefault="0089671D">
      <w:pPr>
        <w:pStyle w:val="BodyText"/>
        <w:tabs>
          <w:tab w:val="left" w:pos="1664"/>
        </w:tabs>
        <w:spacing w:before="19" w:line="348" w:lineRule="auto"/>
        <w:ind w:left="1664" w:right="668" w:hanging="1080"/>
      </w:pPr>
      <w:r>
        <w:t>Table</w:t>
      </w:r>
      <w:r>
        <w:rPr>
          <w:spacing w:val="-1"/>
        </w:rPr>
        <w:t xml:space="preserve"> </w:t>
      </w:r>
      <w:r>
        <w:t>8</w:t>
      </w:r>
      <w:r>
        <w:tab/>
        <w:t xml:space="preserve">Average energy consumptions and </w:t>
      </w:r>
      <w:proofErr w:type="gramStart"/>
      <w:r>
        <w:t>CO</w:t>
      </w:r>
      <w:r>
        <w:rPr>
          <w:position w:val="-2"/>
          <w:sz w:val="16"/>
        </w:rPr>
        <w:t xml:space="preserve">2  </w:t>
      </w:r>
      <w:r>
        <w:t>emissions</w:t>
      </w:r>
      <w:proofErr w:type="gramEnd"/>
      <w:r>
        <w:rPr>
          <w:spacing w:val="-30"/>
        </w:rPr>
        <w:t xml:space="preserve"> </w:t>
      </w:r>
      <w:r>
        <w:t>comparison</w:t>
      </w:r>
      <w:r>
        <w:rPr>
          <w:spacing w:val="-2"/>
        </w:rPr>
        <w:t xml:space="preserve"> </w:t>
      </w:r>
      <w:r>
        <w:t>between the state schools in Pristina and Vushturi Central Municipalities</w:t>
      </w:r>
      <w:r>
        <w:rPr>
          <w:spacing w:val="3"/>
        </w:rPr>
        <w:t xml:space="preserve"> </w:t>
      </w:r>
      <w:r>
        <w:t>for</w:t>
      </w:r>
    </w:p>
    <w:p w:rsidR="00F3177F" w:rsidRDefault="0089671D">
      <w:pPr>
        <w:pStyle w:val="BodyText"/>
        <w:tabs>
          <w:tab w:val="left" w:leader="dot" w:pos="8817"/>
        </w:tabs>
        <w:spacing w:before="19"/>
        <w:ind w:left="1664"/>
      </w:pPr>
      <w:proofErr w:type="gramStart"/>
      <w:r>
        <w:t>all</w:t>
      </w:r>
      <w:proofErr w:type="gramEnd"/>
      <w:r>
        <w:rPr>
          <w:spacing w:val="-2"/>
        </w:rPr>
        <w:t xml:space="preserve"> </w:t>
      </w:r>
      <w:r>
        <w:t>searched</w:t>
      </w:r>
      <w:r>
        <w:rPr>
          <w:spacing w:val="-2"/>
        </w:rPr>
        <w:t xml:space="preserve"> </w:t>
      </w:r>
      <w:r>
        <w:t>categories</w:t>
      </w:r>
      <w:r>
        <w:tab/>
        <w:t>93</w:t>
      </w:r>
    </w:p>
    <w:p w:rsidR="00F3177F" w:rsidRDefault="0089671D">
      <w:pPr>
        <w:pStyle w:val="BodyText"/>
        <w:tabs>
          <w:tab w:val="left" w:pos="1664"/>
        </w:tabs>
        <w:spacing w:before="137"/>
        <w:ind w:left="584" w:right="151"/>
      </w:pPr>
      <w:r>
        <w:t>Table</w:t>
      </w:r>
      <w:r>
        <w:rPr>
          <w:spacing w:val="-1"/>
        </w:rPr>
        <w:t xml:space="preserve"> </w:t>
      </w:r>
      <w:r>
        <w:t>9</w:t>
      </w:r>
      <w:r>
        <w:tab/>
        <w:t>The highest and lowest complaint items and their percentages</w:t>
      </w:r>
      <w:r>
        <w:rPr>
          <w:spacing w:val="-16"/>
        </w:rPr>
        <w:t xml:space="preserve"> </w:t>
      </w:r>
      <w:r>
        <w:t>in</w:t>
      </w:r>
    </w:p>
    <w:p w:rsidR="00F3177F" w:rsidRDefault="0089671D">
      <w:pPr>
        <w:pStyle w:val="BodyText"/>
        <w:tabs>
          <w:tab w:val="left" w:leader="dot" w:pos="8788"/>
        </w:tabs>
        <w:spacing w:before="139"/>
        <w:ind w:left="1664"/>
      </w:pPr>
      <w:r>
        <w:t>MAXECSs and MINECS</w:t>
      </w:r>
      <w:r>
        <w:rPr>
          <w:spacing w:val="-2"/>
        </w:rPr>
        <w:t xml:space="preserve"> </w:t>
      </w:r>
      <w:r>
        <w:t>in</w:t>
      </w:r>
      <w:r>
        <w:rPr>
          <w:spacing w:val="-1"/>
        </w:rPr>
        <w:t xml:space="preserve"> </w:t>
      </w:r>
      <w:r>
        <w:t>PCM</w:t>
      </w:r>
      <w:r>
        <w:tab/>
        <w:t>96</w:t>
      </w:r>
    </w:p>
    <w:p w:rsidR="00F3177F" w:rsidRDefault="0089671D">
      <w:pPr>
        <w:pStyle w:val="BodyText"/>
        <w:tabs>
          <w:tab w:val="left" w:pos="1664"/>
        </w:tabs>
        <w:spacing w:before="137"/>
        <w:ind w:left="584" w:right="151"/>
      </w:pPr>
      <w:r>
        <w:t>Table</w:t>
      </w:r>
      <w:r>
        <w:rPr>
          <w:spacing w:val="-1"/>
        </w:rPr>
        <w:t xml:space="preserve"> </w:t>
      </w:r>
      <w:r>
        <w:t>10</w:t>
      </w:r>
      <w:r>
        <w:tab/>
        <w:t>Items with the Highest Comfort Level Differences in Favour of</w:t>
      </w:r>
      <w:r>
        <w:rPr>
          <w:spacing w:val="-11"/>
        </w:rPr>
        <w:t xml:space="preserve"> </w:t>
      </w:r>
      <w:r>
        <w:t>High</w:t>
      </w:r>
    </w:p>
    <w:p w:rsidR="00F3177F" w:rsidRDefault="0089671D">
      <w:pPr>
        <w:pStyle w:val="BodyText"/>
        <w:tabs>
          <w:tab w:val="left" w:leader="dot" w:pos="8812"/>
        </w:tabs>
        <w:spacing w:before="139"/>
        <w:ind w:left="1664"/>
      </w:pPr>
      <w:r>
        <w:t>Energy Consuming Schools and Percentages of</w:t>
      </w:r>
      <w:r>
        <w:rPr>
          <w:spacing w:val="-10"/>
        </w:rPr>
        <w:t xml:space="preserve"> </w:t>
      </w:r>
      <w:r>
        <w:t>the</w:t>
      </w:r>
      <w:r>
        <w:rPr>
          <w:spacing w:val="-2"/>
        </w:rPr>
        <w:t xml:space="preserve"> </w:t>
      </w:r>
      <w:r>
        <w:t>Diffeences</w:t>
      </w:r>
      <w:r>
        <w:tab/>
        <w:t>98</w:t>
      </w:r>
    </w:p>
    <w:p w:rsidR="00F3177F" w:rsidRDefault="0089671D">
      <w:pPr>
        <w:pStyle w:val="BodyText"/>
        <w:tabs>
          <w:tab w:val="left" w:pos="1664"/>
        </w:tabs>
        <w:spacing w:before="137"/>
        <w:ind w:left="584" w:right="151"/>
      </w:pPr>
      <w:r>
        <w:t>Table</w:t>
      </w:r>
      <w:r>
        <w:rPr>
          <w:spacing w:val="-1"/>
        </w:rPr>
        <w:t xml:space="preserve"> </w:t>
      </w:r>
      <w:r>
        <w:t>11</w:t>
      </w:r>
      <w:r>
        <w:tab/>
        <w:t>The highest students’ complaint differences between the last and</w:t>
      </w:r>
      <w:r>
        <w:rPr>
          <w:spacing w:val="-10"/>
        </w:rPr>
        <w:t xml:space="preserve"> </w:t>
      </w:r>
      <w:r>
        <w:t>first</w:t>
      </w:r>
    </w:p>
    <w:p w:rsidR="00F3177F" w:rsidRDefault="0089671D">
      <w:pPr>
        <w:pStyle w:val="BodyText"/>
        <w:tabs>
          <w:tab w:val="left" w:leader="dot" w:pos="8682"/>
        </w:tabs>
        <w:spacing w:before="139"/>
        <w:ind w:left="1664"/>
      </w:pPr>
      <w:proofErr w:type="gramStart"/>
      <w:r>
        <w:t>three</w:t>
      </w:r>
      <w:proofErr w:type="gramEnd"/>
      <w:r>
        <w:t xml:space="preserve"> lessons</w:t>
      </w:r>
      <w:r>
        <w:rPr>
          <w:spacing w:val="4"/>
        </w:rPr>
        <w:t xml:space="preserve"> </w:t>
      </w:r>
      <w:r>
        <w:t>in</w:t>
      </w:r>
      <w:r>
        <w:rPr>
          <w:spacing w:val="-1"/>
        </w:rPr>
        <w:t xml:space="preserve"> </w:t>
      </w:r>
      <w:r>
        <w:t>MAXECSs</w:t>
      </w:r>
      <w:r>
        <w:tab/>
        <w:t>100</w:t>
      </w:r>
    </w:p>
    <w:p w:rsidR="00F3177F" w:rsidRDefault="0089671D">
      <w:pPr>
        <w:pStyle w:val="BodyText"/>
        <w:tabs>
          <w:tab w:val="left" w:pos="1664"/>
        </w:tabs>
        <w:spacing w:before="137"/>
        <w:ind w:left="584" w:right="151"/>
      </w:pPr>
      <w:r>
        <w:t>Table</w:t>
      </w:r>
      <w:r>
        <w:rPr>
          <w:spacing w:val="-1"/>
        </w:rPr>
        <w:t xml:space="preserve"> </w:t>
      </w:r>
      <w:r>
        <w:t>12</w:t>
      </w:r>
      <w:r>
        <w:tab/>
        <w:t>The highest students’ complaint differences between the last and</w:t>
      </w:r>
      <w:r>
        <w:rPr>
          <w:spacing w:val="-8"/>
        </w:rPr>
        <w:t xml:space="preserve"> </w:t>
      </w:r>
      <w:r>
        <w:t>first</w:t>
      </w:r>
    </w:p>
    <w:p w:rsidR="00F3177F" w:rsidRDefault="0089671D">
      <w:pPr>
        <w:pStyle w:val="BodyText"/>
        <w:tabs>
          <w:tab w:val="left" w:leader="dot" w:pos="8712"/>
        </w:tabs>
        <w:spacing w:before="139"/>
        <w:ind w:left="1664"/>
      </w:pPr>
      <w:proofErr w:type="gramStart"/>
      <w:r>
        <w:t>three</w:t>
      </w:r>
      <w:proofErr w:type="gramEnd"/>
      <w:r>
        <w:t xml:space="preserve"> lessons</w:t>
      </w:r>
      <w:r>
        <w:rPr>
          <w:spacing w:val="3"/>
        </w:rPr>
        <w:t xml:space="preserve"> </w:t>
      </w:r>
      <w:r>
        <w:t>in</w:t>
      </w:r>
      <w:r>
        <w:rPr>
          <w:spacing w:val="-2"/>
        </w:rPr>
        <w:t xml:space="preserve"> </w:t>
      </w:r>
      <w:r>
        <w:t>MINECSs</w:t>
      </w:r>
      <w:r>
        <w:tab/>
        <w:t>101</w:t>
      </w:r>
    </w:p>
    <w:p w:rsidR="00F3177F" w:rsidRDefault="0089671D">
      <w:pPr>
        <w:pStyle w:val="BodyText"/>
        <w:tabs>
          <w:tab w:val="left" w:pos="1664"/>
          <w:tab w:val="left" w:leader="dot" w:pos="8718"/>
        </w:tabs>
        <w:spacing w:before="137" w:line="360" w:lineRule="auto"/>
        <w:ind w:left="1676" w:right="100" w:hanging="1092"/>
      </w:pPr>
      <w:r>
        <w:t>Table</w:t>
      </w:r>
      <w:r>
        <w:rPr>
          <w:spacing w:val="-2"/>
        </w:rPr>
        <w:t xml:space="preserve"> </w:t>
      </w:r>
      <w:r>
        <w:t>13</w:t>
      </w:r>
      <w:r>
        <w:tab/>
        <w:t>The highest students’ complaint differences between the</w:t>
      </w:r>
      <w:r>
        <w:rPr>
          <w:spacing w:val="-10"/>
        </w:rPr>
        <w:t xml:space="preserve"> </w:t>
      </w:r>
      <w:r>
        <w:t>students</w:t>
      </w:r>
      <w:r>
        <w:rPr>
          <w:spacing w:val="11"/>
        </w:rPr>
        <w:t xml:space="preserve"> </w:t>
      </w:r>
      <w:r>
        <w:t>near windows and the wall</w:t>
      </w:r>
      <w:r>
        <w:rPr>
          <w:spacing w:val="-3"/>
        </w:rPr>
        <w:t xml:space="preserve"> </w:t>
      </w:r>
      <w:r>
        <w:t>in</w:t>
      </w:r>
      <w:r>
        <w:rPr>
          <w:spacing w:val="1"/>
        </w:rPr>
        <w:t xml:space="preserve"> </w:t>
      </w:r>
      <w:r>
        <w:t>MAXECSs</w:t>
      </w:r>
      <w:r>
        <w:tab/>
        <w:t>102</w:t>
      </w:r>
    </w:p>
    <w:p w:rsidR="00F3177F" w:rsidRDefault="0089671D">
      <w:pPr>
        <w:pStyle w:val="BodyText"/>
        <w:tabs>
          <w:tab w:val="left" w:pos="1664"/>
          <w:tab w:val="left" w:leader="dot" w:pos="8685"/>
        </w:tabs>
        <w:spacing w:before="4" w:line="360" w:lineRule="auto"/>
        <w:ind w:left="1676" w:right="132" w:hanging="1092"/>
      </w:pPr>
      <w:r>
        <w:t>Table</w:t>
      </w:r>
      <w:r>
        <w:rPr>
          <w:spacing w:val="-1"/>
        </w:rPr>
        <w:t xml:space="preserve"> </w:t>
      </w:r>
      <w:r>
        <w:t>14</w:t>
      </w:r>
      <w:r>
        <w:tab/>
        <w:t>The highest students’ complaint differences between the</w:t>
      </w:r>
      <w:r>
        <w:rPr>
          <w:spacing w:val="-10"/>
        </w:rPr>
        <w:t xml:space="preserve"> </w:t>
      </w:r>
      <w:r>
        <w:t>students</w:t>
      </w:r>
      <w:r>
        <w:rPr>
          <w:spacing w:val="10"/>
        </w:rPr>
        <w:t xml:space="preserve"> </w:t>
      </w:r>
      <w:r>
        <w:t>near windows and the wall</w:t>
      </w:r>
      <w:r>
        <w:rPr>
          <w:spacing w:val="-4"/>
        </w:rPr>
        <w:t xml:space="preserve"> </w:t>
      </w:r>
      <w:r>
        <w:t>in</w:t>
      </w:r>
      <w:r>
        <w:rPr>
          <w:spacing w:val="1"/>
        </w:rPr>
        <w:t xml:space="preserve"> </w:t>
      </w:r>
      <w:r>
        <w:t>MINECSs</w:t>
      </w:r>
      <w:r>
        <w:tab/>
        <w:t>102</w:t>
      </w:r>
    </w:p>
    <w:p w:rsidR="00F3177F" w:rsidRDefault="0089671D">
      <w:pPr>
        <w:pStyle w:val="BodyText"/>
        <w:tabs>
          <w:tab w:val="left" w:pos="1664"/>
        </w:tabs>
        <w:spacing w:before="6"/>
        <w:ind w:left="584" w:right="151"/>
      </w:pPr>
      <w:r>
        <w:t>Table</w:t>
      </w:r>
      <w:r>
        <w:rPr>
          <w:spacing w:val="-1"/>
        </w:rPr>
        <w:t xml:space="preserve"> </w:t>
      </w:r>
      <w:r>
        <w:t>15</w:t>
      </w:r>
      <w:r>
        <w:tab/>
        <w:t>The highest students’ complaint differences between the students</w:t>
      </w:r>
      <w:r>
        <w:rPr>
          <w:spacing w:val="4"/>
        </w:rPr>
        <w:t xml:space="preserve"> </w:t>
      </w:r>
      <w:r>
        <w:t>sitting</w:t>
      </w:r>
    </w:p>
    <w:p w:rsidR="00F3177F" w:rsidRDefault="0089671D">
      <w:pPr>
        <w:pStyle w:val="BodyText"/>
        <w:tabs>
          <w:tab w:val="left" w:leader="dot" w:pos="8719"/>
        </w:tabs>
        <w:spacing w:before="137"/>
        <w:ind w:left="1664"/>
      </w:pPr>
      <w:proofErr w:type="gramStart"/>
      <w:r>
        <w:t>at</w:t>
      </w:r>
      <w:proofErr w:type="gramEnd"/>
      <w:r>
        <w:t xml:space="preserve"> the back and in the front of classrooms</w:t>
      </w:r>
      <w:r>
        <w:rPr>
          <w:spacing w:val="10"/>
        </w:rPr>
        <w:t xml:space="preserve"> </w:t>
      </w:r>
      <w:r>
        <w:t>in</w:t>
      </w:r>
      <w:r>
        <w:rPr>
          <w:spacing w:val="-1"/>
        </w:rPr>
        <w:t xml:space="preserve"> </w:t>
      </w:r>
      <w:r>
        <w:t>MAXECSs</w:t>
      </w:r>
      <w:r>
        <w:tab/>
        <w:t>104</w:t>
      </w:r>
    </w:p>
    <w:p w:rsidR="00F3177F" w:rsidRDefault="0089671D">
      <w:pPr>
        <w:pStyle w:val="BodyText"/>
        <w:tabs>
          <w:tab w:val="left" w:pos="1664"/>
        </w:tabs>
        <w:spacing w:before="139"/>
        <w:ind w:left="584" w:right="151"/>
      </w:pPr>
      <w:r>
        <w:t>Table</w:t>
      </w:r>
      <w:r>
        <w:rPr>
          <w:spacing w:val="-1"/>
        </w:rPr>
        <w:t xml:space="preserve"> </w:t>
      </w:r>
      <w:r>
        <w:t>16</w:t>
      </w:r>
      <w:r>
        <w:tab/>
        <w:t>The highest students’ complaint differences between the students</w:t>
      </w:r>
      <w:r>
        <w:rPr>
          <w:spacing w:val="4"/>
        </w:rPr>
        <w:t xml:space="preserve"> </w:t>
      </w:r>
      <w:r>
        <w:t>sitting</w:t>
      </w:r>
    </w:p>
    <w:p w:rsidR="00F3177F" w:rsidRDefault="0089671D">
      <w:pPr>
        <w:pStyle w:val="BodyText"/>
        <w:tabs>
          <w:tab w:val="left" w:leader="dot" w:pos="8673"/>
        </w:tabs>
        <w:spacing w:before="137"/>
        <w:ind w:left="1664"/>
      </w:pPr>
      <w:proofErr w:type="gramStart"/>
      <w:r>
        <w:t>at</w:t>
      </w:r>
      <w:proofErr w:type="gramEnd"/>
      <w:r>
        <w:t xml:space="preserve"> the back and in the front of classrooms</w:t>
      </w:r>
      <w:r>
        <w:rPr>
          <w:spacing w:val="-5"/>
        </w:rPr>
        <w:t xml:space="preserve"> </w:t>
      </w:r>
      <w:r>
        <w:t>in</w:t>
      </w:r>
      <w:r>
        <w:rPr>
          <w:spacing w:val="-1"/>
        </w:rPr>
        <w:t xml:space="preserve"> </w:t>
      </w:r>
      <w:r>
        <w:t>MINECSs</w:t>
      </w:r>
      <w:r>
        <w:tab/>
        <w:t>104</w:t>
      </w:r>
    </w:p>
    <w:p w:rsidR="00F3177F" w:rsidRDefault="00F3177F">
      <w:pPr>
        <w:sectPr w:rsidR="00F3177F">
          <w:pgSz w:w="12240" w:h="15840"/>
          <w:pgMar w:top="1400" w:right="1340" w:bottom="1900" w:left="1720" w:header="0" w:footer="1720" w:gutter="0"/>
          <w:cols w:space="720"/>
        </w:sectPr>
      </w:pPr>
    </w:p>
    <w:tbl>
      <w:tblPr>
        <w:tblW w:w="0" w:type="auto"/>
        <w:tblInd w:w="54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68"/>
        <w:gridCol w:w="7085"/>
        <w:gridCol w:w="505"/>
      </w:tblGrid>
      <w:tr w:rsidR="00F3177F">
        <w:trPr>
          <w:trHeight w:hRule="exact" w:val="1669"/>
        </w:trPr>
        <w:tc>
          <w:tcPr>
            <w:tcW w:w="968" w:type="dxa"/>
          </w:tcPr>
          <w:p w:rsidR="00F3177F" w:rsidRDefault="0089671D">
            <w:pPr>
              <w:pStyle w:val="TableParagraph"/>
              <w:spacing w:before="69"/>
              <w:ind w:left="35"/>
              <w:rPr>
                <w:sz w:val="24"/>
              </w:rPr>
            </w:pPr>
            <w:r>
              <w:rPr>
                <w:sz w:val="24"/>
              </w:rPr>
              <w:lastRenderedPageBreak/>
              <w:t>Table 17</w:t>
            </w:r>
          </w:p>
          <w:p w:rsidR="00F3177F" w:rsidRDefault="00F3177F">
            <w:pPr>
              <w:pStyle w:val="TableParagraph"/>
              <w:rPr>
                <w:sz w:val="24"/>
              </w:rPr>
            </w:pPr>
          </w:p>
          <w:p w:rsidR="00F3177F" w:rsidRDefault="00F3177F">
            <w:pPr>
              <w:pStyle w:val="TableParagraph"/>
              <w:rPr>
                <w:sz w:val="24"/>
              </w:rPr>
            </w:pPr>
          </w:p>
          <w:p w:rsidR="00F3177F" w:rsidRDefault="0089671D">
            <w:pPr>
              <w:pStyle w:val="TableParagraph"/>
              <w:ind w:left="35"/>
              <w:rPr>
                <w:sz w:val="24"/>
              </w:rPr>
            </w:pPr>
            <w:r>
              <w:rPr>
                <w:sz w:val="24"/>
              </w:rPr>
              <w:t>Table 18</w:t>
            </w:r>
          </w:p>
        </w:tc>
        <w:tc>
          <w:tcPr>
            <w:tcW w:w="7085" w:type="dxa"/>
          </w:tcPr>
          <w:p w:rsidR="00F3177F" w:rsidRDefault="0089671D">
            <w:pPr>
              <w:pStyle w:val="TableParagraph"/>
              <w:spacing w:before="69" w:line="360" w:lineRule="auto"/>
              <w:ind w:left="147" w:right="-13"/>
              <w:rPr>
                <w:sz w:val="24"/>
              </w:rPr>
            </w:pPr>
            <w:r>
              <w:rPr>
                <w:sz w:val="24"/>
              </w:rPr>
              <w:t>Students’ complaint level differences as percentage between the schools with the maximum and minimum energy consumption ……………….. Items with the highest students’ complaint level differences and their percentages of differences for the last three lessons between MAXECSs</w:t>
            </w:r>
          </w:p>
        </w:tc>
        <w:tc>
          <w:tcPr>
            <w:tcW w:w="505" w:type="dxa"/>
          </w:tcPr>
          <w:p w:rsidR="00F3177F" w:rsidRDefault="00F3177F">
            <w:pPr>
              <w:pStyle w:val="TableParagraph"/>
              <w:rPr>
                <w:sz w:val="24"/>
              </w:rPr>
            </w:pPr>
          </w:p>
          <w:p w:rsidR="00F3177F" w:rsidRDefault="0089671D">
            <w:pPr>
              <w:pStyle w:val="TableParagraph"/>
              <w:spacing w:before="206"/>
              <w:ind w:left="44" w:right="9"/>
              <w:jc w:val="center"/>
              <w:rPr>
                <w:sz w:val="24"/>
              </w:rPr>
            </w:pPr>
            <w:r>
              <w:rPr>
                <w:sz w:val="24"/>
              </w:rPr>
              <w:t>105</w:t>
            </w:r>
          </w:p>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13"/>
              <w:rPr>
                <w:sz w:val="24"/>
              </w:rPr>
            </w:pPr>
            <w:proofErr w:type="gramStart"/>
            <w:r>
              <w:rPr>
                <w:sz w:val="24"/>
              </w:rPr>
              <w:t>and</w:t>
            </w:r>
            <w:proofErr w:type="gramEnd"/>
            <w:r>
              <w:rPr>
                <w:sz w:val="24"/>
              </w:rPr>
              <w:t xml:space="preserve"> MINECSs …………………………………..………………………</w:t>
            </w:r>
          </w:p>
        </w:tc>
        <w:tc>
          <w:tcPr>
            <w:tcW w:w="505" w:type="dxa"/>
          </w:tcPr>
          <w:p w:rsidR="00F3177F" w:rsidRDefault="0089671D">
            <w:pPr>
              <w:pStyle w:val="TableParagraph"/>
              <w:spacing w:before="56"/>
              <w:ind w:left="88" w:right="15"/>
              <w:jc w:val="center"/>
              <w:rPr>
                <w:sz w:val="24"/>
              </w:rPr>
            </w:pPr>
            <w:r>
              <w:rPr>
                <w:sz w:val="24"/>
              </w:rPr>
              <w:t>106</w:t>
            </w:r>
          </w:p>
        </w:tc>
      </w:tr>
      <w:tr w:rsidR="00F3177F">
        <w:trPr>
          <w:trHeight w:hRule="exact" w:val="414"/>
        </w:trPr>
        <w:tc>
          <w:tcPr>
            <w:tcW w:w="968" w:type="dxa"/>
          </w:tcPr>
          <w:p w:rsidR="00F3177F" w:rsidRDefault="0089671D">
            <w:pPr>
              <w:pStyle w:val="TableParagraph"/>
              <w:spacing w:before="55"/>
              <w:ind w:left="15" w:right="65"/>
              <w:jc w:val="center"/>
              <w:rPr>
                <w:sz w:val="24"/>
              </w:rPr>
            </w:pPr>
            <w:r>
              <w:rPr>
                <w:sz w:val="24"/>
              </w:rPr>
              <w:t>Table 19</w:t>
            </w:r>
          </w:p>
        </w:tc>
        <w:tc>
          <w:tcPr>
            <w:tcW w:w="7085" w:type="dxa"/>
          </w:tcPr>
          <w:p w:rsidR="00F3177F" w:rsidRDefault="0089671D">
            <w:pPr>
              <w:pStyle w:val="TableParagraph"/>
              <w:spacing w:before="55"/>
              <w:ind w:left="147" w:right="-13"/>
              <w:rPr>
                <w:sz w:val="24"/>
              </w:rPr>
            </w:pPr>
            <w:r>
              <w:rPr>
                <w:sz w:val="24"/>
              </w:rPr>
              <w:t>Items with the highest students’ complaint level differences and their</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36"/>
              <w:rPr>
                <w:sz w:val="24"/>
              </w:rPr>
            </w:pPr>
            <w:r>
              <w:rPr>
                <w:sz w:val="24"/>
              </w:rPr>
              <w:t>percentages of differences for the first three lessons between</w:t>
            </w:r>
            <w:r>
              <w:rPr>
                <w:spacing w:val="-10"/>
                <w:sz w:val="24"/>
              </w:rPr>
              <w:t xml:space="preserve"> </w:t>
            </w:r>
            <w:r>
              <w:rPr>
                <w:sz w:val="24"/>
              </w:rPr>
              <w:t>MAXECSs</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5"/>
              <w:ind w:left="147" w:right="-13"/>
              <w:rPr>
                <w:sz w:val="24"/>
              </w:rPr>
            </w:pPr>
            <w:proofErr w:type="gramStart"/>
            <w:r>
              <w:rPr>
                <w:sz w:val="24"/>
              </w:rPr>
              <w:t>and</w:t>
            </w:r>
            <w:proofErr w:type="gramEnd"/>
            <w:r>
              <w:rPr>
                <w:sz w:val="24"/>
              </w:rPr>
              <w:t xml:space="preserve"> MINECSs ……………………………………………………..……</w:t>
            </w:r>
          </w:p>
        </w:tc>
        <w:tc>
          <w:tcPr>
            <w:tcW w:w="505" w:type="dxa"/>
          </w:tcPr>
          <w:p w:rsidR="00F3177F" w:rsidRDefault="0089671D">
            <w:pPr>
              <w:pStyle w:val="TableParagraph"/>
              <w:spacing w:before="55"/>
              <w:ind w:left="89" w:right="14"/>
              <w:jc w:val="center"/>
              <w:rPr>
                <w:sz w:val="24"/>
              </w:rPr>
            </w:pPr>
            <w:r>
              <w:rPr>
                <w:sz w:val="24"/>
              </w:rPr>
              <w:t>106</w:t>
            </w:r>
          </w:p>
        </w:tc>
      </w:tr>
      <w:tr w:rsidR="00F3177F">
        <w:trPr>
          <w:trHeight w:hRule="exact" w:val="414"/>
        </w:trPr>
        <w:tc>
          <w:tcPr>
            <w:tcW w:w="968" w:type="dxa"/>
          </w:tcPr>
          <w:p w:rsidR="00F3177F" w:rsidRDefault="0089671D">
            <w:pPr>
              <w:pStyle w:val="TableParagraph"/>
              <w:spacing w:before="56"/>
              <w:ind w:left="15" w:right="65"/>
              <w:jc w:val="center"/>
              <w:rPr>
                <w:sz w:val="24"/>
              </w:rPr>
            </w:pPr>
            <w:r>
              <w:rPr>
                <w:sz w:val="24"/>
              </w:rPr>
              <w:t>Table 20</w:t>
            </w:r>
          </w:p>
        </w:tc>
        <w:tc>
          <w:tcPr>
            <w:tcW w:w="7085" w:type="dxa"/>
          </w:tcPr>
          <w:p w:rsidR="00F3177F" w:rsidRDefault="0089671D">
            <w:pPr>
              <w:pStyle w:val="TableParagraph"/>
              <w:spacing w:before="56"/>
              <w:ind w:left="147" w:right="-13"/>
              <w:rPr>
                <w:sz w:val="24"/>
              </w:rPr>
            </w:pPr>
            <w:r>
              <w:rPr>
                <w:sz w:val="24"/>
              </w:rPr>
              <w:t>Items with the highest students’ complaint level differences and their</w:t>
            </w:r>
          </w:p>
        </w:tc>
        <w:tc>
          <w:tcPr>
            <w:tcW w:w="505" w:type="dxa"/>
          </w:tcPr>
          <w:p w:rsidR="00F3177F" w:rsidRDefault="00F3177F"/>
        </w:tc>
      </w:tr>
      <w:tr w:rsidR="00F3177F">
        <w:trPr>
          <w:trHeight w:hRule="exact" w:val="414"/>
        </w:trPr>
        <w:tc>
          <w:tcPr>
            <w:tcW w:w="968" w:type="dxa"/>
          </w:tcPr>
          <w:p w:rsidR="00F3177F" w:rsidRDefault="00F3177F"/>
        </w:tc>
        <w:tc>
          <w:tcPr>
            <w:tcW w:w="7590" w:type="dxa"/>
            <w:gridSpan w:val="2"/>
          </w:tcPr>
          <w:p w:rsidR="00F3177F" w:rsidRDefault="0089671D">
            <w:pPr>
              <w:pStyle w:val="TableParagraph"/>
              <w:spacing w:before="55"/>
              <w:ind w:left="147"/>
              <w:rPr>
                <w:sz w:val="24"/>
              </w:rPr>
            </w:pPr>
            <w:r>
              <w:rPr>
                <w:sz w:val="24"/>
              </w:rPr>
              <w:t>percentages of differences for the window seats between MAXECSs and</w:t>
            </w:r>
          </w:p>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13"/>
              <w:rPr>
                <w:sz w:val="24"/>
              </w:rPr>
            </w:pPr>
            <w:r>
              <w:rPr>
                <w:sz w:val="24"/>
              </w:rPr>
              <w:t>MINECSs …………………………………....…………………………</w:t>
            </w:r>
          </w:p>
        </w:tc>
        <w:tc>
          <w:tcPr>
            <w:tcW w:w="505" w:type="dxa"/>
          </w:tcPr>
          <w:p w:rsidR="00F3177F" w:rsidRDefault="0089671D">
            <w:pPr>
              <w:pStyle w:val="TableParagraph"/>
              <w:spacing w:before="56"/>
              <w:ind w:right="15"/>
              <w:jc w:val="center"/>
              <w:rPr>
                <w:sz w:val="24"/>
              </w:rPr>
            </w:pPr>
            <w:r>
              <w:rPr>
                <w:sz w:val="24"/>
              </w:rPr>
              <w:t>107</w:t>
            </w:r>
          </w:p>
        </w:tc>
      </w:tr>
      <w:tr w:rsidR="00F3177F">
        <w:trPr>
          <w:trHeight w:hRule="exact" w:val="414"/>
        </w:trPr>
        <w:tc>
          <w:tcPr>
            <w:tcW w:w="968" w:type="dxa"/>
          </w:tcPr>
          <w:p w:rsidR="00F3177F" w:rsidRDefault="0089671D">
            <w:pPr>
              <w:pStyle w:val="TableParagraph"/>
              <w:spacing w:before="55"/>
              <w:ind w:left="15" w:right="65"/>
              <w:jc w:val="center"/>
              <w:rPr>
                <w:sz w:val="24"/>
              </w:rPr>
            </w:pPr>
            <w:r>
              <w:rPr>
                <w:sz w:val="24"/>
              </w:rPr>
              <w:t>Table 21</w:t>
            </w:r>
          </w:p>
        </w:tc>
        <w:tc>
          <w:tcPr>
            <w:tcW w:w="7085" w:type="dxa"/>
          </w:tcPr>
          <w:p w:rsidR="00F3177F" w:rsidRDefault="0089671D">
            <w:pPr>
              <w:pStyle w:val="TableParagraph"/>
              <w:spacing w:before="55"/>
              <w:ind w:left="147" w:right="-13"/>
              <w:rPr>
                <w:sz w:val="24"/>
              </w:rPr>
            </w:pPr>
            <w:r>
              <w:rPr>
                <w:sz w:val="24"/>
              </w:rPr>
              <w:t>Items with the highest students’ complaint level differences and their</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13"/>
              <w:rPr>
                <w:sz w:val="24"/>
              </w:rPr>
            </w:pPr>
            <w:r>
              <w:rPr>
                <w:sz w:val="24"/>
              </w:rPr>
              <w:t>percentages of differences for the wall seats between MAXECSs and</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5"/>
              <w:ind w:left="147" w:right="-13"/>
              <w:rPr>
                <w:sz w:val="24"/>
              </w:rPr>
            </w:pPr>
            <w:r>
              <w:rPr>
                <w:sz w:val="24"/>
              </w:rPr>
              <w:t>MINECSs …………………………………....…………………………</w:t>
            </w:r>
          </w:p>
        </w:tc>
        <w:tc>
          <w:tcPr>
            <w:tcW w:w="505" w:type="dxa"/>
          </w:tcPr>
          <w:p w:rsidR="00F3177F" w:rsidRDefault="0089671D">
            <w:pPr>
              <w:pStyle w:val="TableParagraph"/>
              <w:spacing w:before="55"/>
              <w:ind w:left="1" w:right="15"/>
              <w:jc w:val="center"/>
              <w:rPr>
                <w:sz w:val="24"/>
              </w:rPr>
            </w:pPr>
            <w:r>
              <w:rPr>
                <w:sz w:val="24"/>
              </w:rPr>
              <w:t>108</w:t>
            </w:r>
          </w:p>
        </w:tc>
      </w:tr>
      <w:tr w:rsidR="00F3177F">
        <w:trPr>
          <w:trHeight w:hRule="exact" w:val="414"/>
        </w:trPr>
        <w:tc>
          <w:tcPr>
            <w:tcW w:w="968" w:type="dxa"/>
          </w:tcPr>
          <w:p w:rsidR="00F3177F" w:rsidRDefault="0089671D">
            <w:pPr>
              <w:pStyle w:val="TableParagraph"/>
              <w:spacing w:before="56"/>
              <w:ind w:left="15" w:right="65"/>
              <w:jc w:val="center"/>
              <w:rPr>
                <w:sz w:val="24"/>
              </w:rPr>
            </w:pPr>
            <w:r>
              <w:rPr>
                <w:sz w:val="24"/>
              </w:rPr>
              <w:t>Table 22</w:t>
            </w:r>
          </w:p>
        </w:tc>
        <w:tc>
          <w:tcPr>
            <w:tcW w:w="7085" w:type="dxa"/>
          </w:tcPr>
          <w:p w:rsidR="00F3177F" w:rsidRDefault="0089671D">
            <w:pPr>
              <w:pStyle w:val="TableParagraph"/>
              <w:spacing w:before="56"/>
              <w:ind w:left="147" w:right="-13"/>
              <w:rPr>
                <w:sz w:val="24"/>
              </w:rPr>
            </w:pPr>
            <w:r>
              <w:rPr>
                <w:sz w:val="24"/>
              </w:rPr>
              <w:t>Items with the highest students’ complaint level differences and their</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5"/>
              <w:ind w:left="147" w:right="-13"/>
              <w:rPr>
                <w:sz w:val="24"/>
              </w:rPr>
            </w:pPr>
            <w:r>
              <w:rPr>
                <w:sz w:val="24"/>
              </w:rPr>
              <w:t>percentages of differences for the back seats between MAXECSs and</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13"/>
              <w:rPr>
                <w:sz w:val="24"/>
              </w:rPr>
            </w:pPr>
            <w:r>
              <w:rPr>
                <w:sz w:val="24"/>
              </w:rPr>
              <w:t>MINECSs …………………………………....…………………………</w:t>
            </w:r>
          </w:p>
        </w:tc>
        <w:tc>
          <w:tcPr>
            <w:tcW w:w="505" w:type="dxa"/>
          </w:tcPr>
          <w:p w:rsidR="00F3177F" w:rsidRDefault="0089671D">
            <w:pPr>
              <w:pStyle w:val="TableParagraph"/>
              <w:spacing w:before="56"/>
              <w:ind w:right="15"/>
              <w:jc w:val="center"/>
              <w:rPr>
                <w:sz w:val="24"/>
              </w:rPr>
            </w:pPr>
            <w:r>
              <w:rPr>
                <w:sz w:val="24"/>
              </w:rPr>
              <w:t>108</w:t>
            </w:r>
          </w:p>
        </w:tc>
      </w:tr>
      <w:tr w:rsidR="00F3177F">
        <w:trPr>
          <w:trHeight w:hRule="exact" w:val="414"/>
        </w:trPr>
        <w:tc>
          <w:tcPr>
            <w:tcW w:w="968" w:type="dxa"/>
          </w:tcPr>
          <w:p w:rsidR="00F3177F" w:rsidRDefault="0089671D">
            <w:pPr>
              <w:pStyle w:val="TableParagraph"/>
              <w:spacing w:before="55"/>
              <w:ind w:left="15" w:right="65"/>
              <w:jc w:val="center"/>
              <w:rPr>
                <w:sz w:val="24"/>
              </w:rPr>
            </w:pPr>
            <w:r>
              <w:rPr>
                <w:sz w:val="24"/>
              </w:rPr>
              <w:t>Table 23</w:t>
            </w:r>
          </w:p>
        </w:tc>
        <w:tc>
          <w:tcPr>
            <w:tcW w:w="7085" w:type="dxa"/>
          </w:tcPr>
          <w:p w:rsidR="00F3177F" w:rsidRDefault="0089671D">
            <w:pPr>
              <w:pStyle w:val="TableParagraph"/>
              <w:spacing w:before="55"/>
              <w:ind w:left="147" w:right="-13"/>
              <w:rPr>
                <w:sz w:val="24"/>
              </w:rPr>
            </w:pPr>
            <w:r>
              <w:rPr>
                <w:sz w:val="24"/>
              </w:rPr>
              <w:t>Items with the highest students’ complaint level differences and their</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6"/>
              <w:ind w:left="147" w:right="-13"/>
              <w:rPr>
                <w:sz w:val="24"/>
              </w:rPr>
            </w:pPr>
            <w:r>
              <w:rPr>
                <w:sz w:val="24"/>
              </w:rPr>
              <w:t>percentages of differences for the front seats between MAXECSs and</w:t>
            </w:r>
          </w:p>
        </w:tc>
        <w:tc>
          <w:tcPr>
            <w:tcW w:w="505" w:type="dxa"/>
          </w:tcPr>
          <w:p w:rsidR="00F3177F" w:rsidRDefault="00F3177F"/>
        </w:tc>
      </w:tr>
      <w:tr w:rsidR="00F3177F">
        <w:trPr>
          <w:trHeight w:hRule="exact" w:val="414"/>
        </w:trPr>
        <w:tc>
          <w:tcPr>
            <w:tcW w:w="968" w:type="dxa"/>
          </w:tcPr>
          <w:p w:rsidR="00F3177F" w:rsidRDefault="00F3177F"/>
        </w:tc>
        <w:tc>
          <w:tcPr>
            <w:tcW w:w="7085" w:type="dxa"/>
          </w:tcPr>
          <w:p w:rsidR="00F3177F" w:rsidRDefault="0089671D">
            <w:pPr>
              <w:pStyle w:val="TableParagraph"/>
              <w:spacing w:before="55"/>
              <w:ind w:left="147" w:right="-13"/>
              <w:rPr>
                <w:sz w:val="24"/>
              </w:rPr>
            </w:pPr>
            <w:r>
              <w:rPr>
                <w:sz w:val="24"/>
              </w:rPr>
              <w:t>MINECSs …………………………………....…………………………</w:t>
            </w:r>
          </w:p>
        </w:tc>
        <w:tc>
          <w:tcPr>
            <w:tcW w:w="505" w:type="dxa"/>
          </w:tcPr>
          <w:p w:rsidR="00F3177F" w:rsidRDefault="0089671D">
            <w:pPr>
              <w:pStyle w:val="TableParagraph"/>
              <w:spacing w:before="55"/>
              <w:ind w:left="1" w:right="15"/>
              <w:jc w:val="center"/>
              <w:rPr>
                <w:sz w:val="24"/>
              </w:rPr>
            </w:pPr>
            <w:r>
              <w:rPr>
                <w:sz w:val="24"/>
              </w:rPr>
              <w:t>109</w:t>
            </w:r>
          </w:p>
        </w:tc>
      </w:tr>
      <w:tr w:rsidR="00F3177F">
        <w:trPr>
          <w:trHeight w:hRule="exact" w:val="414"/>
        </w:trPr>
        <w:tc>
          <w:tcPr>
            <w:tcW w:w="968" w:type="dxa"/>
          </w:tcPr>
          <w:p w:rsidR="00F3177F" w:rsidRDefault="0089671D">
            <w:pPr>
              <w:pStyle w:val="TableParagraph"/>
              <w:spacing w:before="56"/>
              <w:ind w:left="15" w:right="65"/>
              <w:jc w:val="center"/>
              <w:rPr>
                <w:sz w:val="24"/>
              </w:rPr>
            </w:pPr>
            <w:r>
              <w:rPr>
                <w:sz w:val="24"/>
              </w:rPr>
              <w:t>Table 24</w:t>
            </w:r>
          </w:p>
        </w:tc>
        <w:tc>
          <w:tcPr>
            <w:tcW w:w="7085" w:type="dxa"/>
          </w:tcPr>
          <w:p w:rsidR="00F3177F" w:rsidRDefault="0089671D">
            <w:pPr>
              <w:pStyle w:val="TableParagraph"/>
              <w:spacing w:before="56"/>
              <w:ind w:left="147" w:right="-13"/>
              <w:rPr>
                <w:sz w:val="24"/>
              </w:rPr>
            </w:pPr>
            <w:r>
              <w:rPr>
                <w:sz w:val="24"/>
              </w:rPr>
              <w:t>Comparison of students’ complaint percentages for subcategories in the</w:t>
            </w:r>
          </w:p>
        </w:tc>
        <w:tc>
          <w:tcPr>
            <w:tcW w:w="505" w:type="dxa"/>
          </w:tcPr>
          <w:p w:rsidR="00F3177F" w:rsidRDefault="00F3177F"/>
        </w:tc>
      </w:tr>
      <w:tr w:rsidR="00F3177F">
        <w:trPr>
          <w:trHeight w:hRule="exact" w:val="391"/>
        </w:trPr>
        <w:tc>
          <w:tcPr>
            <w:tcW w:w="968" w:type="dxa"/>
          </w:tcPr>
          <w:p w:rsidR="00F3177F" w:rsidRDefault="00F3177F"/>
        </w:tc>
        <w:tc>
          <w:tcPr>
            <w:tcW w:w="7085" w:type="dxa"/>
          </w:tcPr>
          <w:p w:rsidR="00F3177F" w:rsidRDefault="0089671D">
            <w:pPr>
              <w:pStyle w:val="TableParagraph"/>
              <w:spacing w:before="55"/>
              <w:ind w:left="147" w:right="-13"/>
              <w:rPr>
                <w:sz w:val="24"/>
              </w:rPr>
            </w:pPr>
            <w:proofErr w:type="gramStart"/>
            <w:r>
              <w:rPr>
                <w:sz w:val="24"/>
              </w:rPr>
              <w:t>maximum</w:t>
            </w:r>
            <w:proofErr w:type="gramEnd"/>
            <w:r>
              <w:rPr>
                <w:sz w:val="24"/>
              </w:rPr>
              <w:t xml:space="preserve"> and MINECSs ………………………………………………</w:t>
            </w:r>
          </w:p>
        </w:tc>
        <w:tc>
          <w:tcPr>
            <w:tcW w:w="505" w:type="dxa"/>
          </w:tcPr>
          <w:p w:rsidR="00F3177F" w:rsidRDefault="0089671D">
            <w:pPr>
              <w:pStyle w:val="TableParagraph"/>
              <w:spacing w:before="55"/>
              <w:ind w:left="44" w:right="60"/>
              <w:jc w:val="center"/>
              <w:rPr>
                <w:sz w:val="24"/>
              </w:rPr>
            </w:pPr>
            <w:r>
              <w:rPr>
                <w:sz w:val="24"/>
              </w:rPr>
              <w:t>110</w:t>
            </w:r>
          </w:p>
        </w:tc>
      </w:tr>
      <w:tr w:rsidR="00F3177F">
        <w:trPr>
          <w:trHeight w:hRule="exact" w:val="437"/>
        </w:trPr>
        <w:tc>
          <w:tcPr>
            <w:tcW w:w="968" w:type="dxa"/>
          </w:tcPr>
          <w:p w:rsidR="00F3177F" w:rsidRDefault="0089671D">
            <w:pPr>
              <w:pStyle w:val="TableParagraph"/>
              <w:spacing w:before="80"/>
              <w:ind w:left="15" w:right="65"/>
              <w:jc w:val="center"/>
              <w:rPr>
                <w:sz w:val="24"/>
              </w:rPr>
            </w:pPr>
            <w:r>
              <w:rPr>
                <w:sz w:val="24"/>
              </w:rPr>
              <w:t>Table 25</w:t>
            </w:r>
          </w:p>
        </w:tc>
        <w:tc>
          <w:tcPr>
            <w:tcW w:w="7085" w:type="dxa"/>
          </w:tcPr>
          <w:p w:rsidR="00F3177F" w:rsidRDefault="0089671D">
            <w:pPr>
              <w:pStyle w:val="TableParagraph"/>
              <w:spacing w:before="44"/>
              <w:ind w:left="92" w:right="-13"/>
              <w:rPr>
                <w:sz w:val="24"/>
              </w:rPr>
            </w:pPr>
            <w:r>
              <w:rPr>
                <w:sz w:val="24"/>
              </w:rPr>
              <w:t>Multivariate Tests</w:t>
            </w:r>
            <w:r>
              <w:rPr>
                <w:position w:val="11"/>
                <w:sz w:val="16"/>
              </w:rPr>
              <w:t xml:space="preserve">a </w:t>
            </w:r>
            <w:r>
              <w:rPr>
                <w:sz w:val="24"/>
              </w:rPr>
              <w:t>for Hypothesis 1 ……………………………………</w:t>
            </w:r>
          </w:p>
        </w:tc>
        <w:tc>
          <w:tcPr>
            <w:tcW w:w="505" w:type="dxa"/>
          </w:tcPr>
          <w:p w:rsidR="00F3177F" w:rsidRDefault="0089671D">
            <w:pPr>
              <w:pStyle w:val="TableParagraph"/>
              <w:spacing w:before="80"/>
              <w:ind w:left="16" w:right="15"/>
              <w:jc w:val="center"/>
              <w:rPr>
                <w:sz w:val="24"/>
              </w:rPr>
            </w:pPr>
            <w:r>
              <w:rPr>
                <w:sz w:val="24"/>
              </w:rPr>
              <w:t>114</w:t>
            </w:r>
          </w:p>
        </w:tc>
      </w:tr>
      <w:tr w:rsidR="00F3177F">
        <w:trPr>
          <w:trHeight w:hRule="exact" w:val="414"/>
        </w:trPr>
        <w:tc>
          <w:tcPr>
            <w:tcW w:w="968" w:type="dxa"/>
          </w:tcPr>
          <w:p w:rsidR="00F3177F" w:rsidRDefault="0089671D">
            <w:pPr>
              <w:pStyle w:val="TableParagraph"/>
              <w:spacing w:before="55"/>
              <w:ind w:left="15" w:right="65"/>
              <w:jc w:val="center"/>
              <w:rPr>
                <w:sz w:val="24"/>
              </w:rPr>
            </w:pPr>
            <w:r>
              <w:rPr>
                <w:sz w:val="24"/>
              </w:rPr>
              <w:t>Table 26</w:t>
            </w:r>
          </w:p>
        </w:tc>
        <w:tc>
          <w:tcPr>
            <w:tcW w:w="7085" w:type="dxa"/>
          </w:tcPr>
          <w:p w:rsidR="00F3177F" w:rsidRDefault="0089671D">
            <w:pPr>
              <w:pStyle w:val="TableParagraph"/>
              <w:spacing w:before="55"/>
              <w:ind w:left="92" w:right="-13"/>
              <w:rPr>
                <w:sz w:val="24"/>
              </w:rPr>
            </w:pPr>
            <w:r>
              <w:rPr>
                <w:sz w:val="24"/>
              </w:rPr>
              <w:t>Tests of Between-Subjects Effects for Hypothesis 1 …………………...</w:t>
            </w:r>
          </w:p>
        </w:tc>
        <w:tc>
          <w:tcPr>
            <w:tcW w:w="505" w:type="dxa"/>
          </w:tcPr>
          <w:p w:rsidR="00F3177F" w:rsidRDefault="0089671D">
            <w:pPr>
              <w:pStyle w:val="TableParagraph"/>
              <w:spacing w:before="55"/>
              <w:ind w:left="9" w:right="15"/>
              <w:jc w:val="center"/>
              <w:rPr>
                <w:sz w:val="24"/>
              </w:rPr>
            </w:pPr>
            <w:r>
              <w:rPr>
                <w:sz w:val="24"/>
              </w:rPr>
              <w:t>115</w:t>
            </w:r>
          </w:p>
        </w:tc>
      </w:tr>
      <w:tr w:rsidR="00F3177F">
        <w:trPr>
          <w:trHeight w:hRule="exact" w:val="414"/>
        </w:trPr>
        <w:tc>
          <w:tcPr>
            <w:tcW w:w="968" w:type="dxa"/>
          </w:tcPr>
          <w:p w:rsidR="00F3177F" w:rsidRDefault="0089671D">
            <w:pPr>
              <w:pStyle w:val="TableParagraph"/>
              <w:spacing w:before="56"/>
              <w:ind w:left="15" w:right="65"/>
              <w:jc w:val="center"/>
              <w:rPr>
                <w:sz w:val="24"/>
              </w:rPr>
            </w:pPr>
            <w:r>
              <w:rPr>
                <w:sz w:val="24"/>
              </w:rPr>
              <w:t>Table 27</w:t>
            </w:r>
          </w:p>
        </w:tc>
        <w:tc>
          <w:tcPr>
            <w:tcW w:w="7085" w:type="dxa"/>
          </w:tcPr>
          <w:p w:rsidR="00F3177F" w:rsidRDefault="0089671D">
            <w:pPr>
              <w:pStyle w:val="TableParagraph"/>
              <w:spacing w:before="56"/>
              <w:ind w:left="92" w:right="-13"/>
              <w:rPr>
                <w:sz w:val="24"/>
              </w:rPr>
            </w:pPr>
            <w:r>
              <w:rPr>
                <w:sz w:val="24"/>
              </w:rPr>
              <w:t xml:space="preserve">Multiple Comparisons (LSD) for Hypothesis </w:t>
            </w:r>
            <w:proofErr w:type="gramStart"/>
            <w:r>
              <w:rPr>
                <w:sz w:val="24"/>
              </w:rPr>
              <w:t>1 ..</w:t>
            </w:r>
            <w:proofErr w:type="gramEnd"/>
            <w:r>
              <w:rPr>
                <w:sz w:val="24"/>
              </w:rPr>
              <w:t>……………………….</w:t>
            </w:r>
          </w:p>
        </w:tc>
        <w:tc>
          <w:tcPr>
            <w:tcW w:w="505" w:type="dxa"/>
          </w:tcPr>
          <w:p w:rsidR="00F3177F" w:rsidRDefault="0089671D">
            <w:pPr>
              <w:pStyle w:val="TableParagraph"/>
              <w:spacing w:before="56"/>
              <w:ind w:left="26" w:right="15"/>
              <w:jc w:val="center"/>
              <w:rPr>
                <w:sz w:val="24"/>
              </w:rPr>
            </w:pPr>
            <w:r>
              <w:rPr>
                <w:sz w:val="24"/>
              </w:rPr>
              <w:t>119</w:t>
            </w:r>
          </w:p>
        </w:tc>
      </w:tr>
      <w:tr w:rsidR="00F3177F">
        <w:trPr>
          <w:trHeight w:hRule="exact" w:val="414"/>
        </w:trPr>
        <w:tc>
          <w:tcPr>
            <w:tcW w:w="968" w:type="dxa"/>
          </w:tcPr>
          <w:p w:rsidR="00F3177F" w:rsidRDefault="0089671D">
            <w:pPr>
              <w:pStyle w:val="TableParagraph"/>
              <w:spacing w:before="55"/>
              <w:ind w:left="15" w:right="65"/>
              <w:jc w:val="center"/>
              <w:rPr>
                <w:sz w:val="24"/>
              </w:rPr>
            </w:pPr>
            <w:r>
              <w:rPr>
                <w:sz w:val="24"/>
              </w:rPr>
              <w:t>Table 28</w:t>
            </w:r>
          </w:p>
        </w:tc>
        <w:tc>
          <w:tcPr>
            <w:tcW w:w="7085" w:type="dxa"/>
          </w:tcPr>
          <w:p w:rsidR="00F3177F" w:rsidRDefault="0089671D">
            <w:pPr>
              <w:pStyle w:val="TableParagraph"/>
              <w:spacing w:before="55"/>
              <w:ind w:left="92" w:right="-13"/>
              <w:rPr>
                <w:sz w:val="24"/>
              </w:rPr>
            </w:pPr>
            <w:r>
              <w:rPr>
                <w:sz w:val="24"/>
              </w:rPr>
              <w:t>Pearson Correlation Coefficient results for annual school energy</w:t>
            </w:r>
          </w:p>
        </w:tc>
        <w:tc>
          <w:tcPr>
            <w:tcW w:w="505" w:type="dxa"/>
          </w:tcPr>
          <w:p w:rsidR="00F3177F" w:rsidRDefault="00F3177F"/>
        </w:tc>
      </w:tr>
      <w:tr w:rsidR="00F3177F">
        <w:trPr>
          <w:trHeight w:hRule="exact" w:val="428"/>
        </w:trPr>
        <w:tc>
          <w:tcPr>
            <w:tcW w:w="968" w:type="dxa"/>
          </w:tcPr>
          <w:p w:rsidR="00F3177F" w:rsidRDefault="00F3177F"/>
        </w:tc>
        <w:tc>
          <w:tcPr>
            <w:tcW w:w="7085" w:type="dxa"/>
          </w:tcPr>
          <w:p w:rsidR="00F3177F" w:rsidRDefault="0089671D">
            <w:pPr>
              <w:pStyle w:val="TableParagraph"/>
              <w:spacing w:before="56"/>
              <w:ind w:left="87" w:right="-13"/>
              <w:rPr>
                <w:sz w:val="24"/>
              </w:rPr>
            </w:pPr>
            <w:proofErr w:type="gramStart"/>
            <w:r>
              <w:rPr>
                <w:sz w:val="24"/>
              </w:rPr>
              <w:t>consumption</w:t>
            </w:r>
            <w:proofErr w:type="gramEnd"/>
            <w:r>
              <w:rPr>
                <w:sz w:val="24"/>
              </w:rPr>
              <w:t xml:space="preserve"> per student and meter square ……………………………..</w:t>
            </w:r>
          </w:p>
        </w:tc>
        <w:tc>
          <w:tcPr>
            <w:tcW w:w="505" w:type="dxa"/>
          </w:tcPr>
          <w:p w:rsidR="00F3177F" w:rsidRDefault="0089671D">
            <w:pPr>
              <w:pStyle w:val="TableParagraph"/>
              <w:spacing w:before="56"/>
              <w:ind w:right="15"/>
              <w:jc w:val="center"/>
              <w:rPr>
                <w:sz w:val="24"/>
              </w:rPr>
            </w:pPr>
            <w:r>
              <w:rPr>
                <w:sz w:val="24"/>
              </w:rPr>
              <w:t>120</w:t>
            </w:r>
          </w:p>
        </w:tc>
      </w:tr>
    </w:tbl>
    <w:p w:rsidR="00F3177F" w:rsidRDefault="0089671D">
      <w:pPr>
        <w:pStyle w:val="BodyText"/>
        <w:tabs>
          <w:tab w:val="right" w:leader="dot" w:pos="9044"/>
        </w:tabs>
        <w:spacing w:before="47" w:line="360" w:lineRule="auto"/>
        <w:ind w:left="1544" w:right="173" w:hanging="960"/>
      </w:pPr>
      <w:r>
        <w:t xml:space="preserve">Table </w:t>
      </w:r>
      <w:proofErr w:type="gramStart"/>
      <w:r>
        <w:t>29  Spearman’s</w:t>
      </w:r>
      <w:proofErr w:type="gramEnd"/>
      <w:r>
        <w:t xml:space="preserve"> Rho Correlation results for annual school energy consumption per student and meter</w:t>
      </w:r>
      <w:r>
        <w:rPr>
          <w:spacing w:val="-1"/>
        </w:rPr>
        <w:t xml:space="preserve"> </w:t>
      </w:r>
      <w:r>
        <w:t>square</w:t>
      </w:r>
      <w:r>
        <w:tab/>
        <w:t>121</w:t>
      </w:r>
    </w:p>
    <w:p w:rsidR="00F3177F" w:rsidRDefault="00F3177F">
      <w:pPr>
        <w:spacing w:line="360" w:lineRule="auto"/>
        <w:sectPr w:rsidR="00F3177F">
          <w:pgSz w:w="12240" w:h="15840"/>
          <w:pgMar w:top="1360" w:right="1300" w:bottom="1900" w:left="1720" w:header="0" w:footer="1720" w:gutter="0"/>
          <w:cols w:space="720"/>
        </w:sectPr>
      </w:pPr>
    </w:p>
    <w:p w:rsidR="00F3177F" w:rsidRDefault="0089671D">
      <w:pPr>
        <w:pStyle w:val="BodyText"/>
        <w:tabs>
          <w:tab w:val="left" w:leader="dot" w:pos="8666"/>
        </w:tabs>
        <w:spacing w:before="54" w:line="360" w:lineRule="auto"/>
        <w:ind w:left="1549" w:right="149" w:hanging="965"/>
      </w:pPr>
      <w:r>
        <w:lastRenderedPageBreak/>
        <w:t xml:space="preserve">Table </w:t>
      </w:r>
      <w:proofErr w:type="gramStart"/>
      <w:r>
        <w:t>30  Pearson</w:t>
      </w:r>
      <w:proofErr w:type="gramEnd"/>
      <w:r>
        <w:t xml:space="preserve"> Correlation Coefficient results for annual school energy  consumption meter square and CO</w:t>
      </w:r>
      <w:r>
        <w:rPr>
          <w:position w:val="-2"/>
          <w:sz w:val="16"/>
        </w:rPr>
        <w:t xml:space="preserve">2  </w:t>
      </w:r>
      <w:r>
        <w:t>emission</w:t>
      </w:r>
      <w:r>
        <w:rPr>
          <w:spacing w:val="-25"/>
        </w:rPr>
        <w:t xml:space="preserve"> </w:t>
      </w:r>
      <w:r>
        <w:t>meter</w:t>
      </w:r>
      <w:r>
        <w:rPr>
          <w:spacing w:val="-1"/>
        </w:rPr>
        <w:t xml:space="preserve"> </w:t>
      </w:r>
      <w:r>
        <w:t>square</w:t>
      </w:r>
      <w:r>
        <w:tab/>
        <w:t>123</w:t>
      </w:r>
    </w:p>
    <w:p w:rsidR="00F3177F" w:rsidRDefault="0089671D">
      <w:pPr>
        <w:pStyle w:val="BodyText"/>
        <w:tabs>
          <w:tab w:val="left" w:leader="dot" w:pos="8684"/>
        </w:tabs>
        <w:spacing w:line="360" w:lineRule="auto"/>
        <w:ind w:left="1544" w:right="133" w:hanging="960"/>
      </w:pPr>
      <w:r>
        <w:t xml:space="preserve">Table </w:t>
      </w:r>
      <w:proofErr w:type="gramStart"/>
      <w:r>
        <w:t>31  Spearman’s</w:t>
      </w:r>
      <w:proofErr w:type="gramEnd"/>
      <w:r>
        <w:t xml:space="preserve"> Rho Correlation results for annual school energy consumption per student and</w:t>
      </w:r>
      <w:r>
        <w:rPr>
          <w:spacing w:val="-1"/>
        </w:rPr>
        <w:t xml:space="preserve"> </w:t>
      </w:r>
      <w:r>
        <w:t>meter</w:t>
      </w:r>
      <w:r>
        <w:rPr>
          <w:spacing w:val="-1"/>
        </w:rPr>
        <w:t xml:space="preserve"> </w:t>
      </w:r>
      <w:r>
        <w:t>square</w:t>
      </w:r>
      <w:r>
        <w:tab/>
        <w:t>124</w:t>
      </w:r>
    </w:p>
    <w:p w:rsidR="00F3177F" w:rsidRDefault="0089671D">
      <w:pPr>
        <w:pStyle w:val="BodyText"/>
        <w:tabs>
          <w:tab w:val="left" w:leader="dot" w:pos="8668"/>
        </w:tabs>
        <w:spacing w:line="282" w:lineRule="exact"/>
        <w:ind w:left="584"/>
      </w:pPr>
      <w:r>
        <w:t xml:space="preserve">Table </w:t>
      </w:r>
      <w:proofErr w:type="gramStart"/>
      <w:r>
        <w:t>32  Multivariate</w:t>
      </w:r>
      <w:proofErr w:type="gramEnd"/>
      <w:r>
        <w:t xml:space="preserve"> Tests</w:t>
      </w:r>
      <w:r>
        <w:rPr>
          <w:position w:val="11"/>
          <w:sz w:val="16"/>
        </w:rPr>
        <w:t xml:space="preserve">a </w:t>
      </w:r>
      <w:r>
        <w:t>for the</w:t>
      </w:r>
      <w:r>
        <w:rPr>
          <w:spacing w:val="-7"/>
        </w:rPr>
        <w:t xml:space="preserve"> </w:t>
      </w:r>
      <w:r>
        <w:t>Hypothesis</w:t>
      </w:r>
      <w:r>
        <w:rPr>
          <w:spacing w:val="-1"/>
        </w:rPr>
        <w:t xml:space="preserve"> </w:t>
      </w:r>
      <w:r>
        <w:t>2</w:t>
      </w:r>
      <w:r>
        <w:tab/>
        <w:t>124</w:t>
      </w:r>
    </w:p>
    <w:p w:rsidR="00F3177F" w:rsidRDefault="0089671D">
      <w:pPr>
        <w:pStyle w:val="BodyText"/>
        <w:tabs>
          <w:tab w:val="left" w:leader="dot" w:pos="8663"/>
        </w:tabs>
        <w:spacing w:before="137"/>
        <w:ind w:left="584"/>
      </w:pPr>
      <w:r>
        <w:t xml:space="preserve">Table </w:t>
      </w:r>
      <w:proofErr w:type="gramStart"/>
      <w:r>
        <w:t>33  Tests</w:t>
      </w:r>
      <w:proofErr w:type="gramEnd"/>
      <w:r>
        <w:t xml:space="preserve"> of Between-Subjects Effects for the</w:t>
      </w:r>
      <w:r>
        <w:rPr>
          <w:spacing w:val="-8"/>
        </w:rPr>
        <w:t xml:space="preserve"> </w:t>
      </w:r>
      <w:r>
        <w:t>Hypothesis</w:t>
      </w:r>
      <w:r>
        <w:rPr>
          <w:spacing w:val="-1"/>
        </w:rPr>
        <w:t xml:space="preserve"> </w:t>
      </w:r>
      <w:r>
        <w:t>2</w:t>
      </w:r>
      <w:r>
        <w:tab/>
        <w:t>125</w:t>
      </w:r>
    </w:p>
    <w:p w:rsidR="00F3177F" w:rsidRDefault="0089671D">
      <w:pPr>
        <w:pStyle w:val="BodyText"/>
        <w:spacing w:before="139"/>
        <w:ind w:left="584" w:right="151"/>
      </w:pPr>
      <w:r>
        <w:t xml:space="preserve">Table </w:t>
      </w:r>
      <w:proofErr w:type="gramStart"/>
      <w:r>
        <w:t>34  Chi</w:t>
      </w:r>
      <w:proofErr w:type="gramEnd"/>
      <w:r>
        <w:t>-square test results for number of attended lessons and students’</w:t>
      </w:r>
    </w:p>
    <w:p w:rsidR="00F3177F" w:rsidRDefault="0089671D">
      <w:pPr>
        <w:pStyle w:val="BodyText"/>
        <w:tabs>
          <w:tab w:val="left" w:leader="dot" w:pos="8709"/>
        </w:tabs>
        <w:spacing w:before="137"/>
        <w:ind w:left="1549"/>
      </w:pPr>
      <w:proofErr w:type="gramStart"/>
      <w:r>
        <w:t>complaint</w:t>
      </w:r>
      <w:proofErr w:type="gramEnd"/>
      <w:r>
        <w:rPr>
          <w:spacing w:val="-2"/>
        </w:rPr>
        <w:t xml:space="preserve"> </w:t>
      </w:r>
      <w:r>
        <w:t>levels</w:t>
      </w:r>
      <w:r>
        <w:tab/>
        <w:t>127</w:t>
      </w:r>
    </w:p>
    <w:p w:rsidR="00F3177F" w:rsidRDefault="0089671D">
      <w:pPr>
        <w:pStyle w:val="BodyText"/>
        <w:tabs>
          <w:tab w:val="left" w:leader="dot" w:pos="8704"/>
        </w:tabs>
        <w:spacing w:before="139" w:line="360" w:lineRule="auto"/>
        <w:ind w:left="1544" w:right="113" w:hanging="960"/>
      </w:pPr>
      <w:r>
        <w:t xml:space="preserve">Table </w:t>
      </w:r>
      <w:proofErr w:type="gramStart"/>
      <w:r>
        <w:t>35  One</w:t>
      </w:r>
      <w:proofErr w:type="gramEnd"/>
      <w:r>
        <w:t>-way Anova results for number of attended lessons and students’ complaint</w:t>
      </w:r>
      <w:r>
        <w:rPr>
          <w:spacing w:val="-2"/>
        </w:rPr>
        <w:t xml:space="preserve"> </w:t>
      </w:r>
      <w:r>
        <w:t>levels</w:t>
      </w:r>
      <w:r>
        <w:tab/>
        <w:t>127</w:t>
      </w:r>
    </w:p>
    <w:p w:rsidR="00F3177F" w:rsidRDefault="0089671D">
      <w:pPr>
        <w:pStyle w:val="BodyText"/>
        <w:spacing w:before="6"/>
        <w:ind w:left="584" w:right="151"/>
      </w:pPr>
      <w:r>
        <w:t xml:space="preserve">Table </w:t>
      </w:r>
      <w:proofErr w:type="gramStart"/>
      <w:r>
        <w:t>36  Chi</w:t>
      </w:r>
      <w:proofErr w:type="gramEnd"/>
      <w:r>
        <w:t>-square test results for the items concerning students’ health</w:t>
      </w:r>
    </w:p>
    <w:p w:rsidR="00F3177F" w:rsidRDefault="0089671D">
      <w:pPr>
        <w:pStyle w:val="BodyText"/>
        <w:tabs>
          <w:tab w:val="left" w:leader="dot" w:pos="8683"/>
        </w:tabs>
        <w:spacing w:before="137"/>
        <w:ind w:left="1549"/>
      </w:pPr>
      <w:r>
        <w:t>(Items</w:t>
      </w:r>
      <w:r>
        <w:rPr>
          <w:spacing w:val="-2"/>
        </w:rPr>
        <w:t xml:space="preserve"> </w:t>
      </w:r>
      <w:r>
        <w:t>4-15)</w:t>
      </w:r>
      <w:r>
        <w:tab/>
        <w:t>129</w:t>
      </w:r>
    </w:p>
    <w:p w:rsidR="00F3177F" w:rsidRDefault="0089671D">
      <w:pPr>
        <w:pStyle w:val="BodyText"/>
        <w:spacing w:before="139"/>
        <w:ind w:left="584" w:right="151"/>
      </w:pPr>
      <w:r>
        <w:t xml:space="preserve">Table </w:t>
      </w:r>
      <w:proofErr w:type="gramStart"/>
      <w:r>
        <w:t>37  One</w:t>
      </w:r>
      <w:proofErr w:type="gramEnd"/>
      <w:r>
        <w:t>-way Anova results for the items concerning students’ health</w:t>
      </w:r>
    </w:p>
    <w:p w:rsidR="00F3177F" w:rsidRDefault="0089671D">
      <w:pPr>
        <w:pStyle w:val="BodyText"/>
        <w:tabs>
          <w:tab w:val="left" w:leader="dot" w:pos="8712"/>
        </w:tabs>
        <w:spacing w:before="137"/>
        <w:ind w:left="1578"/>
      </w:pPr>
      <w:r>
        <w:t>(Items</w:t>
      </w:r>
      <w:r>
        <w:rPr>
          <w:spacing w:val="-2"/>
        </w:rPr>
        <w:t xml:space="preserve"> </w:t>
      </w:r>
      <w:r>
        <w:t>4-15)</w:t>
      </w:r>
      <w:r>
        <w:tab/>
        <w:t>129</w:t>
      </w:r>
    </w:p>
    <w:p w:rsidR="00F3177F" w:rsidRDefault="0089671D">
      <w:pPr>
        <w:pStyle w:val="BodyText"/>
        <w:spacing w:before="139"/>
        <w:ind w:left="584" w:right="151"/>
      </w:pPr>
      <w:r>
        <w:t xml:space="preserve">Table </w:t>
      </w:r>
      <w:proofErr w:type="gramStart"/>
      <w:r>
        <w:t>38  Chi</w:t>
      </w:r>
      <w:proofErr w:type="gramEnd"/>
      <w:r>
        <w:t>-square test results for the items concerning students’ distraction</w:t>
      </w:r>
    </w:p>
    <w:p w:rsidR="00F3177F" w:rsidRDefault="0089671D">
      <w:pPr>
        <w:pStyle w:val="BodyText"/>
        <w:tabs>
          <w:tab w:val="left" w:leader="dot" w:pos="8697"/>
        </w:tabs>
        <w:spacing w:before="137"/>
        <w:ind w:left="1563"/>
      </w:pPr>
      <w:r>
        <w:t>(Items</w:t>
      </w:r>
      <w:r>
        <w:rPr>
          <w:spacing w:val="-2"/>
        </w:rPr>
        <w:t xml:space="preserve"> </w:t>
      </w:r>
      <w:r>
        <w:t>25-28)</w:t>
      </w:r>
      <w:r>
        <w:tab/>
        <w:t>130</w:t>
      </w:r>
    </w:p>
    <w:p w:rsidR="00F3177F" w:rsidRDefault="0089671D">
      <w:pPr>
        <w:pStyle w:val="BodyText"/>
        <w:spacing w:before="139"/>
        <w:ind w:left="584" w:right="151"/>
      </w:pPr>
      <w:r>
        <w:t xml:space="preserve">Table </w:t>
      </w:r>
      <w:proofErr w:type="gramStart"/>
      <w:r>
        <w:t>39  One</w:t>
      </w:r>
      <w:proofErr w:type="gramEnd"/>
      <w:r>
        <w:t>-way Anova results for the items concerning students’ distraction</w:t>
      </w:r>
    </w:p>
    <w:p w:rsidR="00F3177F" w:rsidRDefault="0089671D">
      <w:pPr>
        <w:pStyle w:val="BodyText"/>
        <w:tabs>
          <w:tab w:val="left" w:leader="dot" w:pos="8696"/>
        </w:tabs>
        <w:spacing w:before="137"/>
        <w:ind w:left="1563"/>
      </w:pPr>
      <w:r>
        <w:t>(Items</w:t>
      </w:r>
      <w:r>
        <w:rPr>
          <w:spacing w:val="-2"/>
        </w:rPr>
        <w:t xml:space="preserve"> </w:t>
      </w:r>
      <w:r>
        <w:t>25-28)</w:t>
      </w:r>
      <w:r>
        <w:tab/>
        <w:t>131</w:t>
      </w:r>
    </w:p>
    <w:p w:rsidR="00F3177F" w:rsidRDefault="00F3177F">
      <w:pPr>
        <w:sectPr w:rsidR="00F3177F">
          <w:pgSz w:w="12240" w:h="15840"/>
          <w:pgMar w:top="1380" w:right="1340" w:bottom="1900" w:left="1720" w:header="0" w:footer="1720" w:gutter="0"/>
          <w:cols w:space="720"/>
        </w:sectPr>
      </w:pPr>
    </w:p>
    <w:p w:rsidR="00F3177F" w:rsidRDefault="0089671D">
      <w:pPr>
        <w:pStyle w:val="Heading1"/>
        <w:ind w:left="1240" w:right="755"/>
        <w:jc w:val="center"/>
      </w:pPr>
      <w:bookmarkStart w:id="9" w:name="_TOC_250022"/>
      <w:bookmarkEnd w:id="9"/>
      <w:r>
        <w:lastRenderedPageBreak/>
        <w:t>LIST OF FIGURES</w:t>
      </w:r>
    </w:p>
    <w:p w:rsidR="00F3177F" w:rsidRDefault="00F3177F">
      <w:pPr>
        <w:pStyle w:val="BodyText"/>
        <w:spacing w:before="7"/>
        <w:rPr>
          <w:b/>
          <w:sz w:val="27"/>
        </w:rPr>
      </w:pPr>
    </w:p>
    <w:p w:rsidR="00F3177F" w:rsidRDefault="0089671D">
      <w:pPr>
        <w:pStyle w:val="BodyText"/>
        <w:tabs>
          <w:tab w:val="left" w:pos="1664"/>
          <w:tab w:val="left" w:leader="dot" w:pos="8819"/>
        </w:tabs>
        <w:ind w:left="584"/>
      </w:pPr>
      <w:r>
        <w:rPr>
          <w:spacing w:val="-3"/>
        </w:rPr>
        <w:t>Figure</w:t>
      </w:r>
      <w:r>
        <w:rPr>
          <w:spacing w:val="-5"/>
        </w:rPr>
        <w:t xml:space="preserve"> </w:t>
      </w:r>
      <w:r>
        <w:t>1</w:t>
      </w:r>
      <w:r>
        <w:tab/>
        <w:t>A</w:t>
      </w:r>
      <w:r>
        <w:rPr>
          <w:spacing w:val="-10"/>
        </w:rPr>
        <w:t xml:space="preserve"> </w:t>
      </w:r>
      <w:r>
        <w:t>sample</w:t>
      </w:r>
      <w:r>
        <w:rPr>
          <w:spacing w:val="-10"/>
        </w:rPr>
        <w:t xml:space="preserve"> </w:t>
      </w:r>
      <w:r>
        <w:t>Non-Domestic</w:t>
      </w:r>
      <w:r>
        <w:rPr>
          <w:spacing w:val="-7"/>
        </w:rPr>
        <w:t xml:space="preserve"> </w:t>
      </w:r>
      <w:r>
        <w:rPr>
          <w:spacing w:val="-3"/>
        </w:rPr>
        <w:t>Building</w:t>
      </w:r>
      <w:r>
        <w:rPr>
          <w:spacing w:val="-9"/>
        </w:rPr>
        <w:t xml:space="preserve"> </w:t>
      </w:r>
      <w:r>
        <w:t>Energy</w:t>
      </w:r>
      <w:r>
        <w:rPr>
          <w:spacing w:val="-15"/>
        </w:rPr>
        <w:t xml:space="preserve"> </w:t>
      </w:r>
      <w:r>
        <w:t>Rating</w:t>
      </w:r>
      <w:r>
        <w:rPr>
          <w:spacing w:val="-9"/>
        </w:rPr>
        <w:t xml:space="preserve"> </w:t>
      </w:r>
      <w:r>
        <w:rPr>
          <w:spacing w:val="-3"/>
        </w:rPr>
        <w:t>(BER)</w:t>
      </w:r>
      <w:r>
        <w:rPr>
          <w:spacing w:val="-8"/>
        </w:rPr>
        <w:t xml:space="preserve"> </w:t>
      </w:r>
      <w:r>
        <w:rPr>
          <w:spacing w:val="-3"/>
        </w:rPr>
        <w:t>chart</w:t>
      </w:r>
      <w:r>
        <w:rPr>
          <w:spacing w:val="-3"/>
        </w:rPr>
        <w:tab/>
      </w:r>
      <w:r>
        <w:t>23</w:t>
      </w:r>
    </w:p>
    <w:p w:rsidR="00F3177F" w:rsidRDefault="0089671D">
      <w:pPr>
        <w:pStyle w:val="BodyText"/>
        <w:tabs>
          <w:tab w:val="left" w:pos="1664"/>
          <w:tab w:val="left" w:leader="dot" w:pos="8820"/>
        </w:tabs>
        <w:spacing w:before="139"/>
        <w:ind w:left="584"/>
      </w:pPr>
      <w:r>
        <w:rPr>
          <w:spacing w:val="-3"/>
        </w:rPr>
        <w:t>Figure</w:t>
      </w:r>
      <w:r>
        <w:rPr>
          <w:spacing w:val="-5"/>
        </w:rPr>
        <w:t xml:space="preserve"> </w:t>
      </w:r>
      <w:r>
        <w:t>2</w:t>
      </w:r>
      <w:r>
        <w:tab/>
        <w:t>Energy</w:t>
      </w:r>
      <w:r>
        <w:rPr>
          <w:spacing w:val="-16"/>
        </w:rPr>
        <w:t xml:space="preserve"> </w:t>
      </w:r>
      <w:r>
        <w:t>Efficiency</w:t>
      </w:r>
      <w:r>
        <w:rPr>
          <w:spacing w:val="-17"/>
        </w:rPr>
        <w:t xml:space="preserve"> </w:t>
      </w:r>
      <w:r>
        <w:t>Rating</w:t>
      </w:r>
      <w:r>
        <w:tab/>
        <w:t>24</w:t>
      </w:r>
    </w:p>
    <w:p w:rsidR="00F3177F" w:rsidRDefault="0089671D">
      <w:pPr>
        <w:pStyle w:val="BodyText"/>
        <w:tabs>
          <w:tab w:val="left" w:pos="1664"/>
          <w:tab w:val="left" w:leader="dot" w:pos="8799"/>
        </w:tabs>
        <w:spacing w:before="137"/>
        <w:ind w:left="584"/>
      </w:pPr>
      <w:r>
        <w:rPr>
          <w:spacing w:val="-3"/>
        </w:rPr>
        <w:t>Figure</w:t>
      </w:r>
      <w:r>
        <w:rPr>
          <w:spacing w:val="-5"/>
        </w:rPr>
        <w:t xml:space="preserve"> </w:t>
      </w:r>
      <w:r>
        <w:t>3</w:t>
      </w:r>
      <w:r>
        <w:tab/>
      </w:r>
      <w:r>
        <w:rPr>
          <w:spacing w:val="-3"/>
        </w:rPr>
        <w:t>Environmental</w:t>
      </w:r>
      <w:r>
        <w:rPr>
          <w:spacing w:val="-2"/>
        </w:rPr>
        <w:t xml:space="preserve"> </w:t>
      </w:r>
      <w:r>
        <w:rPr>
          <w:spacing w:val="-3"/>
        </w:rPr>
        <w:t>Impact</w:t>
      </w:r>
      <w:r>
        <w:rPr>
          <w:spacing w:val="-5"/>
        </w:rPr>
        <w:t xml:space="preserve"> </w:t>
      </w:r>
      <w:r>
        <w:t>Rating</w:t>
      </w:r>
      <w:r>
        <w:tab/>
        <w:t>25</w:t>
      </w:r>
    </w:p>
    <w:p w:rsidR="00F3177F" w:rsidRDefault="0089671D">
      <w:pPr>
        <w:pStyle w:val="BodyText"/>
        <w:tabs>
          <w:tab w:val="left" w:pos="1664"/>
          <w:tab w:val="left" w:leader="dot" w:pos="8819"/>
        </w:tabs>
        <w:spacing w:before="139"/>
        <w:ind w:left="584"/>
      </w:pPr>
      <w:r>
        <w:rPr>
          <w:spacing w:val="-3"/>
        </w:rPr>
        <w:t>Figure</w:t>
      </w:r>
      <w:r>
        <w:rPr>
          <w:spacing w:val="-5"/>
        </w:rPr>
        <w:t xml:space="preserve"> </w:t>
      </w:r>
      <w:r>
        <w:t>4</w:t>
      </w:r>
      <w:r>
        <w:tab/>
        <w:t>A sample</w:t>
      </w:r>
      <w:r>
        <w:rPr>
          <w:spacing w:val="-44"/>
        </w:rPr>
        <w:t xml:space="preserve"> </w:t>
      </w:r>
      <w:r>
        <w:t>benchmarking roadmap for</w:t>
      </w:r>
      <w:r>
        <w:rPr>
          <w:spacing w:val="-11"/>
        </w:rPr>
        <w:t xml:space="preserve"> </w:t>
      </w:r>
      <w:r>
        <w:rPr>
          <w:spacing w:val="-3"/>
        </w:rPr>
        <w:t>organizations</w:t>
      </w:r>
      <w:r>
        <w:rPr>
          <w:spacing w:val="-3"/>
        </w:rPr>
        <w:tab/>
      </w:r>
      <w:r>
        <w:t>31</w:t>
      </w:r>
    </w:p>
    <w:p w:rsidR="00F3177F" w:rsidRDefault="0089671D">
      <w:pPr>
        <w:pStyle w:val="BodyText"/>
        <w:tabs>
          <w:tab w:val="left" w:pos="1664"/>
          <w:tab w:val="left" w:leader="dot" w:pos="8790"/>
        </w:tabs>
        <w:spacing w:before="137"/>
        <w:ind w:left="584"/>
      </w:pPr>
      <w:r>
        <w:t>Figure</w:t>
      </w:r>
      <w:r>
        <w:rPr>
          <w:spacing w:val="-3"/>
        </w:rPr>
        <w:t xml:space="preserve"> </w:t>
      </w:r>
      <w:r>
        <w:t>5</w:t>
      </w:r>
      <w:r>
        <w:tab/>
        <w:t>Average energy use profile of schools in</w:t>
      </w:r>
      <w:r>
        <w:rPr>
          <w:spacing w:val="-8"/>
        </w:rPr>
        <w:t xml:space="preserve"> </w:t>
      </w:r>
      <w:r>
        <w:t>the USA</w:t>
      </w:r>
      <w:r>
        <w:tab/>
        <w:t>34</w:t>
      </w:r>
    </w:p>
    <w:p w:rsidR="00F3177F" w:rsidRDefault="0089671D">
      <w:pPr>
        <w:pStyle w:val="BodyText"/>
        <w:tabs>
          <w:tab w:val="left" w:pos="1664"/>
          <w:tab w:val="left" w:leader="dot" w:pos="8821"/>
        </w:tabs>
        <w:spacing w:before="139"/>
        <w:ind w:left="584"/>
      </w:pPr>
      <w:r>
        <w:t>Figure</w:t>
      </w:r>
      <w:r>
        <w:rPr>
          <w:spacing w:val="-3"/>
        </w:rPr>
        <w:t xml:space="preserve"> </w:t>
      </w:r>
      <w:r>
        <w:t>6</w:t>
      </w:r>
      <w:r>
        <w:tab/>
        <w:t>A simplified energy</w:t>
      </w:r>
      <w:r>
        <w:rPr>
          <w:spacing w:val="-8"/>
        </w:rPr>
        <w:t xml:space="preserve"> </w:t>
      </w:r>
      <w:r>
        <w:t>management</w:t>
      </w:r>
      <w:r>
        <w:rPr>
          <w:spacing w:val="1"/>
        </w:rPr>
        <w:t xml:space="preserve"> </w:t>
      </w:r>
      <w:r>
        <w:t>guideline</w:t>
      </w:r>
      <w:r>
        <w:tab/>
        <w:t>47</w:t>
      </w:r>
    </w:p>
    <w:p w:rsidR="00F3177F" w:rsidRDefault="0089671D">
      <w:pPr>
        <w:pStyle w:val="BodyText"/>
        <w:tabs>
          <w:tab w:val="left" w:pos="1664"/>
          <w:tab w:val="left" w:leader="dot" w:pos="8788"/>
        </w:tabs>
        <w:spacing w:before="137"/>
        <w:ind w:left="584"/>
      </w:pPr>
      <w:r>
        <w:t>Figure</w:t>
      </w:r>
      <w:r>
        <w:rPr>
          <w:spacing w:val="-3"/>
        </w:rPr>
        <w:t xml:space="preserve"> </w:t>
      </w:r>
      <w:r>
        <w:t>7</w:t>
      </w:r>
      <w:r>
        <w:tab/>
        <w:t>Energy Intensity of Kosovo and</w:t>
      </w:r>
      <w:r>
        <w:rPr>
          <w:spacing w:val="-9"/>
        </w:rPr>
        <w:t xml:space="preserve"> </w:t>
      </w:r>
      <w:r>
        <w:t>Other</w:t>
      </w:r>
      <w:r>
        <w:rPr>
          <w:spacing w:val="-1"/>
        </w:rPr>
        <w:t xml:space="preserve"> </w:t>
      </w:r>
      <w:r w:rsidR="00EF11E5">
        <w:t>Countries</w:t>
      </w:r>
      <w:r w:rsidR="00EF11E5">
        <w:tab/>
        <w:t>62</w:t>
      </w:r>
    </w:p>
    <w:p w:rsidR="00F3177F" w:rsidRDefault="0089671D">
      <w:pPr>
        <w:pStyle w:val="BodyText"/>
        <w:tabs>
          <w:tab w:val="left" w:pos="1664"/>
          <w:tab w:val="left" w:leader="dot" w:pos="8830"/>
        </w:tabs>
        <w:spacing w:before="140"/>
        <w:ind w:left="584"/>
      </w:pPr>
      <w:r>
        <w:t>Figure</w:t>
      </w:r>
      <w:r>
        <w:rPr>
          <w:spacing w:val="-3"/>
        </w:rPr>
        <w:t xml:space="preserve"> </w:t>
      </w:r>
      <w:r>
        <w:t>8</w:t>
      </w:r>
      <w:r>
        <w:tab/>
        <w:t>Energy Consumption in Kosovo</w:t>
      </w:r>
      <w:r>
        <w:rPr>
          <w:spacing w:val="-4"/>
        </w:rPr>
        <w:t xml:space="preserve"> </w:t>
      </w:r>
      <w:r>
        <w:t>by</w:t>
      </w:r>
      <w:r>
        <w:rPr>
          <w:spacing w:val="-5"/>
        </w:rPr>
        <w:t xml:space="preserve"> </w:t>
      </w:r>
      <w:r w:rsidR="00EF11E5">
        <w:t>Sectors</w:t>
      </w:r>
      <w:r w:rsidR="00EF11E5">
        <w:tab/>
        <w:t>63</w:t>
      </w:r>
    </w:p>
    <w:p w:rsidR="00F3177F" w:rsidRDefault="0089671D">
      <w:pPr>
        <w:pStyle w:val="BodyText"/>
        <w:spacing w:before="137" w:line="360" w:lineRule="auto"/>
        <w:ind w:left="584" w:right="105"/>
        <w:jc w:val="both"/>
      </w:pPr>
      <w:r>
        <w:t xml:space="preserve">Figure 9 </w:t>
      </w:r>
      <w:r w:rsidR="004661EC">
        <w:t xml:space="preserve">  </w:t>
      </w:r>
      <w:r>
        <w:t>Energy Cost Percentages by Fuel Type in M</w:t>
      </w:r>
      <w:r w:rsidR="00EF11E5">
        <w:t>unicipal Buildings – 2013 ... 66</w:t>
      </w:r>
      <w:r>
        <w:t xml:space="preserve"> Figure </w:t>
      </w:r>
      <w:proofErr w:type="gramStart"/>
      <w:r>
        <w:t xml:space="preserve">10 </w:t>
      </w:r>
      <w:r w:rsidR="004661EC">
        <w:t xml:space="preserve"> </w:t>
      </w:r>
      <w:r>
        <w:t>The</w:t>
      </w:r>
      <w:proofErr w:type="gramEnd"/>
      <w:r>
        <w:t xml:space="preserve"> photographs and satellite views of</w:t>
      </w:r>
      <w:r w:rsidR="00EF11E5">
        <w:t xml:space="preserve"> the six MINECS and MAXECSs . 74</w:t>
      </w:r>
      <w:r>
        <w:t xml:space="preserve"> Figure </w:t>
      </w:r>
      <w:proofErr w:type="gramStart"/>
      <w:r>
        <w:t>11  Energy</w:t>
      </w:r>
      <w:proofErr w:type="gramEnd"/>
      <w:r>
        <w:t xml:space="preserve"> saving school features and their energy saving percentages in</w:t>
      </w:r>
    </w:p>
    <w:p w:rsidR="00F3177F" w:rsidRDefault="0089671D">
      <w:pPr>
        <w:pStyle w:val="BodyText"/>
        <w:tabs>
          <w:tab w:val="left" w:leader="dot" w:pos="8821"/>
        </w:tabs>
        <w:spacing w:before="6"/>
        <w:ind w:left="1664"/>
      </w:pPr>
      <w:proofErr w:type="gramStart"/>
      <w:r>
        <w:t>comparison</w:t>
      </w:r>
      <w:proofErr w:type="gramEnd"/>
      <w:r>
        <w:t xml:space="preserve"> with the</w:t>
      </w:r>
      <w:r>
        <w:rPr>
          <w:spacing w:val="-2"/>
        </w:rPr>
        <w:t xml:space="preserve"> </w:t>
      </w:r>
      <w:r>
        <w:t>municipality</w:t>
      </w:r>
      <w:r>
        <w:rPr>
          <w:spacing w:val="-6"/>
        </w:rPr>
        <w:t xml:space="preserve"> </w:t>
      </w:r>
      <w:r w:rsidR="00EF11E5">
        <w:t>average</w:t>
      </w:r>
      <w:r w:rsidR="00EF11E5">
        <w:tab/>
        <w:t>91</w:t>
      </w:r>
    </w:p>
    <w:p w:rsidR="00F3177F" w:rsidRDefault="0089671D">
      <w:pPr>
        <w:pStyle w:val="BodyText"/>
        <w:tabs>
          <w:tab w:val="left" w:leader="dot" w:pos="8670"/>
        </w:tabs>
        <w:spacing w:before="137" w:line="360" w:lineRule="auto"/>
        <w:ind w:left="1664" w:right="147" w:hanging="1080"/>
      </w:pPr>
      <w:r>
        <w:t xml:space="preserve">Figure </w:t>
      </w:r>
      <w:proofErr w:type="gramStart"/>
      <w:r>
        <w:t xml:space="preserve">12 </w:t>
      </w:r>
      <w:r w:rsidR="004661EC">
        <w:t xml:space="preserve"> </w:t>
      </w:r>
      <w:r>
        <w:t>Pearson</w:t>
      </w:r>
      <w:proofErr w:type="gramEnd"/>
      <w:r>
        <w:t xml:space="preserve"> Correlation Coefficient graphic for annual school energy consumption per student and meter square in the state primary and secondary schools</w:t>
      </w:r>
      <w:r>
        <w:rPr>
          <w:spacing w:val="-4"/>
        </w:rPr>
        <w:t xml:space="preserve"> </w:t>
      </w:r>
      <w:r w:rsidR="00EF11E5">
        <w:t>in PCM</w:t>
      </w:r>
      <w:r w:rsidR="00EF11E5">
        <w:tab/>
        <w:t>121</w:t>
      </w:r>
    </w:p>
    <w:p w:rsidR="00F3177F" w:rsidRDefault="0089671D">
      <w:pPr>
        <w:pStyle w:val="BodyText"/>
        <w:spacing w:before="6" w:line="360" w:lineRule="auto"/>
        <w:ind w:left="1664" w:right="151" w:hanging="1080"/>
      </w:pPr>
      <w:r>
        <w:t xml:space="preserve">Figure </w:t>
      </w:r>
      <w:proofErr w:type="gramStart"/>
      <w:r>
        <w:t xml:space="preserve">13 </w:t>
      </w:r>
      <w:r w:rsidR="004661EC">
        <w:t xml:space="preserve"> </w:t>
      </w:r>
      <w:r>
        <w:t>Pearson</w:t>
      </w:r>
      <w:proofErr w:type="gramEnd"/>
      <w:r>
        <w:t xml:space="preserve"> Correlation Coefficient graphic for annual school energy consumption meter square and CO</w:t>
      </w:r>
      <w:r>
        <w:rPr>
          <w:position w:val="-2"/>
          <w:sz w:val="16"/>
        </w:rPr>
        <w:t xml:space="preserve">2  </w:t>
      </w:r>
      <w:r>
        <w:t>emission per meter square in the</w:t>
      </w:r>
    </w:p>
    <w:p w:rsidR="00F3177F" w:rsidRDefault="0089671D">
      <w:pPr>
        <w:pStyle w:val="BodyText"/>
        <w:tabs>
          <w:tab w:val="left" w:leader="dot" w:pos="8699"/>
        </w:tabs>
        <w:spacing w:line="263" w:lineRule="exact"/>
        <w:ind w:left="1647"/>
      </w:pPr>
      <w:proofErr w:type="gramStart"/>
      <w:r>
        <w:t>state</w:t>
      </w:r>
      <w:proofErr w:type="gramEnd"/>
      <w:r>
        <w:t xml:space="preserve"> primary and secondary schools</w:t>
      </w:r>
      <w:r>
        <w:rPr>
          <w:spacing w:val="-9"/>
        </w:rPr>
        <w:t xml:space="preserve"> </w:t>
      </w:r>
      <w:r w:rsidR="00EF11E5">
        <w:t>in PCM</w:t>
      </w:r>
      <w:r w:rsidR="00EF11E5">
        <w:tab/>
        <w:t>123</w:t>
      </w:r>
    </w:p>
    <w:p w:rsidR="001A6906" w:rsidRDefault="0089671D" w:rsidP="001A6906">
      <w:pPr>
        <w:pStyle w:val="BodyText"/>
        <w:tabs>
          <w:tab w:val="left" w:pos="9180"/>
        </w:tabs>
        <w:spacing w:before="137" w:line="360" w:lineRule="auto"/>
        <w:ind w:left="1664" w:hanging="1080"/>
      </w:pPr>
      <w:r>
        <w:t xml:space="preserve">Figure </w:t>
      </w:r>
      <w:proofErr w:type="gramStart"/>
      <w:r>
        <w:t xml:space="preserve">14 </w:t>
      </w:r>
      <w:r w:rsidR="001A6906">
        <w:t xml:space="preserve"> </w:t>
      </w:r>
      <w:r>
        <w:t>Comparison</w:t>
      </w:r>
      <w:proofErr w:type="gramEnd"/>
      <w:r>
        <w:t xml:space="preserve"> of the annual average energy consumption of state</w:t>
      </w:r>
      <w:r w:rsidR="001A6906">
        <w:t xml:space="preserve"> </w:t>
      </w:r>
      <w:r>
        <w:t xml:space="preserve">primary </w:t>
      </w:r>
    </w:p>
    <w:p w:rsidR="00F3177F" w:rsidRDefault="001A6906" w:rsidP="001A6906">
      <w:pPr>
        <w:pStyle w:val="BodyText"/>
        <w:tabs>
          <w:tab w:val="left" w:pos="9180"/>
        </w:tabs>
        <w:spacing w:line="360" w:lineRule="auto"/>
        <w:ind w:left="1664" w:hanging="1080"/>
      </w:pPr>
      <w:r>
        <w:tab/>
      </w:r>
      <w:proofErr w:type="gramStart"/>
      <w:r w:rsidR="0089671D">
        <w:t>and</w:t>
      </w:r>
      <w:proofErr w:type="gramEnd"/>
      <w:r w:rsidR="0089671D">
        <w:t xml:space="preserve"> secondary schools in PCM with the school averages of the</w:t>
      </w:r>
    </w:p>
    <w:p w:rsidR="00F3177F" w:rsidRDefault="0089671D">
      <w:pPr>
        <w:pStyle w:val="BodyText"/>
        <w:tabs>
          <w:tab w:val="left" w:leader="dot" w:pos="8694"/>
        </w:tabs>
        <w:spacing w:before="4"/>
        <w:ind w:left="1664"/>
      </w:pPr>
      <w:r>
        <w:t>neighbouring and the other</w:t>
      </w:r>
      <w:r>
        <w:rPr>
          <w:spacing w:val="-3"/>
        </w:rPr>
        <w:t xml:space="preserve"> </w:t>
      </w:r>
      <w:r>
        <w:t>European</w:t>
      </w:r>
      <w:r>
        <w:rPr>
          <w:spacing w:val="-1"/>
        </w:rPr>
        <w:t xml:space="preserve"> </w:t>
      </w:r>
      <w:r w:rsidR="00EF11E5">
        <w:t>countries</w:t>
      </w:r>
      <w:r w:rsidR="00EF11E5">
        <w:tab/>
        <w:t>132</w:t>
      </w:r>
      <w:bookmarkStart w:id="10" w:name="_GoBack"/>
      <w:bookmarkEnd w:id="10"/>
    </w:p>
    <w:p w:rsidR="00F3177F" w:rsidRDefault="00F3177F">
      <w:pPr>
        <w:sectPr w:rsidR="00F3177F">
          <w:footerReference w:type="default" r:id="rId8"/>
          <w:pgSz w:w="12240" w:h="15840"/>
          <w:pgMar w:top="1400" w:right="1340" w:bottom="1900" w:left="1720" w:header="0" w:footer="1720" w:gutter="0"/>
          <w:pgNumType w:start="14"/>
          <w:cols w:space="720"/>
        </w:sectPr>
      </w:pPr>
    </w:p>
    <w:p w:rsidR="00F3177F" w:rsidRDefault="0089671D">
      <w:pPr>
        <w:pStyle w:val="Heading1"/>
        <w:ind w:left="3073" w:right="544"/>
      </w:pPr>
      <w:bookmarkStart w:id="11" w:name="_TOC_250021"/>
      <w:bookmarkEnd w:id="11"/>
      <w:r>
        <w:lastRenderedPageBreak/>
        <w:t>LIST OF ABBREVIATIONS</w:t>
      </w:r>
    </w:p>
    <w:p w:rsidR="00F3177F" w:rsidRDefault="00F3177F">
      <w:pPr>
        <w:pStyle w:val="BodyText"/>
        <w:rPr>
          <w:b/>
          <w:sz w:val="28"/>
        </w:rPr>
      </w:pPr>
    </w:p>
    <w:p w:rsidR="00F3177F" w:rsidRDefault="0089671D">
      <w:pPr>
        <w:pStyle w:val="BodyText"/>
        <w:tabs>
          <w:tab w:val="left" w:pos="1736"/>
        </w:tabs>
        <w:spacing w:before="197" w:line="360" w:lineRule="auto"/>
        <w:ind w:left="584" w:right="1985"/>
      </w:pPr>
      <w:r>
        <w:rPr>
          <w:spacing w:val="-3"/>
        </w:rPr>
        <w:t>ACEEE</w:t>
      </w:r>
      <w:r>
        <w:rPr>
          <w:spacing w:val="-3"/>
        </w:rPr>
        <w:tab/>
      </w:r>
      <w:r>
        <w:t xml:space="preserve">: </w:t>
      </w:r>
      <w:r>
        <w:rPr>
          <w:spacing w:val="-3"/>
        </w:rPr>
        <w:t xml:space="preserve">American </w:t>
      </w:r>
      <w:r>
        <w:t>Council for an</w:t>
      </w:r>
      <w:r>
        <w:rPr>
          <w:spacing w:val="-28"/>
        </w:rPr>
        <w:t xml:space="preserve"> </w:t>
      </w:r>
      <w:r>
        <w:rPr>
          <w:spacing w:val="-3"/>
        </w:rPr>
        <w:t>Energy-Efficient</w:t>
      </w:r>
      <w:r>
        <w:rPr>
          <w:spacing w:val="-7"/>
        </w:rPr>
        <w:t xml:space="preserve"> </w:t>
      </w:r>
      <w:r>
        <w:t>Economy ALB</w:t>
      </w:r>
      <w:r>
        <w:tab/>
        <w:t>:</w:t>
      </w:r>
      <w:r>
        <w:rPr>
          <w:spacing w:val="1"/>
        </w:rPr>
        <w:t xml:space="preserve"> </w:t>
      </w:r>
      <w:r>
        <w:rPr>
          <w:spacing w:val="-3"/>
        </w:rPr>
        <w:t>Albania</w:t>
      </w:r>
    </w:p>
    <w:p w:rsidR="00F3177F" w:rsidRDefault="0089671D">
      <w:pPr>
        <w:pStyle w:val="BodyText"/>
        <w:tabs>
          <w:tab w:val="left" w:pos="1736"/>
        </w:tabs>
        <w:spacing w:before="6"/>
        <w:ind w:left="584" w:right="544"/>
      </w:pPr>
      <w:r>
        <w:t>ANN</w:t>
      </w:r>
      <w:r>
        <w:tab/>
        <w:t xml:space="preserve">: </w:t>
      </w:r>
      <w:r>
        <w:rPr>
          <w:spacing w:val="-3"/>
        </w:rPr>
        <w:t xml:space="preserve">Artificial </w:t>
      </w:r>
      <w:r>
        <w:t>Neural</w:t>
      </w:r>
      <w:r>
        <w:rPr>
          <w:spacing w:val="-26"/>
        </w:rPr>
        <w:t xml:space="preserve"> </w:t>
      </w:r>
      <w:r>
        <w:t>Network</w:t>
      </w:r>
    </w:p>
    <w:p w:rsidR="00F3177F" w:rsidRDefault="0089671D">
      <w:pPr>
        <w:pStyle w:val="BodyText"/>
        <w:tabs>
          <w:tab w:val="left" w:pos="1736"/>
        </w:tabs>
        <w:spacing w:before="137"/>
        <w:ind w:left="584" w:right="544"/>
      </w:pPr>
      <w:r>
        <w:t>ANSI</w:t>
      </w:r>
      <w:r>
        <w:tab/>
        <w:t xml:space="preserve">: </w:t>
      </w:r>
      <w:r>
        <w:rPr>
          <w:spacing w:val="-3"/>
        </w:rPr>
        <w:t xml:space="preserve">American </w:t>
      </w:r>
      <w:r>
        <w:t xml:space="preserve">Nation </w:t>
      </w:r>
      <w:r>
        <w:rPr>
          <w:spacing w:val="-3"/>
        </w:rPr>
        <w:t>Standards</w:t>
      </w:r>
      <w:r>
        <w:rPr>
          <w:spacing w:val="-4"/>
        </w:rPr>
        <w:t xml:space="preserve"> </w:t>
      </w:r>
      <w:r>
        <w:rPr>
          <w:spacing w:val="-3"/>
        </w:rPr>
        <w:t>Institute</w:t>
      </w:r>
    </w:p>
    <w:p w:rsidR="00F3177F" w:rsidRDefault="0089671D">
      <w:pPr>
        <w:pStyle w:val="BodyText"/>
        <w:tabs>
          <w:tab w:val="left" w:pos="1736"/>
        </w:tabs>
        <w:spacing w:before="139" w:line="360" w:lineRule="auto"/>
        <w:ind w:left="584" w:right="684"/>
      </w:pPr>
      <w:r>
        <w:rPr>
          <w:spacing w:val="-3"/>
        </w:rPr>
        <w:t>ASHRAE</w:t>
      </w:r>
      <w:r>
        <w:rPr>
          <w:spacing w:val="-3"/>
        </w:rPr>
        <w:tab/>
      </w:r>
      <w:r>
        <w:t>:</w:t>
      </w:r>
      <w:r>
        <w:rPr>
          <w:spacing w:val="-10"/>
        </w:rPr>
        <w:t xml:space="preserve"> </w:t>
      </w:r>
      <w:r>
        <w:rPr>
          <w:spacing w:val="-3"/>
        </w:rPr>
        <w:t>American</w:t>
      </w:r>
      <w:r>
        <w:rPr>
          <w:spacing w:val="-10"/>
        </w:rPr>
        <w:t xml:space="preserve"> </w:t>
      </w:r>
      <w:r>
        <w:t>Society</w:t>
      </w:r>
      <w:r>
        <w:rPr>
          <w:spacing w:val="-15"/>
        </w:rPr>
        <w:t xml:space="preserve"> </w:t>
      </w:r>
      <w:r>
        <w:t>of</w:t>
      </w:r>
      <w:r>
        <w:rPr>
          <w:spacing w:val="-11"/>
        </w:rPr>
        <w:t xml:space="preserve"> </w:t>
      </w:r>
      <w:r>
        <w:t>Heating,</w:t>
      </w:r>
      <w:r>
        <w:rPr>
          <w:spacing w:val="-10"/>
        </w:rPr>
        <w:t xml:space="preserve"> </w:t>
      </w:r>
      <w:r>
        <w:rPr>
          <w:spacing w:val="-3"/>
        </w:rPr>
        <w:t>Refrigeration,</w:t>
      </w:r>
      <w:r>
        <w:rPr>
          <w:spacing w:val="-10"/>
        </w:rPr>
        <w:t xml:space="preserve"> </w:t>
      </w:r>
      <w:r>
        <w:t>and</w:t>
      </w:r>
      <w:r>
        <w:rPr>
          <w:spacing w:val="-8"/>
        </w:rPr>
        <w:t xml:space="preserve"> </w:t>
      </w:r>
      <w:r>
        <w:t>Air</w:t>
      </w:r>
      <w:r>
        <w:rPr>
          <w:spacing w:val="-11"/>
        </w:rPr>
        <w:t xml:space="preserve"> </w:t>
      </w:r>
      <w:r>
        <w:t xml:space="preserve">Conditioning </w:t>
      </w:r>
      <w:r>
        <w:rPr>
          <w:spacing w:val="-3"/>
        </w:rPr>
        <w:t>BER</w:t>
      </w:r>
      <w:r>
        <w:rPr>
          <w:spacing w:val="-3"/>
        </w:rPr>
        <w:tab/>
      </w:r>
      <w:r>
        <w:t xml:space="preserve">: </w:t>
      </w:r>
      <w:r>
        <w:rPr>
          <w:spacing w:val="-3"/>
        </w:rPr>
        <w:t xml:space="preserve">Building </w:t>
      </w:r>
      <w:r>
        <w:t>Energy</w:t>
      </w:r>
      <w:r>
        <w:rPr>
          <w:spacing w:val="-25"/>
        </w:rPr>
        <w:t xml:space="preserve"> </w:t>
      </w:r>
      <w:r>
        <w:t>Rating</w:t>
      </w:r>
    </w:p>
    <w:p w:rsidR="00F3177F" w:rsidRDefault="0089671D">
      <w:pPr>
        <w:pStyle w:val="BodyText"/>
        <w:tabs>
          <w:tab w:val="left" w:pos="1736"/>
        </w:tabs>
        <w:spacing w:before="6"/>
        <w:ind w:left="584" w:right="544"/>
      </w:pPr>
      <w:r>
        <w:rPr>
          <w:spacing w:val="-3"/>
        </w:rPr>
        <w:t>BIH</w:t>
      </w:r>
      <w:r>
        <w:rPr>
          <w:spacing w:val="-3"/>
        </w:rPr>
        <w:tab/>
      </w:r>
      <w:r>
        <w:t xml:space="preserve">: </w:t>
      </w:r>
      <w:r>
        <w:rPr>
          <w:spacing w:val="-3"/>
        </w:rPr>
        <w:t>Bosnia and</w:t>
      </w:r>
      <w:r>
        <w:rPr>
          <w:spacing w:val="8"/>
        </w:rPr>
        <w:t xml:space="preserve"> </w:t>
      </w:r>
      <w:r>
        <w:rPr>
          <w:spacing w:val="-3"/>
        </w:rPr>
        <w:t>Herzegovina</w:t>
      </w:r>
    </w:p>
    <w:p w:rsidR="00F3177F" w:rsidRDefault="0089671D">
      <w:pPr>
        <w:pStyle w:val="BodyText"/>
        <w:tabs>
          <w:tab w:val="left" w:pos="1736"/>
        </w:tabs>
        <w:spacing w:before="137" w:line="360" w:lineRule="auto"/>
        <w:ind w:left="584" w:right="3980"/>
      </w:pPr>
      <w:r>
        <w:rPr>
          <w:spacing w:val="-3"/>
        </w:rPr>
        <w:t>BMS</w:t>
      </w:r>
      <w:r>
        <w:rPr>
          <w:spacing w:val="-3"/>
        </w:rPr>
        <w:tab/>
      </w:r>
      <w:r>
        <w:t xml:space="preserve">: </w:t>
      </w:r>
      <w:r>
        <w:rPr>
          <w:spacing w:val="-3"/>
        </w:rPr>
        <w:t>Building</w:t>
      </w:r>
      <w:r>
        <w:rPr>
          <w:spacing w:val="2"/>
        </w:rPr>
        <w:t xml:space="preserve"> </w:t>
      </w:r>
      <w:r>
        <w:rPr>
          <w:spacing w:val="-3"/>
        </w:rPr>
        <w:t>Management</w:t>
      </w:r>
      <w:r>
        <w:rPr>
          <w:spacing w:val="4"/>
        </w:rPr>
        <w:t xml:space="preserve"> </w:t>
      </w:r>
      <w:r>
        <w:rPr>
          <w:spacing w:val="-3"/>
        </w:rPr>
        <w:t>Systems</w:t>
      </w:r>
      <w:r>
        <w:rPr>
          <w:w w:val="99"/>
        </w:rPr>
        <w:t xml:space="preserve"> </w:t>
      </w:r>
      <w:r>
        <w:rPr>
          <w:spacing w:val="-3"/>
        </w:rPr>
        <w:t>BP</w:t>
      </w:r>
      <w:r>
        <w:rPr>
          <w:spacing w:val="-3"/>
        </w:rPr>
        <w:tab/>
      </w:r>
      <w:r>
        <w:t xml:space="preserve">: </w:t>
      </w:r>
      <w:r>
        <w:rPr>
          <w:spacing w:val="-3"/>
        </w:rPr>
        <w:t>British</w:t>
      </w:r>
      <w:r>
        <w:rPr>
          <w:spacing w:val="2"/>
        </w:rPr>
        <w:t xml:space="preserve"> </w:t>
      </w:r>
      <w:r>
        <w:rPr>
          <w:spacing w:val="-3"/>
        </w:rPr>
        <w:t>Petroleum</w:t>
      </w:r>
    </w:p>
    <w:p w:rsidR="00F3177F" w:rsidRDefault="0089671D">
      <w:pPr>
        <w:pStyle w:val="BodyText"/>
        <w:tabs>
          <w:tab w:val="left" w:pos="1736"/>
        </w:tabs>
        <w:spacing w:before="4"/>
        <w:ind w:left="584" w:right="544"/>
      </w:pPr>
      <w:r>
        <w:rPr>
          <w:spacing w:val="-3"/>
        </w:rPr>
        <w:t>Btu</w:t>
      </w:r>
      <w:r>
        <w:rPr>
          <w:spacing w:val="-3"/>
        </w:rPr>
        <w:tab/>
      </w:r>
      <w:r>
        <w:t xml:space="preserve">: </w:t>
      </w:r>
      <w:r>
        <w:rPr>
          <w:spacing w:val="-3"/>
        </w:rPr>
        <w:t>British thermal</w:t>
      </w:r>
      <w:r>
        <w:rPr>
          <w:spacing w:val="-8"/>
        </w:rPr>
        <w:t xml:space="preserve"> </w:t>
      </w:r>
      <w:r>
        <w:t>units</w:t>
      </w:r>
    </w:p>
    <w:p w:rsidR="00F3177F" w:rsidRDefault="0089671D">
      <w:pPr>
        <w:pStyle w:val="BodyText"/>
        <w:tabs>
          <w:tab w:val="left" w:pos="1736"/>
        </w:tabs>
        <w:spacing w:before="137"/>
        <w:ind w:left="584" w:right="544"/>
      </w:pPr>
      <w:r>
        <w:t>CFL</w:t>
      </w:r>
      <w:r>
        <w:tab/>
        <w:t xml:space="preserve">: </w:t>
      </w:r>
      <w:r>
        <w:rPr>
          <w:spacing w:val="-3"/>
        </w:rPr>
        <w:t>Compact Fluorescent</w:t>
      </w:r>
      <w:r>
        <w:rPr>
          <w:spacing w:val="7"/>
        </w:rPr>
        <w:t xml:space="preserve"> </w:t>
      </w:r>
      <w:r>
        <w:rPr>
          <w:spacing w:val="-3"/>
        </w:rPr>
        <w:t>Light</w:t>
      </w:r>
    </w:p>
    <w:p w:rsidR="00F3177F" w:rsidRDefault="0089671D">
      <w:pPr>
        <w:pStyle w:val="BodyText"/>
        <w:tabs>
          <w:tab w:val="left" w:pos="1736"/>
        </w:tabs>
        <w:spacing w:before="139" w:line="360" w:lineRule="auto"/>
        <w:ind w:left="584" w:right="3286"/>
      </w:pPr>
      <w:r>
        <w:rPr>
          <w:spacing w:val="-3"/>
        </w:rPr>
        <w:t>CIBSE</w:t>
      </w:r>
      <w:r>
        <w:rPr>
          <w:spacing w:val="-3"/>
        </w:rPr>
        <w:tab/>
      </w:r>
      <w:r>
        <w:t xml:space="preserve">: </w:t>
      </w:r>
      <w:r>
        <w:rPr>
          <w:spacing w:val="-3"/>
        </w:rPr>
        <w:t xml:space="preserve">Certified Institute </w:t>
      </w:r>
      <w:r>
        <w:t>of</w:t>
      </w:r>
      <w:r>
        <w:rPr>
          <w:spacing w:val="9"/>
        </w:rPr>
        <w:t xml:space="preserve"> </w:t>
      </w:r>
      <w:r>
        <w:rPr>
          <w:spacing w:val="-3"/>
        </w:rPr>
        <w:t>Building</w:t>
      </w:r>
      <w:r>
        <w:rPr>
          <w:spacing w:val="-1"/>
        </w:rPr>
        <w:t xml:space="preserve"> </w:t>
      </w:r>
      <w:r>
        <w:rPr>
          <w:spacing w:val="-3"/>
        </w:rPr>
        <w:t>Services</w:t>
      </w:r>
      <w:r>
        <w:rPr>
          <w:w w:val="99"/>
        </w:rPr>
        <w:t xml:space="preserve"> </w:t>
      </w:r>
      <w:r>
        <w:t>CII</w:t>
      </w:r>
      <w:r>
        <w:tab/>
        <w:t xml:space="preserve">: </w:t>
      </w:r>
      <w:r>
        <w:rPr>
          <w:spacing w:val="-3"/>
        </w:rPr>
        <w:t xml:space="preserve">Construction </w:t>
      </w:r>
      <w:r>
        <w:t>Industry</w:t>
      </w:r>
      <w:r>
        <w:rPr>
          <w:spacing w:val="-12"/>
        </w:rPr>
        <w:t xml:space="preserve"> </w:t>
      </w:r>
      <w:r>
        <w:rPr>
          <w:spacing w:val="-3"/>
        </w:rPr>
        <w:t>Institute</w:t>
      </w:r>
    </w:p>
    <w:p w:rsidR="00F3177F" w:rsidRDefault="0089671D">
      <w:pPr>
        <w:pStyle w:val="BodyText"/>
        <w:tabs>
          <w:tab w:val="left" w:pos="1736"/>
        </w:tabs>
        <w:spacing w:before="6" w:line="328" w:lineRule="auto"/>
        <w:ind w:left="584" w:right="1952"/>
      </w:pPr>
      <w:r>
        <w:rPr>
          <w:spacing w:val="-3"/>
        </w:rPr>
        <w:t>CISCA</w:t>
      </w:r>
      <w:r>
        <w:rPr>
          <w:spacing w:val="-3"/>
        </w:rPr>
        <w:tab/>
      </w:r>
      <w:r>
        <w:t>:</w:t>
      </w:r>
      <w:r>
        <w:rPr>
          <w:spacing w:val="-10"/>
        </w:rPr>
        <w:t xml:space="preserve"> </w:t>
      </w:r>
      <w:r>
        <w:t>Ceiling</w:t>
      </w:r>
      <w:r>
        <w:rPr>
          <w:spacing w:val="-10"/>
        </w:rPr>
        <w:t xml:space="preserve"> </w:t>
      </w:r>
      <w:r>
        <w:t>&amp;</w:t>
      </w:r>
      <w:r>
        <w:rPr>
          <w:spacing w:val="-10"/>
        </w:rPr>
        <w:t xml:space="preserve"> </w:t>
      </w:r>
      <w:r>
        <w:rPr>
          <w:spacing w:val="-3"/>
        </w:rPr>
        <w:t>Interior</w:t>
      </w:r>
      <w:r>
        <w:rPr>
          <w:spacing w:val="-11"/>
        </w:rPr>
        <w:t xml:space="preserve"> </w:t>
      </w:r>
      <w:r>
        <w:t>Systems</w:t>
      </w:r>
      <w:r>
        <w:rPr>
          <w:spacing w:val="-10"/>
        </w:rPr>
        <w:t xml:space="preserve"> </w:t>
      </w:r>
      <w:r>
        <w:rPr>
          <w:spacing w:val="-3"/>
        </w:rPr>
        <w:t>Construction</w:t>
      </w:r>
      <w:r>
        <w:rPr>
          <w:spacing w:val="-10"/>
        </w:rPr>
        <w:t xml:space="preserve"> </w:t>
      </w:r>
      <w:r>
        <w:t xml:space="preserve">Association </w:t>
      </w:r>
      <w:r>
        <w:rPr>
          <w:spacing w:val="-3"/>
        </w:rPr>
        <w:t>kgCO</w:t>
      </w:r>
      <w:r>
        <w:rPr>
          <w:spacing w:val="-3"/>
          <w:position w:val="-2"/>
          <w:sz w:val="16"/>
        </w:rPr>
        <w:t>2</w:t>
      </w:r>
      <w:r>
        <w:rPr>
          <w:spacing w:val="-3"/>
        </w:rPr>
        <w:t>/m</w:t>
      </w:r>
      <w:r>
        <w:rPr>
          <w:spacing w:val="-3"/>
          <w:position w:val="11"/>
          <w:sz w:val="16"/>
        </w:rPr>
        <w:t>2</w:t>
      </w:r>
      <w:r>
        <w:rPr>
          <w:spacing w:val="-3"/>
        </w:rPr>
        <w:t xml:space="preserve">/yr: annual </w:t>
      </w:r>
      <w:r>
        <w:t>CO</w:t>
      </w:r>
      <w:r>
        <w:rPr>
          <w:position w:val="-2"/>
          <w:sz w:val="16"/>
        </w:rPr>
        <w:t xml:space="preserve">2 </w:t>
      </w:r>
      <w:r>
        <w:rPr>
          <w:spacing w:val="-3"/>
        </w:rPr>
        <w:t xml:space="preserve">emission </w:t>
      </w:r>
      <w:r>
        <w:t xml:space="preserve">per </w:t>
      </w:r>
      <w:r>
        <w:rPr>
          <w:spacing w:val="-3"/>
        </w:rPr>
        <w:t>surface</w:t>
      </w:r>
      <w:r>
        <w:rPr>
          <w:spacing w:val="14"/>
        </w:rPr>
        <w:t xml:space="preserve"> </w:t>
      </w:r>
      <w:r>
        <w:t>area</w:t>
      </w:r>
    </w:p>
    <w:p w:rsidR="00F3177F" w:rsidRDefault="0089671D">
      <w:pPr>
        <w:pStyle w:val="BodyText"/>
        <w:tabs>
          <w:tab w:val="left" w:pos="1736"/>
        </w:tabs>
        <w:spacing w:before="9"/>
        <w:ind w:left="584" w:right="544"/>
      </w:pPr>
      <w:r>
        <w:t>CRO</w:t>
      </w:r>
      <w:r>
        <w:tab/>
        <w:t>:</w:t>
      </w:r>
      <w:r>
        <w:rPr>
          <w:spacing w:val="1"/>
        </w:rPr>
        <w:t xml:space="preserve"> </w:t>
      </w:r>
      <w:r>
        <w:rPr>
          <w:spacing w:val="-3"/>
        </w:rPr>
        <w:t>Croatia</w:t>
      </w:r>
    </w:p>
    <w:p w:rsidR="00F3177F" w:rsidRDefault="0089671D">
      <w:pPr>
        <w:pStyle w:val="BodyText"/>
        <w:tabs>
          <w:tab w:val="left" w:pos="1736"/>
        </w:tabs>
        <w:spacing w:before="137"/>
        <w:ind w:left="584" w:right="544"/>
      </w:pPr>
      <w:r>
        <w:t>DD</w:t>
      </w:r>
      <w:r>
        <w:tab/>
        <w:t>:</w:t>
      </w:r>
      <w:r>
        <w:rPr>
          <w:spacing w:val="1"/>
        </w:rPr>
        <w:t xml:space="preserve"> </w:t>
      </w:r>
      <w:r>
        <w:rPr>
          <w:spacing w:val="-3"/>
        </w:rPr>
        <w:t>Degree-Days</w:t>
      </w:r>
    </w:p>
    <w:p w:rsidR="00F3177F" w:rsidRDefault="0089671D">
      <w:pPr>
        <w:pStyle w:val="BodyText"/>
        <w:tabs>
          <w:tab w:val="left" w:pos="1736"/>
        </w:tabs>
        <w:spacing w:before="139" w:line="360" w:lineRule="auto"/>
        <w:ind w:left="584" w:right="4418"/>
      </w:pPr>
      <w:r>
        <w:t>DEC</w:t>
      </w:r>
      <w:r>
        <w:tab/>
        <w:t>: Display</w:t>
      </w:r>
      <w:r>
        <w:rPr>
          <w:spacing w:val="-42"/>
        </w:rPr>
        <w:t xml:space="preserve"> </w:t>
      </w:r>
      <w:r>
        <w:t>Energy</w:t>
      </w:r>
      <w:r>
        <w:rPr>
          <w:spacing w:val="-24"/>
        </w:rPr>
        <w:t xml:space="preserve"> </w:t>
      </w:r>
      <w:r>
        <w:t>Certificate DEC</w:t>
      </w:r>
      <w:r>
        <w:tab/>
        <w:t>:</w:t>
      </w:r>
      <w:r>
        <w:rPr>
          <w:spacing w:val="-20"/>
        </w:rPr>
        <w:t xml:space="preserve"> </w:t>
      </w:r>
      <w:r>
        <w:t>Display</w:t>
      </w:r>
      <w:r>
        <w:rPr>
          <w:spacing w:val="-22"/>
        </w:rPr>
        <w:t xml:space="preserve"> </w:t>
      </w:r>
      <w:r>
        <w:t>Energy</w:t>
      </w:r>
      <w:r>
        <w:rPr>
          <w:spacing w:val="-24"/>
        </w:rPr>
        <w:t xml:space="preserve"> </w:t>
      </w:r>
      <w:r>
        <w:t>Certificate</w:t>
      </w:r>
    </w:p>
    <w:p w:rsidR="00F3177F" w:rsidRDefault="0089671D">
      <w:pPr>
        <w:pStyle w:val="BodyText"/>
        <w:tabs>
          <w:tab w:val="left" w:pos="1736"/>
        </w:tabs>
        <w:spacing w:before="6" w:line="360" w:lineRule="auto"/>
        <w:ind w:left="584" w:right="3488"/>
      </w:pPr>
      <w:r>
        <w:rPr>
          <w:spacing w:val="-3"/>
        </w:rPr>
        <w:t>DfES</w:t>
      </w:r>
      <w:r>
        <w:rPr>
          <w:spacing w:val="-3"/>
        </w:rPr>
        <w:tab/>
      </w:r>
      <w:r>
        <w:t xml:space="preserve">: </w:t>
      </w:r>
      <w:r>
        <w:rPr>
          <w:spacing w:val="-3"/>
        </w:rPr>
        <w:t xml:space="preserve">Department </w:t>
      </w:r>
      <w:r>
        <w:t>for Education</w:t>
      </w:r>
      <w:r>
        <w:rPr>
          <w:spacing w:val="-35"/>
        </w:rPr>
        <w:t xml:space="preserve"> </w:t>
      </w:r>
      <w:r>
        <w:rPr>
          <w:spacing w:val="-3"/>
        </w:rPr>
        <w:t>and</w:t>
      </w:r>
      <w:r>
        <w:rPr>
          <w:spacing w:val="-8"/>
        </w:rPr>
        <w:t xml:space="preserve"> </w:t>
      </w:r>
      <w:r>
        <w:t>Skills</w:t>
      </w:r>
      <w:r>
        <w:rPr>
          <w:w w:val="99"/>
        </w:rPr>
        <w:t xml:space="preserve"> </w:t>
      </w:r>
      <w:r>
        <w:t>EE</w:t>
      </w:r>
      <w:r>
        <w:tab/>
        <w:t>: Energy</w:t>
      </w:r>
      <w:r>
        <w:rPr>
          <w:spacing w:val="-39"/>
        </w:rPr>
        <w:t xml:space="preserve"> </w:t>
      </w:r>
      <w:r>
        <w:t>Efficiency</w:t>
      </w:r>
    </w:p>
    <w:p w:rsidR="00F3177F" w:rsidRDefault="0089671D">
      <w:pPr>
        <w:pStyle w:val="BodyText"/>
        <w:tabs>
          <w:tab w:val="left" w:pos="1736"/>
        </w:tabs>
        <w:spacing w:before="6" w:line="360" w:lineRule="auto"/>
        <w:ind w:left="584" w:right="3593"/>
      </w:pPr>
      <w:r>
        <w:t>EHCS</w:t>
      </w:r>
      <w:r>
        <w:tab/>
        <w:t xml:space="preserve">: </w:t>
      </w:r>
      <w:r>
        <w:rPr>
          <w:spacing w:val="-3"/>
        </w:rPr>
        <w:t xml:space="preserve">English </w:t>
      </w:r>
      <w:r>
        <w:t>House</w:t>
      </w:r>
      <w:r>
        <w:rPr>
          <w:spacing w:val="-35"/>
        </w:rPr>
        <w:t xml:space="preserve"> </w:t>
      </w:r>
      <w:r>
        <w:t>Condition</w:t>
      </w:r>
      <w:r>
        <w:rPr>
          <w:spacing w:val="-13"/>
        </w:rPr>
        <w:t xml:space="preserve"> </w:t>
      </w:r>
      <w:r>
        <w:t>Survey EIA</w:t>
      </w:r>
      <w:r>
        <w:tab/>
        <w:t>: Energy</w:t>
      </w:r>
      <w:r>
        <w:rPr>
          <w:spacing w:val="-5"/>
        </w:rPr>
        <w:t xml:space="preserve"> </w:t>
      </w:r>
      <w:r>
        <w:rPr>
          <w:spacing w:val="-3"/>
        </w:rPr>
        <w:t>Information</w:t>
      </w:r>
      <w:r>
        <w:rPr>
          <w:spacing w:val="-2"/>
        </w:rPr>
        <w:t xml:space="preserve"> </w:t>
      </w:r>
      <w:r>
        <w:rPr>
          <w:spacing w:val="-3"/>
        </w:rPr>
        <w:t>Administartion</w:t>
      </w:r>
      <w:r>
        <w:t xml:space="preserve"> EMC</w:t>
      </w:r>
      <w:r>
        <w:tab/>
        <w:t xml:space="preserve">: Energy </w:t>
      </w:r>
      <w:r>
        <w:rPr>
          <w:spacing w:val="-3"/>
        </w:rPr>
        <w:t>Conservation</w:t>
      </w:r>
      <w:r>
        <w:rPr>
          <w:spacing w:val="-11"/>
        </w:rPr>
        <w:t xml:space="preserve"> </w:t>
      </w:r>
      <w:r>
        <w:rPr>
          <w:spacing w:val="-3"/>
        </w:rPr>
        <w:t>Measure</w:t>
      </w:r>
    </w:p>
    <w:p w:rsidR="00F3177F" w:rsidRDefault="0089671D">
      <w:pPr>
        <w:pStyle w:val="BodyText"/>
        <w:tabs>
          <w:tab w:val="left" w:pos="1736"/>
        </w:tabs>
        <w:spacing w:before="4"/>
        <w:ind w:left="584" w:right="544"/>
      </w:pPr>
      <w:r>
        <w:t>EP</w:t>
      </w:r>
      <w:r>
        <w:tab/>
        <w:t>: Energy</w:t>
      </w:r>
      <w:r>
        <w:rPr>
          <w:spacing w:val="-45"/>
        </w:rPr>
        <w:t xml:space="preserve"> </w:t>
      </w:r>
      <w:r>
        <w:t>Performance</w:t>
      </w:r>
    </w:p>
    <w:p w:rsidR="00F3177F" w:rsidRDefault="0089671D">
      <w:pPr>
        <w:pStyle w:val="BodyText"/>
        <w:tabs>
          <w:tab w:val="left" w:pos="1736"/>
        </w:tabs>
        <w:spacing w:before="139" w:line="360" w:lineRule="auto"/>
        <w:ind w:left="584" w:right="2833"/>
      </w:pPr>
      <w:r>
        <w:rPr>
          <w:spacing w:val="-3"/>
        </w:rPr>
        <w:t>EPBD</w:t>
      </w:r>
      <w:r>
        <w:rPr>
          <w:spacing w:val="-3"/>
        </w:rPr>
        <w:tab/>
      </w:r>
      <w:r>
        <w:t>:</w:t>
      </w:r>
      <w:r>
        <w:rPr>
          <w:spacing w:val="-14"/>
        </w:rPr>
        <w:t xml:space="preserve"> </w:t>
      </w:r>
      <w:r>
        <w:t>Energy</w:t>
      </w:r>
      <w:r>
        <w:rPr>
          <w:spacing w:val="-19"/>
        </w:rPr>
        <w:t xml:space="preserve"> </w:t>
      </w:r>
      <w:r>
        <w:t>Performance</w:t>
      </w:r>
      <w:r>
        <w:rPr>
          <w:spacing w:val="-15"/>
        </w:rPr>
        <w:t xml:space="preserve"> </w:t>
      </w:r>
      <w:r>
        <w:t>of</w:t>
      </w:r>
      <w:r>
        <w:rPr>
          <w:spacing w:val="-13"/>
        </w:rPr>
        <w:t xml:space="preserve"> </w:t>
      </w:r>
      <w:r>
        <w:rPr>
          <w:spacing w:val="-3"/>
        </w:rPr>
        <w:t>Buildings</w:t>
      </w:r>
      <w:r>
        <w:rPr>
          <w:spacing w:val="-12"/>
        </w:rPr>
        <w:t xml:space="preserve"> </w:t>
      </w:r>
      <w:r>
        <w:t>Directive EPC</w:t>
      </w:r>
      <w:r>
        <w:tab/>
        <w:t>: Energy Performance</w:t>
      </w:r>
      <w:r>
        <w:rPr>
          <w:spacing w:val="-42"/>
        </w:rPr>
        <w:t xml:space="preserve"> </w:t>
      </w:r>
      <w:r>
        <w:rPr>
          <w:spacing w:val="-3"/>
        </w:rPr>
        <w:t>Certificate</w:t>
      </w:r>
    </w:p>
    <w:p w:rsidR="00F3177F" w:rsidRDefault="0089671D">
      <w:pPr>
        <w:pStyle w:val="BodyText"/>
        <w:tabs>
          <w:tab w:val="left" w:pos="1736"/>
        </w:tabs>
        <w:spacing w:before="6"/>
        <w:ind w:left="584" w:right="544"/>
      </w:pPr>
      <w:r>
        <w:t>ERO</w:t>
      </w:r>
      <w:r>
        <w:tab/>
        <w:t>:</w:t>
      </w:r>
      <w:r>
        <w:rPr>
          <w:spacing w:val="-17"/>
        </w:rPr>
        <w:t xml:space="preserve"> </w:t>
      </w:r>
      <w:r>
        <w:t>Energy</w:t>
      </w:r>
      <w:r>
        <w:rPr>
          <w:spacing w:val="-22"/>
        </w:rPr>
        <w:t xml:space="preserve"> </w:t>
      </w:r>
      <w:r>
        <w:t>Regulatory</w:t>
      </w:r>
      <w:r>
        <w:rPr>
          <w:spacing w:val="-19"/>
        </w:rPr>
        <w:t xml:space="preserve"> </w:t>
      </w:r>
      <w:r>
        <w:t>Office</w:t>
      </w:r>
    </w:p>
    <w:p w:rsidR="00F3177F" w:rsidRDefault="00F3177F">
      <w:pPr>
        <w:sectPr w:rsidR="00F3177F">
          <w:footerReference w:type="default" r:id="rId9"/>
          <w:pgSz w:w="12240" w:h="15840"/>
          <w:pgMar w:top="1400" w:right="1720" w:bottom="1900" w:left="1720" w:header="0" w:footer="1720" w:gutter="0"/>
          <w:pgNumType w:start="15"/>
          <w:cols w:space="720"/>
        </w:sectPr>
      </w:pPr>
    </w:p>
    <w:p w:rsidR="00F3177F" w:rsidRDefault="0089671D">
      <w:pPr>
        <w:pStyle w:val="BodyText"/>
        <w:tabs>
          <w:tab w:val="left" w:pos="1736"/>
        </w:tabs>
        <w:spacing w:before="54" w:line="360" w:lineRule="auto"/>
        <w:ind w:left="584" w:right="4347"/>
      </w:pPr>
      <w:r>
        <w:lastRenderedPageBreak/>
        <w:t>ESCO</w:t>
      </w:r>
      <w:r>
        <w:tab/>
        <w:t>: Energy</w:t>
      </w:r>
      <w:r>
        <w:rPr>
          <w:spacing w:val="-24"/>
        </w:rPr>
        <w:t xml:space="preserve"> </w:t>
      </w:r>
      <w:r>
        <w:t>Serving</w:t>
      </w:r>
      <w:r>
        <w:rPr>
          <w:spacing w:val="-10"/>
        </w:rPr>
        <w:t xml:space="preserve"> </w:t>
      </w:r>
      <w:r>
        <w:rPr>
          <w:spacing w:val="-3"/>
        </w:rPr>
        <w:t>Companies</w:t>
      </w:r>
      <w:r>
        <w:rPr>
          <w:w w:val="99"/>
        </w:rPr>
        <w:t xml:space="preserve"> </w:t>
      </w:r>
      <w:r>
        <w:t>EUI</w:t>
      </w:r>
      <w:r>
        <w:tab/>
        <w:t>: Energy</w:t>
      </w:r>
      <w:r>
        <w:rPr>
          <w:spacing w:val="-46"/>
        </w:rPr>
        <w:t xml:space="preserve"> </w:t>
      </w:r>
      <w:r>
        <w:t>Use Intensity</w:t>
      </w:r>
    </w:p>
    <w:p w:rsidR="00F3177F" w:rsidRDefault="0089671D">
      <w:pPr>
        <w:pStyle w:val="BodyText"/>
        <w:tabs>
          <w:tab w:val="left" w:pos="1736"/>
        </w:tabs>
        <w:spacing w:before="6" w:line="360" w:lineRule="auto"/>
        <w:ind w:left="584" w:right="3687"/>
      </w:pPr>
      <w:r>
        <w:t>EVO</w:t>
      </w:r>
      <w:r>
        <w:tab/>
        <w:t>: Efficiency</w:t>
      </w:r>
      <w:r>
        <w:rPr>
          <w:spacing w:val="-16"/>
        </w:rPr>
        <w:t xml:space="preserve"> </w:t>
      </w:r>
      <w:r>
        <w:rPr>
          <w:spacing w:val="-3"/>
        </w:rPr>
        <w:t>Valuation</w:t>
      </w:r>
      <w:r>
        <w:rPr>
          <w:spacing w:val="-5"/>
        </w:rPr>
        <w:t xml:space="preserve"> </w:t>
      </w:r>
      <w:r>
        <w:rPr>
          <w:spacing w:val="-3"/>
        </w:rPr>
        <w:t>Organization</w:t>
      </w:r>
      <w:r>
        <w:rPr>
          <w:w w:val="99"/>
        </w:rPr>
        <w:t xml:space="preserve"> </w:t>
      </w:r>
      <w:r>
        <w:t>GDP</w:t>
      </w:r>
      <w:r>
        <w:tab/>
        <w:t xml:space="preserve">: </w:t>
      </w:r>
      <w:r>
        <w:rPr>
          <w:spacing w:val="-3"/>
        </w:rPr>
        <w:t xml:space="preserve">General </w:t>
      </w:r>
      <w:r>
        <w:t>Domestic</w:t>
      </w:r>
      <w:r>
        <w:rPr>
          <w:spacing w:val="-17"/>
        </w:rPr>
        <w:t xml:space="preserve"> </w:t>
      </w:r>
      <w:r>
        <w:rPr>
          <w:spacing w:val="-3"/>
        </w:rPr>
        <w:t>Product</w:t>
      </w:r>
    </w:p>
    <w:p w:rsidR="00F3177F" w:rsidRDefault="0089671D">
      <w:pPr>
        <w:pStyle w:val="BodyText"/>
        <w:tabs>
          <w:tab w:val="left" w:pos="1736"/>
        </w:tabs>
        <w:spacing w:before="6" w:line="360" w:lineRule="auto"/>
        <w:ind w:left="584" w:right="4286"/>
      </w:pPr>
      <w:r>
        <w:t>GoK</w:t>
      </w:r>
      <w:r>
        <w:tab/>
        <w:t xml:space="preserve">: The </w:t>
      </w:r>
      <w:r>
        <w:rPr>
          <w:spacing w:val="-3"/>
        </w:rPr>
        <w:t>Government</w:t>
      </w:r>
      <w:r>
        <w:rPr>
          <w:spacing w:val="-23"/>
        </w:rPr>
        <w:t xml:space="preserve"> </w:t>
      </w:r>
      <w:r>
        <w:t>of</w:t>
      </w:r>
      <w:r>
        <w:rPr>
          <w:spacing w:val="-8"/>
        </w:rPr>
        <w:t xml:space="preserve"> </w:t>
      </w:r>
      <w:r>
        <w:t>Kosovo GPG</w:t>
      </w:r>
      <w:r>
        <w:tab/>
        <w:t xml:space="preserve">: </w:t>
      </w:r>
      <w:r>
        <w:rPr>
          <w:spacing w:val="-3"/>
        </w:rPr>
        <w:t xml:space="preserve">Good </w:t>
      </w:r>
      <w:r>
        <w:t>Practice</w:t>
      </w:r>
      <w:r>
        <w:rPr>
          <w:spacing w:val="-31"/>
        </w:rPr>
        <w:t xml:space="preserve"> </w:t>
      </w:r>
      <w:r>
        <w:t>Guide</w:t>
      </w:r>
    </w:p>
    <w:p w:rsidR="00F3177F" w:rsidRDefault="0089671D">
      <w:pPr>
        <w:pStyle w:val="BodyText"/>
        <w:tabs>
          <w:tab w:val="left" w:pos="1736"/>
        </w:tabs>
        <w:spacing w:before="6"/>
        <w:ind w:left="584" w:right="544"/>
      </w:pPr>
      <w:r>
        <w:t>HERS</w:t>
      </w:r>
      <w:r>
        <w:tab/>
        <w:t>:</w:t>
      </w:r>
      <w:r>
        <w:rPr>
          <w:spacing w:val="-14"/>
        </w:rPr>
        <w:t xml:space="preserve"> </w:t>
      </w:r>
      <w:r>
        <w:t>Home</w:t>
      </w:r>
      <w:r>
        <w:rPr>
          <w:spacing w:val="-13"/>
        </w:rPr>
        <w:t xml:space="preserve"> </w:t>
      </w:r>
      <w:r>
        <w:t>Energy</w:t>
      </w:r>
      <w:r>
        <w:rPr>
          <w:spacing w:val="-19"/>
        </w:rPr>
        <w:t xml:space="preserve"> </w:t>
      </w:r>
      <w:r>
        <w:t>Rating</w:t>
      </w:r>
      <w:r>
        <w:rPr>
          <w:spacing w:val="-17"/>
        </w:rPr>
        <w:t xml:space="preserve"> </w:t>
      </w:r>
      <w:r>
        <w:t>System</w:t>
      </w:r>
    </w:p>
    <w:p w:rsidR="00F3177F" w:rsidRDefault="0089671D">
      <w:pPr>
        <w:pStyle w:val="BodyText"/>
        <w:tabs>
          <w:tab w:val="left" w:pos="1736"/>
        </w:tabs>
        <w:spacing w:before="137" w:line="360" w:lineRule="auto"/>
        <w:ind w:left="584" w:right="2887"/>
      </w:pPr>
      <w:r>
        <w:rPr>
          <w:spacing w:val="-3"/>
        </w:rPr>
        <w:t>HVAC</w:t>
      </w:r>
      <w:r>
        <w:rPr>
          <w:spacing w:val="-3"/>
        </w:rPr>
        <w:tab/>
      </w:r>
      <w:r>
        <w:t xml:space="preserve">: </w:t>
      </w:r>
      <w:r>
        <w:rPr>
          <w:spacing w:val="-3"/>
        </w:rPr>
        <w:t xml:space="preserve">Heating, Ventilating, </w:t>
      </w:r>
      <w:r>
        <w:t>and</w:t>
      </w:r>
      <w:r>
        <w:rPr>
          <w:spacing w:val="-22"/>
        </w:rPr>
        <w:t xml:space="preserve"> </w:t>
      </w:r>
      <w:r>
        <w:t>Air</w:t>
      </w:r>
      <w:r>
        <w:rPr>
          <w:spacing w:val="-9"/>
        </w:rPr>
        <w:t xml:space="preserve"> </w:t>
      </w:r>
      <w:r>
        <w:t>Conditioning IAQ</w:t>
      </w:r>
      <w:r>
        <w:tab/>
        <w:t xml:space="preserve">: </w:t>
      </w:r>
      <w:r>
        <w:rPr>
          <w:spacing w:val="-3"/>
        </w:rPr>
        <w:t xml:space="preserve">indoor </w:t>
      </w:r>
      <w:r>
        <w:rPr>
          <w:spacing w:val="-2"/>
        </w:rPr>
        <w:t>air</w:t>
      </w:r>
      <w:r>
        <w:rPr>
          <w:spacing w:val="-18"/>
        </w:rPr>
        <w:t xml:space="preserve"> </w:t>
      </w:r>
      <w:r>
        <w:t>quality</w:t>
      </w:r>
    </w:p>
    <w:p w:rsidR="00F3177F" w:rsidRDefault="0089671D">
      <w:pPr>
        <w:pStyle w:val="BodyText"/>
        <w:tabs>
          <w:tab w:val="left" w:pos="1736"/>
        </w:tabs>
        <w:spacing w:before="4" w:line="360" w:lineRule="auto"/>
        <w:ind w:left="584" w:right="3770"/>
      </w:pPr>
      <w:r>
        <w:t>IEC</w:t>
      </w:r>
      <w:r>
        <w:tab/>
        <w:t xml:space="preserve">: </w:t>
      </w:r>
      <w:r>
        <w:rPr>
          <w:spacing w:val="-3"/>
        </w:rPr>
        <w:t>Indoor</w:t>
      </w:r>
      <w:r>
        <w:rPr>
          <w:spacing w:val="4"/>
        </w:rPr>
        <w:t xml:space="preserve"> </w:t>
      </w:r>
      <w:r>
        <w:rPr>
          <w:spacing w:val="-3"/>
        </w:rPr>
        <w:t>Environmental</w:t>
      </w:r>
      <w:r>
        <w:rPr>
          <w:spacing w:val="4"/>
        </w:rPr>
        <w:t xml:space="preserve"> </w:t>
      </w:r>
      <w:r>
        <w:rPr>
          <w:spacing w:val="-3"/>
        </w:rPr>
        <w:t>Condition</w:t>
      </w:r>
      <w:r>
        <w:rPr>
          <w:w w:val="99"/>
        </w:rPr>
        <w:t xml:space="preserve"> </w:t>
      </w:r>
      <w:r>
        <w:t>IEQ</w:t>
      </w:r>
      <w:r>
        <w:tab/>
        <w:t xml:space="preserve">: </w:t>
      </w:r>
      <w:r>
        <w:rPr>
          <w:spacing w:val="-3"/>
        </w:rPr>
        <w:t>Indoor</w:t>
      </w:r>
      <w:r>
        <w:rPr>
          <w:spacing w:val="-6"/>
        </w:rPr>
        <w:t xml:space="preserve"> </w:t>
      </w:r>
      <w:r>
        <w:rPr>
          <w:spacing w:val="-3"/>
        </w:rPr>
        <w:t>Environmental</w:t>
      </w:r>
      <w:r>
        <w:rPr>
          <w:spacing w:val="-1"/>
        </w:rPr>
        <w:t xml:space="preserve"> </w:t>
      </w:r>
      <w:r>
        <w:t>Quality IFI</w:t>
      </w:r>
      <w:r>
        <w:tab/>
        <w:t xml:space="preserve">: </w:t>
      </w:r>
      <w:r>
        <w:rPr>
          <w:spacing w:val="-3"/>
        </w:rPr>
        <w:t>international financial</w:t>
      </w:r>
      <w:r>
        <w:rPr>
          <w:spacing w:val="4"/>
        </w:rPr>
        <w:t xml:space="preserve"> </w:t>
      </w:r>
      <w:r>
        <w:rPr>
          <w:spacing w:val="-2"/>
        </w:rPr>
        <w:t>institutions</w:t>
      </w:r>
    </w:p>
    <w:p w:rsidR="00F3177F" w:rsidRDefault="0089671D">
      <w:pPr>
        <w:pStyle w:val="BodyText"/>
        <w:tabs>
          <w:tab w:val="left" w:pos="1736"/>
        </w:tabs>
        <w:spacing w:before="6" w:line="360" w:lineRule="auto"/>
        <w:ind w:left="584" w:right="687"/>
      </w:pPr>
      <w:r>
        <w:rPr>
          <w:spacing w:val="-3"/>
        </w:rPr>
        <w:t>IPMVP</w:t>
      </w:r>
      <w:r>
        <w:rPr>
          <w:spacing w:val="-3"/>
        </w:rPr>
        <w:tab/>
      </w:r>
      <w:r>
        <w:t xml:space="preserve">: </w:t>
      </w:r>
      <w:r>
        <w:rPr>
          <w:spacing w:val="-3"/>
        </w:rPr>
        <w:t xml:space="preserve">International </w:t>
      </w:r>
      <w:r>
        <w:t xml:space="preserve">Performance </w:t>
      </w:r>
      <w:r>
        <w:rPr>
          <w:spacing w:val="-3"/>
        </w:rPr>
        <w:t>Measurement and</w:t>
      </w:r>
      <w:r>
        <w:rPr>
          <w:spacing w:val="-4"/>
        </w:rPr>
        <w:t xml:space="preserve"> </w:t>
      </w:r>
      <w:r>
        <w:rPr>
          <w:spacing w:val="-3"/>
        </w:rPr>
        <w:t>Verification</w:t>
      </w:r>
      <w:r>
        <w:rPr>
          <w:spacing w:val="-4"/>
        </w:rPr>
        <w:t xml:space="preserve"> </w:t>
      </w:r>
      <w:r>
        <w:rPr>
          <w:spacing w:val="-3"/>
        </w:rPr>
        <w:t>Protocol</w:t>
      </w:r>
      <w:r>
        <w:rPr>
          <w:w w:val="99"/>
        </w:rPr>
        <w:t xml:space="preserve"> </w:t>
      </w:r>
      <w:r>
        <w:t>ISO</w:t>
      </w:r>
      <w:r>
        <w:tab/>
        <w:t xml:space="preserve">: </w:t>
      </w:r>
      <w:r>
        <w:rPr>
          <w:spacing w:val="-3"/>
        </w:rPr>
        <w:t xml:space="preserve">International Organization </w:t>
      </w:r>
      <w:r>
        <w:t>for</w:t>
      </w:r>
      <w:r>
        <w:rPr>
          <w:spacing w:val="13"/>
        </w:rPr>
        <w:t xml:space="preserve"> </w:t>
      </w:r>
      <w:r>
        <w:rPr>
          <w:spacing w:val="-3"/>
        </w:rPr>
        <w:t>Standardisation</w:t>
      </w:r>
    </w:p>
    <w:p w:rsidR="00F3177F" w:rsidRDefault="0089671D">
      <w:pPr>
        <w:pStyle w:val="BodyText"/>
        <w:tabs>
          <w:tab w:val="left" w:pos="1736"/>
        </w:tabs>
        <w:spacing w:before="6" w:line="360" w:lineRule="auto"/>
        <w:ind w:left="584" w:right="3630"/>
      </w:pPr>
      <w:r>
        <w:rPr>
          <w:spacing w:val="-3"/>
        </w:rPr>
        <w:t>KEEA</w:t>
      </w:r>
      <w:r>
        <w:rPr>
          <w:spacing w:val="-3"/>
        </w:rPr>
        <w:tab/>
      </w:r>
      <w:r>
        <w:t xml:space="preserve">: </w:t>
      </w:r>
      <w:r>
        <w:rPr>
          <w:spacing w:val="-3"/>
        </w:rPr>
        <w:t xml:space="preserve">Kosovo </w:t>
      </w:r>
      <w:r>
        <w:t>Energy</w:t>
      </w:r>
      <w:r>
        <w:rPr>
          <w:spacing w:val="-33"/>
        </w:rPr>
        <w:t xml:space="preserve"> </w:t>
      </w:r>
      <w:r>
        <w:t>Efficiency</w:t>
      </w:r>
      <w:r>
        <w:rPr>
          <w:spacing w:val="-16"/>
        </w:rPr>
        <w:t xml:space="preserve"> </w:t>
      </w:r>
      <w:r>
        <w:t>Agency KOS</w:t>
      </w:r>
      <w:r>
        <w:tab/>
        <w:t>:</w:t>
      </w:r>
      <w:r>
        <w:rPr>
          <w:spacing w:val="-3"/>
        </w:rPr>
        <w:t xml:space="preserve"> Kosovo</w:t>
      </w:r>
    </w:p>
    <w:p w:rsidR="00F3177F" w:rsidRDefault="0089671D">
      <w:pPr>
        <w:pStyle w:val="BodyText"/>
        <w:spacing w:line="282" w:lineRule="exact"/>
        <w:ind w:left="584" w:right="544"/>
      </w:pPr>
      <w:r>
        <w:t>kWh/m</w:t>
      </w:r>
      <w:r>
        <w:rPr>
          <w:position w:val="11"/>
          <w:sz w:val="16"/>
        </w:rPr>
        <w:t>2</w:t>
      </w:r>
      <w:r>
        <w:t>/</w:t>
      </w:r>
      <w:proofErr w:type="gramStart"/>
      <w:r>
        <w:t>yr :</w:t>
      </w:r>
      <w:proofErr w:type="gramEnd"/>
      <w:r>
        <w:t xml:space="preserve"> annual kilo watt energy per unit area / meter square</w:t>
      </w:r>
    </w:p>
    <w:p w:rsidR="00F3177F" w:rsidRDefault="0089671D">
      <w:pPr>
        <w:pStyle w:val="BodyText"/>
        <w:tabs>
          <w:tab w:val="left" w:pos="1736"/>
        </w:tabs>
        <w:spacing w:before="102" w:line="360" w:lineRule="auto"/>
        <w:ind w:left="584" w:right="3163"/>
      </w:pPr>
      <w:r>
        <w:rPr>
          <w:spacing w:val="-3"/>
        </w:rPr>
        <w:t>kWh/m</w:t>
      </w:r>
      <w:r>
        <w:rPr>
          <w:spacing w:val="-3"/>
          <w:position w:val="11"/>
          <w:sz w:val="16"/>
        </w:rPr>
        <w:t>3</w:t>
      </w:r>
      <w:r>
        <w:rPr>
          <w:spacing w:val="-3"/>
        </w:rPr>
        <w:t>/</w:t>
      </w:r>
      <w:proofErr w:type="gramStart"/>
      <w:r>
        <w:rPr>
          <w:spacing w:val="-3"/>
        </w:rPr>
        <w:t xml:space="preserve">yr </w:t>
      </w:r>
      <w:r>
        <w:t>:</w:t>
      </w:r>
      <w:proofErr w:type="gramEnd"/>
      <w:r>
        <w:t xml:space="preserve"> </w:t>
      </w:r>
      <w:r>
        <w:rPr>
          <w:spacing w:val="-3"/>
        </w:rPr>
        <w:t xml:space="preserve">annual </w:t>
      </w:r>
      <w:r>
        <w:t xml:space="preserve">kilo </w:t>
      </w:r>
      <w:r>
        <w:rPr>
          <w:spacing w:val="-3"/>
        </w:rPr>
        <w:t xml:space="preserve">watt </w:t>
      </w:r>
      <w:r>
        <w:t xml:space="preserve">energy </w:t>
      </w:r>
      <w:r>
        <w:rPr>
          <w:spacing w:val="-3"/>
        </w:rPr>
        <w:t xml:space="preserve">per </w:t>
      </w:r>
      <w:r>
        <w:t>unit</w:t>
      </w:r>
      <w:r>
        <w:rPr>
          <w:spacing w:val="-26"/>
        </w:rPr>
        <w:t xml:space="preserve"> </w:t>
      </w:r>
      <w:r>
        <w:t xml:space="preserve">volume </w:t>
      </w:r>
      <w:r>
        <w:rPr>
          <w:spacing w:val="-3"/>
        </w:rPr>
        <w:t>KEEA</w:t>
      </w:r>
      <w:r>
        <w:rPr>
          <w:spacing w:val="-3"/>
        </w:rPr>
        <w:tab/>
      </w:r>
      <w:r>
        <w:t xml:space="preserve">: </w:t>
      </w:r>
      <w:r>
        <w:rPr>
          <w:spacing w:val="-3"/>
        </w:rPr>
        <w:t xml:space="preserve">Kosovo </w:t>
      </w:r>
      <w:r>
        <w:t>Energy</w:t>
      </w:r>
      <w:r>
        <w:rPr>
          <w:spacing w:val="-33"/>
        </w:rPr>
        <w:t xml:space="preserve"> </w:t>
      </w:r>
      <w:r>
        <w:t>Efficiency</w:t>
      </w:r>
      <w:r>
        <w:rPr>
          <w:spacing w:val="-16"/>
        </w:rPr>
        <w:t xml:space="preserve"> </w:t>
      </w:r>
      <w:r>
        <w:t xml:space="preserve">Agency </w:t>
      </w:r>
      <w:r>
        <w:rPr>
          <w:spacing w:val="-3"/>
        </w:rPr>
        <w:t>KEEP</w:t>
      </w:r>
      <w:r>
        <w:rPr>
          <w:spacing w:val="-3"/>
        </w:rPr>
        <w:tab/>
      </w:r>
      <w:r>
        <w:t xml:space="preserve">: </w:t>
      </w:r>
      <w:r>
        <w:rPr>
          <w:spacing w:val="-3"/>
        </w:rPr>
        <w:t xml:space="preserve">K-12 </w:t>
      </w:r>
      <w:r>
        <w:t xml:space="preserve">Energy </w:t>
      </w:r>
      <w:r>
        <w:rPr>
          <w:spacing w:val="-3"/>
        </w:rPr>
        <w:t>Education</w:t>
      </w:r>
      <w:r>
        <w:rPr>
          <w:spacing w:val="-7"/>
        </w:rPr>
        <w:t xml:space="preserve"> </w:t>
      </w:r>
      <w:r>
        <w:rPr>
          <w:spacing w:val="-3"/>
        </w:rPr>
        <w:t>Program</w:t>
      </w:r>
    </w:p>
    <w:p w:rsidR="00F3177F" w:rsidRDefault="0089671D">
      <w:pPr>
        <w:pStyle w:val="BodyText"/>
        <w:tabs>
          <w:tab w:val="left" w:pos="1736"/>
        </w:tabs>
        <w:spacing w:before="6" w:line="360" w:lineRule="auto"/>
        <w:ind w:left="584" w:right="2331"/>
      </w:pPr>
      <w:r>
        <w:t>LEED</w:t>
      </w:r>
      <w:r>
        <w:tab/>
        <w:t xml:space="preserve">: </w:t>
      </w:r>
      <w:r>
        <w:rPr>
          <w:spacing w:val="-3"/>
        </w:rPr>
        <w:t xml:space="preserve">Leadership </w:t>
      </w:r>
      <w:r>
        <w:t>in Energy and</w:t>
      </w:r>
      <w:r>
        <w:rPr>
          <w:spacing w:val="-30"/>
        </w:rPr>
        <w:t xml:space="preserve"> </w:t>
      </w:r>
      <w:r>
        <w:rPr>
          <w:spacing w:val="-3"/>
        </w:rPr>
        <w:t>Environmental</w:t>
      </w:r>
      <w:r>
        <w:rPr>
          <w:spacing w:val="-7"/>
        </w:rPr>
        <w:t xml:space="preserve"> </w:t>
      </w:r>
      <w:r>
        <w:t xml:space="preserve">Design </w:t>
      </w:r>
      <w:r>
        <w:rPr>
          <w:spacing w:val="-3"/>
        </w:rPr>
        <w:t xml:space="preserve">MAXECS   </w:t>
      </w:r>
      <w:r>
        <w:t xml:space="preserve">: Maximum Energy Consuming State </w:t>
      </w:r>
      <w:r>
        <w:rPr>
          <w:spacing w:val="-3"/>
        </w:rPr>
        <w:t xml:space="preserve">School </w:t>
      </w:r>
      <w:r>
        <w:t>MED</w:t>
      </w:r>
      <w:r>
        <w:tab/>
        <w:t>:</w:t>
      </w:r>
      <w:r>
        <w:rPr>
          <w:spacing w:val="-11"/>
        </w:rPr>
        <w:t xml:space="preserve"> </w:t>
      </w:r>
      <w:r>
        <w:t>Ministry</w:t>
      </w:r>
      <w:r>
        <w:rPr>
          <w:spacing w:val="-15"/>
        </w:rPr>
        <w:t xml:space="preserve"> </w:t>
      </w:r>
      <w:r>
        <w:t>of</w:t>
      </w:r>
      <w:r>
        <w:rPr>
          <w:spacing w:val="-12"/>
        </w:rPr>
        <w:t xml:space="preserve"> </w:t>
      </w:r>
      <w:r>
        <w:t>Economic</w:t>
      </w:r>
      <w:r>
        <w:rPr>
          <w:spacing w:val="-12"/>
        </w:rPr>
        <w:t xml:space="preserve"> </w:t>
      </w:r>
      <w:r>
        <w:rPr>
          <w:spacing w:val="-3"/>
        </w:rPr>
        <w:t>Development</w:t>
      </w:r>
    </w:p>
    <w:p w:rsidR="00F3177F" w:rsidRDefault="0089671D">
      <w:pPr>
        <w:pStyle w:val="BodyText"/>
        <w:tabs>
          <w:tab w:val="left" w:pos="1736"/>
        </w:tabs>
        <w:spacing w:before="4"/>
        <w:ind w:left="584" w:right="544"/>
      </w:pPr>
      <w:r>
        <w:t>MEP</w:t>
      </w:r>
      <w:r>
        <w:tab/>
        <w:t xml:space="preserve">: </w:t>
      </w:r>
      <w:r>
        <w:rPr>
          <w:spacing w:val="-3"/>
        </w:rPr>
        <w:t xml:space="preserve">Mechanical, Electrical </w:t>
      </w:r>
      <w:r>
        <w:t>and</w:t>
      </w:r>
      <w:r>
        <w:rPr>
          <w:spacing w:val="-14"/>
        </w:rPr>
        <w:t xml:space="preserve"> </w:t>
      </w:r>
      <w:r>
        <w:t>Plumbing</w:t>
      </w:r>
    </w:p>
    <w:p w:rsidR="00F3177F" w:rsidRDefault="0089671D">
      <w:pPr>
        <w:pStyle w:val="BodyText"/>
        <w:tabs>
          <w:tab w:val="left" w:pos="1736"/>
        </w:tabs>
        <w:spacing w:before="139" w:line="360" w:lineRule="auto"/>
        <w:ind w:left="584" w:right="2558"/>
      </w:pPr>
      <w:r>
        <w:t>MESP</w:t>
      </w:r>
      <w:r>
        <w:tab/>
        <w:t>:</w:t>
      </w:r>
      <w:r>
        <w:rPr>
          <w:spacing w:val="-16"/>
        </w:rPr>
        <w:t xml:space="preserve"> </w:t>
      </w:r>
      <w:r>
        <w:t>Ministry</w:t>
      </w:r>
      <w:r>
        <w:rPr>
          <w:spacing w:val="-20"/>
        </w:rPr>
        <w:t xml:space="preserve"> </w:t>
      </w:r>
      <w:r>
        <w:t>of</w:t>
      </w:r>
      <w:r>
        <w:rPr>
          <w:spacing w:val="-16"/>
        </w:rPr>
        <w:t xml:space="preserve"> </w:t>
      </w:r>
      <w:r>
        <w:t>Environment</w:t>
      </w:r>
      <w:r>
        <w:rPr>
          <w:spacing w:val="-16"/>
        </w:rPr>
        <w:t xml:space="preserve"> </w:t>
      </w:r>
      <w:r>
        <w:rPr>
          <w:spacing w:val="-3"/>
        </w:rPr>
        <w:t>and</w:t>
      </w:r>
      <w:r>
        <w:rPr>
          <w:spacing w:val="-16"/>
        </w:rPr>
        <w:t xml:space="preserve"> </w:t>
      </w:r>
      <w:r>
        <w:t>Spatial</w:t>
      </w:r>
      <w:r>
        <w:rPr>
          <w:spacing w:val="-16"/>
        </w:rPr>
        <w:t xml:space="preserve"> </w:t>
      </w:r>
      <w:r>
        <w:t xml:space="preserve">Planning </w:t>
      </w:r>
      <w:r>
        <w:rPr>
          <w:spacing w:val="-3"/>
        </w:rPr>
        <w:t>MINECS</w:t>
      </w:r>
      <w:r>
        <w:rPr>
          <w:spacing w:val="-3"/>
        </w:rPr>
        <w:tab/>
      </w:r>
      <w:r>
        <w:t>:</w:t>
      </w:r>
      <w:r>
        <w:rPr>
          <w:spacing w:val="-14"/>
        </w:rPr>
        <w:t xml:space="preserve"> </w:t>
      </w:r>
      <w:r>
        <w:t>the</w:t>
      </w:r>
      <w:r>
        <w:rPr>
          <w:spacing w:val="-14"/>
        </w:rPr>
        <w:t xml:space="preserve"> </w:t>
      </w:r>
      <w:r>
        <w:t>minimum</w:t>
      </w:r>
      <w:r>
        <w:rPr>
          <w:spacing w:val="-11"/>
        </w:rPr>
        <w:t xml:space="preserve"> </w:t>
      </w:r>
      <w:r>
        <w:t>energy</w:t>
      </w:r>
      <w:r>
        <w:rPr>
          <w:spacing w:val="-16"/>
        </w:rPr>
        <w:t xml:space="preserve"> </w:t>
      </w:r>
      <w:r>
        <w:t>consuming</w:t>
      </w:r>
      <w:r>
        <w:rPr>
          <w:spacing w:val="-16"/>
        </w:rPr>
        <w:t xml:space="preserve"> </w:t>
      </w:r>
      <w:r>
        <w:t>state</w:t>
      </w:r>
      <w:r>
        <w:rPr>
          <w:spacing w:val="-14"/>
        </w:rPr>
        <w:t xml:space="preserve"> </w:t>
      </w:r>
      <w:r>
        <w:rPr>
          <w:spacing w:val="-3"/>
        </w:rPr>
        <w:t>school</w:t>
      </w:r>
      <w:r>
        <w:t xml:space="preserve"> MKD</w:t>
      </w:r>
      <w:r>
        <w:tab/>
        <w:t xml:space="preserve">: the </w:t>
      </w:r>
      <w:r>
        <w:rPr>
          <w:spacing w:val="-3"/>
        </w:rPr>
        <w:t xml:space="preserve">Former Yugoslav </w:t>
      </w:r>
      <w:r>
        <w:t>Republic</w:t>
      </w:r>
      <w:r>
        <w:rPr>
          <w:spacing w:val="-40"/>
        </w:rPr>
        <w:t xml:space="preserve"> </w:t>
      </w:r>
      <w:r>
        <w:t>of</w:t>
      </w:r>
      <w:r>
        <w:rPr>
          <w:spacing w:val="-11"/>
        </w:rPr>
        <w:t xml:space="preserve"> </w:t>
      </w:r>
      <w:r>
        <w:t>Macedonia MLGA</w:t>
      </w:r>
      <w:r>
        <w:tab/>
        <w:t>: Ministry</w:t>
      </w:r>
      <w:r>
        <w:rPr>
          <w:spacing w:val="-44"/>
        </w:rPr>
        <w:t xml:space="preserve"> </w:t>
      </w:r>
      <w:r>
        <w:t xml:space="preserve">of </w:t>
      </w:r>
      <w:r>
        <w:rPr>
          <w:spacing w:val="-3"/>
        </w:rPr>
        <w:t>Local Government</w:t>
      </w:r>
      <w:r>
        <w:rPr>
          <w:spacing w:val="-12"/>
        </w:rPr>
        <w:t xml:space="preserve"> </w:t>
      </w:r>
      <w:r>
        <w:t>Administration MMS</w:t>
      </w:r>
      <w:r>
        <w:tab/>
        <w:t xml:space="preserve">: </w:t>
      </w:r>
      <w:r>
        <w:rPr>
          <w:spacing w:val="-3"/>
        </w:rPr>
        <w:t xml:space="preserve">Modernization </w:t>
      </w:r>
      <w:r>
        <w:t>of</w:t>
      </w:r>
      <w:r>
        <w:rPr>
          <w:spacing w:val="4"/>
        </w:rPr>
        <w:t xml:space="preserve"> </w:t>
      </w:r>
      <w:r>
        <w:rPr>
          <w:spacing w:val="-3"/>
        </w:rPr>
        <w:t>Municipal</w:t>
      </w:r>
      <w:r>
        <w:t xml:space="preserve"> </w:t>
      </w:r>
      <w:r>
        <w:rPr>
          <w:spacing w:val="-3"/>
        </w:rPr>
        <w:t>Services</w:t>
      </w:r>
      <w:r>
        <w:rPr>
          <w:w w:val="99"/>
        </w:rPr>
        <w:t xml:space="preserve"> </w:t>
      </w:r>
      <w:r>
        <w:rPr>
          <w:spacing w:val="-3"/>
        </w:rPr>
        <w:t>MNECB</w:t>
      </w:r>
      <w:r>
        <w:rPr>
          <w:spacing w:val="-3"/>
        </w:rPr>
        <w:tab/>
      </w:r>
      <w:r>
        <w:t xml:space="preserve">: </w:t>
      </w:r>
      <w:r>
        <w:rPr>
          <w:spacing w:val="-3"/>
        </w:rPr>
        <w:t xml:space="preserve">Model National </w:t>
      </w:r>
      <w:r>
        <w:t>Energy Code for</w:t>
      </w:r>
      <w:r>
        <w:rPr>
          <w:spacing w:val="-25"/>
        </w:rPr>
        <w:t xml:space="preserve"> </w:t>
      </w:r>
      <w:r>
        <w:rPr>
          <w:spacing w:val="-3"/>
        </w:rPr>
        <w:t>Buildings</w:t>
      </w:r>
    </w:p>
    <w:p w:rsidR="00F3177F" w:rsidRDefault="00F3177F">
      <w:pPr>
        <w:spacing w:line="360" w:lineRule="auto"/>
        <w:sectPr w:rsidR="00F3177F">
          <w:pgSz w:w="12240" w:h="15840"/>
          <w:pgMar w:top="1380" w:right="1720" w:bottom="1900" w:left="1720" w:header="0" w:footer="1720" w:gutter="0"/>
          <w:cols w:space="720"/>
        </w:sectPr>
      </w:pPr>
    </w:p>
    <w:p w:rsidR="00F3177F" w:rsidRDefault="0089671D">
      <w:pPr>
        <w:pStyle w:val="BodyText"/>
        <w:tabs>
          <w:tab w:val="left" w:pos="1736"/>
        </w:tabs>
        <w:spacing w:before="54"/>
        <w:ind w:left="584" w:right="544"/>
      </w:pPr>
      <w:r>
        <w:lastRenderedPageBreak/>
        <w:t>MoF</w:t>
      </w:r>
      <w:r>
        <w:tab/>
        <w:t>: Ministry of</w:t>
      </w:r>
      <w:r>
        <w:rPr>
          <w:spacing w:val="-33"/>
        </w:rPr>
        <w:t xml:space="preserve"> </w:t>
      </w:r>
      <w:r>
        <w:rPr>
          <w:spacing w:val="-2"/>
        </w:rPr>
        <w:t>Finance</w:t>
      </w:r>
    </w:p>
    <w:p w:rsidR="00F3177F" w:rsidRDefault="0089671D">
      <w:pPr>
        <w:pStyle w:val="BodyText"/>
        <w:tabs>
          <w:tab w:val="left" w:pos="1736"/>
        </w:tabs>
        <w:spacing w:before="137"/>
        <w:ind w:left="584" w:right="544"/>
      </w:pPr>
      <w:r>
        <w:t>MOL</w:t>
      </w:r>
      <w:r>
        <w:tab/>
        <w:t>:</w:t>
      </w:r>
      <w:r>
        <w:rPr>
          <w:spacing w:val="-1"/>
        </w:rPr>
        <w:t xml:space="preserve"> </w:t>
      </w:r>
      <w:r>
        <w:rPr>
          <w:spacing w:val="-3"/>
        </w:rPr>
        <w:t>Moldova</w:t>
      </w:r>
    </w:p>
    <w:p w:rsidR="00F3177F" w:rsidRDefault="0089671D">
      <w:pPr>
        <w:pStyle w:val="BodyText"/>
        <w:tabs>
          <w:tab w:val="left" w:pos="1736"/>
        </w:tabs>
        <w:spacing w:before="139"/>
        <w:ind w:left="584" w:right="544"/>
      </w:pPr>
      <w:r>
        <w:t>MNE</w:t>
      </w:r>
      <w:r>
        <w:tab/>
        <w:t>:</w:t>
      </w:r>
      <w:r>
        <w:rPr>
          <w:spacing w:val="4"/>
        </w:rPr>
        <w:t xml:space="preserve"> </w:t>
      </w:r>
      <w:r>
        <w:rPr>
          <w:spacing w:val="-3"/>
        </w:rPr>
        <w:t>Montenegro</w:t>
      </w:r>
    </w:p>
    <w:p w:rsidR="00F3177F" w:rsidRDefault="0089671D">
      <w:pPr>
        <w:pStyle w:val="BodyText"/>
        <w:tabs>
          <w:tab w:val="left" w:pos="1736"/>
        </w:tabs>
        <w:spacing w:before="137"/>
        <w:ind w:left="584" w:right="544"/>
      </w:pPr>
      <w:r>
        <w:t>MTI</w:t>
      </w:r>
      <w:r>
        <w:tab/>
        <w:t>:</w:t>
      </w:r>
      <w:r>
        <w:rPr>
          <w:spacing w:val="-13"/>
        </w:rPr>
        <w:t xml:space="preserve"> </w:t>
      </w:r>
      <w:r>
        <w:t>Ministry</w:t>
      </w:r>
      <w:r>
        <w:rPr>
          <w:spacing w:val="-17"/>
        </w:rPr>
        <w:t xml:space="preserve"> </w:t>
      </w:r>
      <w:r>
        <w:t>of</w:t>
      </w:r>
      <w:r>
        <w:rPr>
          <w:spacing w:val="-14"/>
        </w:rPr>
        <w:t xml:space="preserve"> </w:t>
      </w:r>
      <w:r>
        <w:t>Trade</w:t>
      </w:r>
      <w:r>
        <w:rPr>
          <w:spacing w:val="-12"/>
        </w:rPr>
        <w:t xml:space="preserve"> </w:t>
      </w:r>
      <w:r>
        <w:rPr>
          <w:spacing w:val="-3"/>
        </w:rPr>
        <w:t>and</w:t>
      </w:r>
      <w:r>
        <w:rPr>
          <w:spacing w:val="-9"/>
        </w:rPr>
        <w:t xml:space="preserve"> </w:t>
      </w:r>
      <w:r>
        <w:t>Industry</w:t>
      </w:r>
    </w:p>
    <w:p w:rsidR="00F3177F" w:rsidRDefault="0089671D">
      <w:pPr>
        <w:pStyle w:val="BodyText"/>
        <w:tabs>
          <w:tab w:val="left" w:pos="1736"/>
        </w:tabs>
        <w:spacing w:before="139" w:line="360" w:lineRule="auto"/>
        <w:ind w:left="584" w:right="3046"/>
      </w:pPr>
      <w:r>
        <w:rPr>
          <w:spacing w:val="-3"/>
        </w:rPr>
        <w:t>NEED</w:t>
      </w:r>
      <w:r>
        <w:rPr>
          <w:spacing w:val="-3"/>
        </w:rPr>
        <w:tab/>
      </w:r>
      <w:r>
        <w:t xml:space="preserve">: </w:t>
      </w:r>
      <w:r>
        <w:rPr>
          <w:spacing w:val="-3"/>
        </w:rPr>
        <w:t xml:space="preserve">National </w:t>
      </w:r>
      <w:r>
        <w:t>Energy</w:t>
      </w:r>
      <w:r>
        <w:rPr>
          <w:spacing w:val="-21"/>
        </w:rPr>
        <w:t xml:space="preserve"> </w:t>
      </w:r>
      <w:r>
        <w:t>Education</w:t>
      </w:r>
      <w:r>
        <w:rPr>
          <w:spacing w:val="-7"/>
        </w:rPr>
        <w:t xml:space="preserve"> </w:t>
      </w:r>
      <w:r>
        <w:rPr>
          <w:spacing w:val="-3"/>
        </w:rPr>
        <w:t>Development</w:t>
      </w:r>
      <w:r>
        <w:t xml:space="preserve"> NZE</w:t>
      </w:r>
      <w:r>
        <w:tab/>
        <w:t>: Nearly Zero</w:t>
      </w:r>
      <w:r>
        <w:rPr>
          <w:spacing w:val="-42"/>
        </w:rPr>
        <w:t xml:space="preserve"> </w:t>
      </w:r>
      <w:r>
        <w:t>Energy</w:t>
      </w:r>
    </w:p>
    <w:p w:rsidR="00F3177F" w:rsidRDefault="0089671D">
      <w:pPr>
        <w:pStyle w:val="BodyText"/>
        <w:tabs>
          <w:tab w:val="left" w:pos="1736"/>
        </w:tabs>
        <w:spacing w:before="6"/>
        <w:ind w:left="584" w:right="544"/>
      </w:pPr>
      <w:r>
        <w:t>ODPM</w:t>
      </w:r>
      <w:r>
        <w:tab/>
        <w:t>:</w:t>
      </w:r>
      <w:r>
        <w:rPr>
          <w:spacing w:val="-12"/>
        </w:rPr>
        <w:t xml:space="preserve"> </w:t>
      </w:r>
      <w:r>
        <w:t>Office</w:t>
      </w:r>
      <w:r>
        <w:rPr>
          <w:spacing w:val="-14"/>
        </w:rPr>
        <w:t xml:space="preserve"> </w:t>
      </w:r>
      <w:r>
        <w:t>of</w:t>
      </w:r>
      <w:r>
        <w:rPr>
          <w:spacing w:val="-11"/>
        </w:rPr>
        <w:t xml:space="preserve"> </w:t>
      </w:r>
      <w:r>
        <w:t>Disaster</w:t>
      </w:r>
      <w:r>
        <w:rPr>
          <w:spacing w:val="-13"/>
        </w:rPr>
        <w:t xml:space="preserve"> </w:t>
      </w:r>
      <w:r>
        <w:rPr>
          <w:spacing w:val="-3"/>
        </w:rPr>
        <w:t>Preparedness</w:t>
      </w:r>
      <w:r>
        <w:rPr>
          <w:spacing w:val="-10"/>
        </w:rPr>
        <w:t xml:space="preserve"> </w:t>
      </w:r>
      <w:r>
        <w:rPr>
          <w:spacing w:val="-3"/>
        </w:rPr>
        <w:t>and</w:t>
      </w:r>
      <w:r>
        <w:rPr>
          <w:spacing w:val="-12"/>
        </w:rPr>
        <w:t xml:space="preserve"> </w:t>
      </w:r>
      <w:r>
        <w:t>Management</w:t>
      </w:r>
    </w:p>
    <w:p w:rsidR="00F3177F" w:rsidRDefault="0089671D">
      <w:pPr>
        <w:pStyle w:val="BodyText"/>
        <w:tabs>
          <w:tab w:val="left" w:pos="1736"/>
        </w:tabs>
        <w:spacing w:before="137" w:line="360" w:lineRule="auto"/>
        <w:ind w:left="584" w:right="984"/>
      </w:pPr>
      <w:r>
        <w:t>OECD</w:t>
      </w:r>
      <w:r>
        <w:tab/>
        <w:t xml:space="preserve">: The </w:t>
      </w:r>
      <w:r>
        <w:rPr>
          <w:spacing w:val="-3"/>
        </w:rPr>
        <w:t xml:space="preserve">Organization </w:t>
      </w:r>
      <w:r>
        <w:t xml:space="preserve">for Economic </w:t>
      </w:r>
      <w:r>
        <w:rPr>
          <w:spacing w:val="-3"/>
        </w:rPr>
        <w:t>Cooperation</w:t>
      </w:r>
      <w:r>
        <w:rPr>
          <w:spacing w:val="-21"/>
        </w:rPr>
        <w:t xml:space="preserve"> </w:t>
      </w:r>
      <w:r>
        <w:rPr>
          <w:spacing w:val="-3"/>
        </w:rPr>
        <w:t>and</w:t>
      </w:r>
      <w:r>
        <w:t xml:space="preserve"> </w:t>
      </w:r>
      <w:r>
        <w:rPr>
          <w:spacing w:val="-3"/>
        </w:rPr>
        <w:t>Development</w:t>
      </w:r>
      <w:r>
        <w:t xml:space="preserve"> PE</w:t>
      </w:r>
      <w:r>
        <w:tab/>
        <w:t xml:space="preserve">: </w:t>
      </w:r>
      <w:r>
        <w:rPr>
          <w:spacing w:val="-2"/>
        </w:rPr>
        <w:t>Public</w:t>
      </w:r>
      <w:r>
        <w:rPr>
          <w:spacing w:val="-26"/>
        </w:rPr>
        <w:t xml:space="preserve"> </w:t>
      </w:r>
      <w:r>
        <w:t>Economic</w:t>
      </w:r>
    </w:p>
    <w:p w:rsidR="00F3177F" w:rsidRDefault="0089671D">
      <w:pPr>
        <w:pStyle w:val="BodyText"/>
        <w:tabs>
          <w:tab w:val="left" w:pos="1736"/>
        </w:tabs>
        <w:spacing w:before="4"/>
        <w:ind w:left="584" w:right="544"/>
      </w:pPr>
      <w:r>
        <w:t>PF</w:t>
      </w:r>
      <w:r>
        <w:tab/>
        <w:t xml:space="preserve">: </w:t>
      </w:r>
      <w:r>
        <w:rPr>
          <w:spacing w:val="-2"/>
        </w:rPr>
        <w:t xml:space="preserve">Public </w:t>
      </w:r>
      <w:r>
        <w:rPr>
          <w:spacing w:val="-3"/>
        </w:rPr>
        <w:t>Financial</w:t>
      </w:r>
    </w:p>
    <w:p w:rsidR="00F3177F" w:rsidRDefault="0089671D">
      <w:pPr>
        <w:pStyle w:val="BodyText"/>
        <w:tabs>
          <w:tab w:val="left" w:pos="1736"/>
        </w:tabs>
        <w:spacing w:before="139"/>
        <w:ind w:left="584" w:right="544"/>
      </w:pPr>
      <w:r>
        <w:t>PI</w:t>
      </w:r>
      <w:r>
        <w:tab/>
        <w:t xml:space="preserve">: </w:t>
      </w:r>
      <w:r>
        <w:rPr>
          <w:spacing w:val="-2"/>
        </w:rPr>
        <w:t xml:space="preserve">Public </w:t>
      </w:r>
      <w:r>
        <w:rPr>
          <w:spacing w:val="-3"/>
        </w:rPr>
        <w:t>Institutional</w:t>
      </w:r>
    </w:p>
    <w:p w:rsidR="00F3177F" w:rsidRDefault="0089671D">
      <w:pPr>
        <w:pStyle w:val="BodyText"/>
        <w:tabs>
          <w:tab w:val="left" w:pos="1736"/>
        </w:tabs>
        <w:spacing w:before="137"/>
        <w:ind w:left="584" w:right="544"/>
      </w:pPr>
      <w:r>
        <w:rPr>
          <w:spacing w:val="-3"/>
        </w:rPr>
        <w:t>PIR</w:t>
      </w:r>
      <w:r>
        <w:rPr>
          <w:spacing w:val="-3"/>
        </w:rPr>
        <w:tab/>
      </w:r>
      <w:r>
        <w:t xml:space="preserve">: </w:t>
      </w:r>
      <w:r>
        <w:rPr>
          <w:spacing w:val="-3"/>
        </w:rPr>
        <w:t xml:space="preserve">Passive </w:t>
      </w:r>
      <w:r>
        <w:t>Infra</w:t>
      </w:r>
      <w:r>
        <w:rPr>
          <w:spacing w:val="-17"/>
        </w:rPr>
        <w:t xml:space="preserve"> </w:t>
      </w:r>
      <w:r>
        <w:rPr>
          <w:spacing w:val="-2"/>
        </w:rPr>
        <w:t>Red</w:t>
      </w:r>
    </w:p>
    <w:p w:rsidR="00F3177F" w:rsidRDefault="0089671D">
      <w:pPr>
        <w:pStyle w:val="BodyText"/>
        <w:tabs>
          <w:tab w:val="left" w:pos="1736"/>
        </w:tabs>
        <w:spacing w:before="139" w:line="360" w:lineRule="auto"/>
        <w:ind w:left="584" w:right="4234"/>
      </w:pPr>
      <w:r>
        <w:rPr>
          <w:spacing w:val="-3"/>
        </w:rPr>
        <w:t>PLR</w:t>
      </w:r>
      <w:r>
        <w:rPr>
          <w:spacing w:val="-3"/>
        </w:rPr>
        <w:tab/>
      </w:r>
      <w:r>
        <w:t xml:space="preserve">: </w:t>
      </w:r>
      <w:r>
        <w:rPr>
          <w:spacing w:val="-2"/>
        </w:rPr>
        <w:t xml:space="preserve">Public </w:t>
      </w:r>
      <w:r>
        <w:rPr>
          <w:spacing w:val="-3"/>
        </w:rPr>
        <w:t>Legal</w:t>
      </w:r>
      <w:r>
        <w:rPr>
          <w:spacing w:val="-18"/>
        </w:rPr>
        <w:t xml:space="preserve"> </w:t>
      </w:r>
      <w:r>
        <w:rPr>
          <w:spacing w:val="-3"/>
        </w:rPr>
        <w:t>and</w:t>
      </w:r>
      <w:r>
        <w:rPr>
          <w:spacing w:val="-6"/>
        </w:rPr>
        <w:t xml:space="preserve"> </w:t>
      </w:r>
      <w:r>
        <w:t>Regulatory PMV</w:t>
      </w:r>
      <w:r>
        <w:tab/>
        <w:t xml:space="preserve">: </w:t>
      </w:r>
      <w:r>
        <w:rPr>
          <w:spacing w:val="-3"/>
        </w:rPr>
        <w:t xml:space="preserve">Predicted </w:t>
      </w:r>
      <w:r>
        <w:t>Mean</w:t>
      </w:r>
      <w:r>
        <w:rPr>
          <w:spacing w:val="-18"/>
        </w:rPr>
        <w:t xml:space="preserve"> </w:t>
      </w:r>
      <w:r>
        <w:t>Vote</w:t>
      </w:r>
    </w:p>
    <w:p w:rsidR="00F3177F" w:rsidRDefault="0089671D">
      <w:pPr>
        <w:pStyle w:val="BodyText"/>
        <w:tabs>
          <w:tab w:val="left" w:pos="1736"/>
        </w:tabs>
        <w:spacing w:before="6" w:line="360" w:lineRule="auto"/>
        <w:ind w:left="584" w:right="3793"/>
      </w:pPr>
      <w:r>
        <w:t>PPD</w:t>
      </w:r>
      <w:r>
        <w:tab/>
        <w:t xml:space="preserve">: </w:t>
      </w:r>
      <w:r>
        <w:rPr>
          <w:spacing w:val="-3"/>
        </w:rPr>
        <w:t>Predicted</w:t>
      </w:r>
      <w:r>
        <w:rPr>
          <w:spacing w:val="-13"/>
        </w:rPr>
        <w:t xml:space="preserve"> </w:t>
      </w:r>
      <w:r>
        <w:t>Percentage</w:t>
      </w:r>
      <w:r>
        <w:rPr>
          <w:spacing w:val="-8"/>
        </w:rPr>
        <w:t xml:space="preserve"> </w:t>
      </w:r>
      <w:r>
        <w:rPr>
          <w:spacing w:val="-3"/>
        </w:rPr>
        <w:t>Dissatisfied</w:t>
      </w:r>
      <w:r>
        <w:rPr>
          <w:w w:val="99"/>
        </w:rPr>
        <w:t xml:space="preserve"> </w:t>
      </w:r>
      <w:r>
        <w:t>ppm</w:t>
      </w:r>
      <w:r>
        <w:tab/>
        <w:t xml:space="preserve">: </w:t>
      </w:r>
      <w:r>
        <w:rPr>
          <w:spacing w:val="-3"/>
        </w:rPr>
        <w:t xml:space="preserve">parts </w:t>
      </w:r>
      <w:r>
        <w:t>per</w:t>
      </w:r>
      <w:r>
        <w:rPr>
          <w:spacing w:val="-26"/>
        </w:rPr>
        <w:t xml:space="preserve"> </w:t>
      </w:r>
      <w:r>
        <w:t>million</w:t>
      </w:r>
    </w:p>
    <w:p w:rsidR="00F3177F" w:rsidRDefault="0089671D">
      <w:pPr>
        <w:pStyle w:val="BodyText"/>
        <w:tabs>
          <w:tab w:val="left" w:pos="1736"/>
        </w:tabs>
        <w:spacing w:before="6" w:line="360" w:lineRule="auto"/>
        <w:ind w:left="584" w:right="4191"/>
      </w:pPr>
      <w:r>
        <w:t>PPP</w:t>
      </w:r>
      <w:r>
        <w:tab/>
        <w:t xml:space="preserve">: </w:t>
      </w:r>
      <w:r>
        <w:rPr>
          <w:spacing w:val="-3"/>
        </w:rPr>
        <w:t>Purchasing</w:t>
      </w:r>
      <w:r>
        <w:rPr>
          <w:spacing w:val="-17"/>
        </w:rPr>
        <w:t xml:space="preserve"> </w:t>
      </w:r>
      <w:r>
        <w:t>Power</w:t>
      </w:r>
      <w:r>
        <w:rPr>
          <w:spacing w:val="-8"/>
        </w:rPr>
        <w:t xml:space="preserve"> </w:t>
      </w:r>
      <w:r>
        <w:t>Parity PCM</w:t>
      </w:r>
      <w:r>
        <w:tab/>
        <w:t xml:space="preserve">: </w:t>
      </w:r>
      <w:r>
        <w:rPr>
          <w:spacing w:val="-3"/>
        </w:rPr>
        <w:t>Pristina</w:t>
      </w:r>
      <w:r>
        <w:rPr>
          <w:spacing w:val="-30"/>
        </w:rPr>
        <w:t xml:space="preserve"> </w:t>
      </w:r>
      <w:r>
        <w:t>Central</w:t>
      </w:r>
      <w:r>
        <w:rPr>
          <w:spacing w:val="-15"/>
        </w:rPr>
        <w:t xml:space="preserve"> </w:t>
      </w:r>
      <w:r>
        <w:t>Municipality PQA</w:t>
      </w:r>
      <w:r>
        <w:tab/>
        <w:t xml:space="preserve">: </w:t>
      </w:r>
      <w:r>
        <w:rPr>
          <w:spacing w:val="-3"/>
        </w:rPr>
        <w:t xml:space="preserve">Power </w:t>
      </w:r>
      <w:r>
        <w:t>Quality</w:t>
      </w:r>
      <w:r>
        <w:rPr>
          <w:spacing w:val="-16"/>
        </w:rPr>
        <w:t xml:space="preserve"> </w:t>
      </w:r>
      <w:r>
        <w:rPr>
          <w:spacing w:val="-3"/>
        </w:rPr>
        <w:t>Analyser</w:t>
      </w:r>
    </w:p>
    <w:p w:rsidR="00F3177F" w:rsidRDefault="0089671D">
      <w:pPr>
        <w:pStyle w:val="BodyText"/>
        <w:tabs>
          <w:tab w:val="left" w:pos="1736"/>
        </w:tabs>
        <w:spacing w:before="4"/>
        <w:ind w:left="584" w:right="544"/>
      </w:pPr>
      <w:r>
        <w:t>ROI</w:t>
      </w:r>
      <w:r>
        <w:tab/>
        <w:t xml:space="preserve">: </w:t>
      </w:r>
      <w:r>
        <w:rPr>
          <w:spacing w:val="-3"/>
        </w:rPr>
        <w:t xml:space="preserve">Return </w:t>
      </w:r>
      <w:r>
        <w:t>on</w:t>
      </w:r>
      <w:r>
        <w:rPr>
          <w:spacing w:val="-2"/>
        </w:rPr>
        <w:t xml:space="preserve"> </w:t>
      </w:r>
      <w:r>
        <w:rPr>
          <w:spacing w:val="-3"/>
        </w:rPr>
        <w:t>Investment</w:t>
      </w:r>
    </w:p>
    <w:p w:rsidR="00F3177F" w:rsidRDefault="0089671D">
      <w:pPr>
        <w:pStyle w:val="BodyText"/>
        <w:tabs>
          <w:tab w:val="left" w:pos="1736"/>
        </w:tabs>
        <w:spacing w:before="139" w:line="360" w:lineRule="auto"/>
        <w:ind w:left="584" w:right="3163"/>
      </w:pPr>
      <w:r>
        <w:t>SEAI</w:t>
      </w:r>
      <w:r>
        <w:tab/>
        <w:t xml:space="preserve">: </w:t>
      </w:r>
      <w:r>
        <w:rPr>
          <w:spacing w:val="-3"/>
        </w:rPr>
        <w:t xml:space="preserve">Sustainable </w:t>
      </w:r>
      <w:r>
        <w:t>Energy Authority</w:t>
      </w:r>
      <w:r>
        <w:rPr>
          <w:spacing w:val="-31"/>
        </w:rPr>
        <w:t xml:space="preserve"> </w:t>
      </w:r>
      <w:r>
        <w:t>of</w:t>
      </w:r>
      <w:r>
        <w:rPr>
          <w:spacing w:val="-6"/>
        </w:rPr>
        <w:t xml:space="preserve"> </w:t>
      </w:r>
      <w:r>
        <w:rPr>
          <w:spacing w:val="-3"/>
        </w:rPr>
        <w:t>Ireland</w:t>
      </w:r>
      <w:r>
        <w:t xml:space="preserve"> SER</w:t>
      </w:r>
      <w:r>
        <w:tab/>
        <w:t>:</w:t>
      </w:r>
      <w:r>
        <w:rPr>
          <w:spacing w:val="-1"/>
        </w:rPr>
        <w:t xml:space="preserve"> </w:t>
      </w:r>
      <w:r>
        <w:t>Serbia</w:t>
      </w:r>
    </w:p>
    <w:p w:rsidR="00F3177F" w:rsidRDefault="0089671D">
      <w:pPr>
        <w:pStyle w:val="BodyText"/>
        <w:tabs>
          <w:tab w:val="left" w:pos="1731"/>
        </w:tabs>
        <w:spacing w:line="282" w:lineRule="exact"/>
        <w:ind w:left="584" w:right="544"/>
      </w:pPr>
      <w:proofErr w:type="gramStart"/>
      <w:r>
        <w:t>st/m</w:t>
      </w:r>
      <w:r>
        <w:rPr>
          <w:position w:val="11"/>
          <w:sz w:val="16"/>
        </w:rPr>
        <w:t>2</w:t>
      </w:r>
      <w:proofErr w:type="gramEnd"/>
      <w:r>
        <w:rPr>
          <w:position w:val="11"/>
          <w:sz w:val="16"/>
        </w:rPr>
        <w:tab/>
      </w:r>
      <w:r>
        <w:t>: Student Density (student/metre</w:t>
      </w:r>
      <w:r>
        <w:rPr>
          <w:spacing w:val="-8"/>
        </w:rPr>
        <w:t xml:space="preserve"> </w:t>
      </w:r>
      <w:r>
        <w:t>square)</w:t>
      </w:r>
    </w:p>
    <w:p w:rsidR="00F3177F" w:rsidRDefault="0089671D">
      <w:pPr>
        <w:pStyle w:val="BodyText"/>
        <w:tabs>
          <w:tab w:val="left" w:pos="1736"/>
        </w:tabs>
        <w:spacing w:before="137" w:line="360" w:lineRule="auto"/>
        <w:ind w:left="584" w:right="4155"/>
      </w:pPr>
      <w:r>
        <w:t>TPES</w:t>
      </w:r>
      <w:r>
        <w:tab/>
        <w:t xml:space="preserve">: </w:t>
      </w:r>
      <w:hyperlink r:id="rId10">
        <w:r>
          <w:rPr>
            <w:spacing w:val="-3"/>
          </w:rPr>
          <w:t xml:space="preserve">Total </w:t>
        </w:r>
        <w:r>
          <w:t>Primary</w:t>
        </w:r>
        <w:r>
          <w:rPr>
            <w:spacing w:val="-32"/>
          </w:rPr>
          <w:t xml:space="preserve"> </w:t>
        </w:r>
        <w:r>
          <w:t>Energy</w:t>
        </w:r>
        <w:r>
          <w:rPr>
            <w:spacing w:val="-16"/>
          </w:rPr>
          <w:t xml:space="preserve"> </w:t>
        </w:r>
        <w:r>
          <w:t>Supply</w:t>
        </w:r>
      </w:hyperlink>
      <w:r>
        <w:t xml:space="preserve"> UKR</w:t>
      </w:r>
      <w:r>
        <w:tab/>
        <w:t xml:space="preserve">: </w:t>
      </w:r>
      <w:r>
        <w:rPr>
          <w:spacing w:val="-3"/>
        </w:rPr>
        <w:t>Ukraine</w:t>
      </w:r>
    </w:p>
    <w:p w:rsidR="00F3177F" w:rsidRDefault="0089671D">
      <w:pPr>
        <w:pStyle w:val="BodyText"/>
        <w:tabs>
          <w:tab w:val="left" w:pos="1736"/>
        </w:tabs>
        <w:spacing w:before="4"/>
        <w:ind w:left="584" w:right="544"/>
      </w:pPr>
      <w:r>
        <w:t>WBI</w:t>
      </w:r>
      <w:r>
        <w:tab/>
        <w:t xml:space="preserve">: </w:t>
      </w:r>
      <w:r>
        <w:rPr>
          <w:spacing w:val="-3"/>
        </w:rPr>
        <w:t xml:space="preserve">Western </w:t>
      </w:r>
      <w:r>
        <w:rPr>
          <w:spacing w:val="-2"/>
        </w:rPr>
        <w:t>Balkan</w:t>
      </w:r>
      <w:r>
        <w:t xml:space="preserve"> </w:t>
      </w:r>
      <w:r>
        <w:rPr>
          <w:spacing w:val="-3"/>
        </w:rPr>
        <w:t>Investment</w:t>
      </w:r>
    </w:p>
    <w:p w:rsidR="00F3177F" w:rsidRDefault="0089671D">
      <w:pPr>
        <w:pStyle w:val="BodyText"/>
        <w:tabs>
          <w:tab w:val="left" w:pos="1736"/>
        </w:tabs>
        <w:spacing w:before="139"/>
        <w:ind w:left="584" w:right="544"/>
      </w:pPr>
      <w:r>
        <w:rPr>
          <w:spacing w:val="-3"/>
        </w:rPr>
        <w:t>WBIF</w:t>
      </w:r>
      <w:r>
        <w:rPr>
          <w:spacing w:val="-3"/>
        </w:rPr>
        <w:tab/>
      </w:r>
      <w:r>
        <w:t xml:space="preserve">: </w:t>
      </w:r>
      <w:r>
        <w:rPr>
          <w:spacing w:val="-3"/>
        </w:rPr>
        <w:t xml:space="preserve">Western </w:t>
      </w:r>
      <w:r>
        <w:rPr>
          <w:spacing w:val="-2"/>
        </w:rPr>
        <w:t xml:space="preserve">Balkan </w:t>
      </w:r>
      <w:r>
        <w:rPr>
          <w:spacing w:val="-3"/>
        </w:rPr>
        <w:t>Investment</w:t>
      </w:r>
      <w:r>
        <w:rPr>
          <w:spacing w:val="5"/>
        </w:rPr>
        <w:t xml:space="preserve"> </w:t>
      </w:r>
      <w:r>
        <w:rPr>
          <w:spacing w:val="-3"/>
        </w:rPr>
        <w:t>Framework</w:t>
      </w:r>
    </w:p>
    <w:p w:rsidR="00F3177F" w:rsidRDefault="0089671D">
      <w:pPr>
        <w:pStyle w:val="BodyText"/>
        <w:tabs>
          <w:tab w:val="left" w:pos="1736"/>
        </w:tabs>
        <w:spacing w:before="101"/>
        <w:ind w:left="584" w:right="544"/>
      </w:pPr>
      <w:r>
        <w:rPr>
          <w:spacing w:val="-3"/>
        </w:rPr>
        <w:t>$/m</w:t>
      </w:r>
      <w:r>
        <w:rPr>
          <w:spacing w:val="-3"/>
          <w:position w:val="11"/>
          <w:sz w:val="16"/>
        </w:rPr>
        <w:t>2</w:t>
      </w:r>
      <w:r>
        <w:rPr>
          <w:spacing w:val="-3"/>
        </w:rPr>
        <w:t>/yr</w:t>
      </w:r>
      <w:r>
        <w:rPr>
          <w:spacing w:val="-3"/>
        </w:rPr>
        <w:tab/>
      </w:r>
      <w:r>
        <w:t>:</w:t>
      </w:r>
      <w:r>
        <w:rPr>
          <w:spacing w:val="-11"/>
        </w:rPr>
        <w:t xml:space="preserve"> </w:t>
      </w:r>
      <w:r>
        <w:rPr>
          <w:spacing w:val="-3"/>
        </w:rPr>
        <w:t>annual</w:t>
      </w:r>
      <w:r>
        <w:rPr>
          <w:spacing w:val="-11"/>
        </w:rPr>
        <w:t xml:space="preserve"> </w:t>
      </w:r>
      <w:r>
        <w:t>cost</w:t>
      </w:r>
      <w:r>
        <w:rPr>
          <w:spacing w:val="-11"/>
        </w:rPr>
        <w:t xml:space="preserve"> </w:t>
      </w:r>
      <w:r>
        <w:t>per</w:t>
      </w:r>
      <w:r>
        <w:rPr>
          <w:spacing w:val="-12"/>
        </w:rPr>
        <w:t xml:space="preserve"> </w:t>
      </w:r>
      <w:r>
        <w:t>surface</w:t>
      </w:r>
      <w:r>
        <w:rPr>
          <w:spacing w:val="-10"/>
        </w:rPr>
        <w:t xml:space="preserve"> </w:t>
      </w:r>
      <w:r>
        <w:t>area</w:t>
      </w:r>
    </w:p>
    <w:p w:rsidR="00F3177F" w:rsidRDefault="00F3177F">
      <w:pPr>
        <w:sectPr w:rsidR="00F3177F">
          <w:pgSz w:w="12240" w:h="15840"/>
          <w:pgMar w:top="1380" w:right="1720" w:bottom="1900" w:left="1720" w:header="0" w:footer="1720" w:gutter="0"/>
          <w:cols w:space="720"/>
        </w:sectPr>
      </w:pPr>
    </w:p>
    <w:p w:rsidR="00F3177F" w:rsidRDefault="0089671D">
      <w:pPr>
        <w:pStyle w:val="Heading1"/>
        <w:ind w:left="1741"/>
      </w:pPr>
      <w:bookmarkStart w:id="12" w:name="_TOC_250020"/>
      <w:bookmarkEnd w:id="12"/>
      <w:r>
        <w:lastRenderedPageBreak/>
        <w:t>LIST OF PUBLICATIONS BY THE CANDIDATE</w:t>
      </w:r>
    </w:p>
    <w:p w:rsidR="00F3177F" w:rsidRDefault="00F3177F">
      <w:pPr>
        <w:pStyle w:val="BodyText"/>
        <w:spacing w:before="6"/>
        <w:rPr>
          <w:b/>
          <w:sz w:val="31"/>
        </w:rPr>
      </w:pPr>
    </w:p>
    <w:p w:rsidR="00F3177F" w:rsidRDefault="0089671D">
      <w:pPr>
        <w:pStyle w:val="Heading2"/>
        <w:numPr>
          <w:ilvl w:val="0"/>
          <w:numId w:val="43"/>
        </w:numPr>
        <w:tabs>
          <w:tab w:val="left" w:pos="1058"/>
        </w:tabs>
        <w:spacing w:before="1"/>
        <w:ind w:hanging="473"/>
        <w:jc w:val="both"/>
      </w:pPr>
      <w:r>
        <w:t>Scientific</w:t>
      </w:r>
      <w:r>
        <w:rPr>
          <w:spacing w:val="-1"/>
        </w:rPr>
        <w:t xml:space="preserve"> </w:t>
      </w:r>
      <w:r>
        <w:t>Journals</w:t>
      </w:r>
    </w:p>
    <w:p w:rsidR="00F3177F" w:rsidRDefault="00F3177F">
      <w:pPr>
        <w:pStyle w:val="BodyText"/>
        <w:spacing w:before="9"/>
        <w:rPr>
          <w:b/>
          <w:sz w:val="28"/>
        </w:rPr>
      </w:pPr>
    </w:p>
    <w:p w:rsidR="00F3177F" w:rsidRDefault="0089671D">
      <w:pPr>
        <w:pStyle w:val="ListParagraph"/>
        <w:numPr>
          <w:ilvl w:val="1"/>
          <w:numId w:val="43"/>
        </w:numPr>
        <w:tabs>
          <w:tab w:val="left" w:pos="1097"/>
        </w:tabs>
        <w:spacing w:before="0" w:line="360" w:lineRule="auto"/>
        <w:ind w:right="115" w:firstLine="0"/>
        <w:jc w:val="both"/>
        <w:rPr>
          <w:sz w:val="24"/>
        </w:rPr>
      </w:pPr>
      <w:r>
        <w:rPr>
          <w:sz w:val="24"/>
        </w:rPr>
        <w:t xml:space="preserve">Ibrahim Can Korkut, “A TELSA School Leaders’ Self-Assessment Application: A Case of Private Schools in Albania”, American Scientific Research Journal for Engineering, Technology, and Sciences (ASRJETS) (2016) Volume 19, No 1, pp 142- 159, ISSN (Print) 2313-4410, ISSN (Online) 2313-4402 </w:t>
      </w:r>
      <w:hyperlink r:id="rId11">
        <w:r>
          <w:rPr>
            <w:sz w:val="24"/>
          </w:rPr>
          <w:t>http://asrjetsjournal.org/index.php/American_Scientific_Journal/article/view/1631/766</w:t>
        </w:r>
      </w:hyperlink>
    </w:p>
    <w:p w:rsidR="00F3177F" w:rsidRDefault="0089671D">
      <w:pPr>
        <w:pStyle w:val="ListParagraph"/>
        <w:numPr>
          <w:ilvl w:val="1"/>
          <w:numId w:val="43"/>
        </w:numPr>
        <w:tabs>
          <w:tab w:val="left" w:pos="1156"/>
        </w:tabs>
        <w:spacing w:before="206" w:line="360" w:lineRule="auto"/>
        <w:ind w:right="117" w:firstLine="0"/>
        <w:jc w:val="both"/>
        <w:rPr>
          <w:sz w:val="24"/>
        </w:rPr>
      </w:pPr>
      <w:r>
        <w:rPr>
          <w:sz w:val="24"/>
        </w:rPr>
        <w:t xml:space="preserve">Ibrahim Can Korkut, Shyqyri Llaci, “School Leader Self-Development”, International Journal of science, Innovation and New Technology – IJSINT, issue Vol. 1, No. 15, March 2016. Printed ISSN: 2223-2257 Online ISSN: 2225-0751, </w:t>
      </w:r>
      <w:hyperlink r:id="rId12">
        <w:r>
          <w:rPr>
            <w:sz w:val="24"/>
          </w:rPr>
          <w:t>http://www.ijsint.org/sites/default/files/Issue%20Vol.%201%2C%20No.%2015%20Mar</w:t>
        </w:r>
      </w:hyperlink>
      <w:r>
        <w:rPr>
          <w:sz w:val="24"/>
        </w:rPr>
        <w:t xml:space="preserve"> </w:t>
      </w:r>
      <w:hyperlink r:id="rId13">
        <w:r>
          <w:rPr>
            <w:sz w:val="24"/>
          </w:rPr>
          <w:t>ch%202016.docx</w:t>
        </w:r>
      </w:hyperlink>
    </w:p>
    <w:p w:rsidR="00F3177F" w:rsidRDefault="0089671D">
      <w:pPr>
        <w:pStyle w:val="ListParagraph"/>
        <w:numPr>
          <w:ilvl w:val="1"/>
          <w:numId w:val="43"/>
        </w:numPr>
        <w:tabs>
          <w:tab w:val="left" w:pos="1078"/>
        </w:tabs>
        <w:spacing w:before="205" w:line="360" w:lineRule="auto"/>
        <w:ind w:right="115" w:firstLine="0"/>
        <w:jc w:val="both"/>
        <w:rPr>
          <w:sz w:val="24"/>
        </w:rPr>
      </w:pPr>
      <w:r>
        <w:rPr>
          <w:sz w:val="24"/>
        </w:rPr>
        <w:t xml:space="preserve">Ibrahim Can Korkut, Shyqyri Llaci, “Building a School Energy Policy – A Review Paper”, Journal of Educational and Social Research MCSER Publishing, Rome-Italy. Vol. 6, No.2, pp 183-191, May 2016. ISSN 2239-978X, ISSN 2240-0524, </w:t>
      </w:r>
      <w:hyperlink r:id="rId14">
        <w:r>
          <w:rPr>
            <w:sz w:val="24"/>
          </w:rPr>
          <w:t>http://www.mcser.org/journal/index.php/jesr/article/viewFile/9163/8849</w:t>
        </w:r>
      </w:hyperlink>
    </w:p>
    <w:p w:rsidR="00F3177F" w:rsidRDefault="0089671D">
      <w:pPr>
        <w:pStyle w:val="ListParagraph"/>
        <w:numPr>
          <w:ilvl w:val="1"/>
          <w:numId w:val="43"/>
        </w:numPr>
        <w:tabs>
          <w:tab w:val="left" w:pos="968"/>
        </w:tabs>
        <w:spacing w:before="205" w:line="360" w:lineRule="auto"/>
        <w:ind w:right="117" w:firstLine="0"/>
        <w:jc w:val="both"/>
        <w:rPr>
          <w:sz w:val="24"/>
        </w:rPr>
      </w:pPr>
      <w:r>
        <w:rPr>
          <w:sz w:val="24"/>
        </w:rPr>
        <w:t xml:space="preserve">Ibrahim Can Korkut, “Building Energy Performance, Regulations and Certificates”, Int'l Journal of Advances in Agricultural &amp; Environmental Engg. (IJAAEE) Vol. 3, Issue 1 (2016), pp 175-180. ISSN 2349-1523 EISSN 2349-1531, </w:t>
      </w:r>
      <w:hyperlink r:id="rId15">
        <w:r>
          <w:rPr>
            <w:sz w:val="24"/>
          </w:rPr>
          <w:t>http://iicbe.org/upload/7413C0416024.pdf</w:t>
        </w:r>
      </w:hyperlink>
    </w:p>
    <w:p w:rsidR="00F3177F" w:rsidRDefault="00F3177F">
      <w:pPr>
        <w:pStyle w:val="BodyText"/>
      </w:pPr>
    </w:p>
    <w:p w:rsidR="00F3177F" w:rsidRDefault="00F3177F">
      <w:pPr>
        <w:pStyle w:val="BodyText"/>
      </w:pPr>
    </w:p>
    <w:p w:rsidR="00F3177F" w:rsidRDefault="00F3177F">
      <w:pPr>
        <w:pStyle w:val="BodyText"/>
        <w:spacing w:before="6"/>
        <w:rPr>
          <w:sz w:val="23"/>
        </w:rPr>
      </w:pPr>
    </w:p>
    <w:p w:rsidR="00F3177F" w:rsidRDefault="0089671D">
      <w:pPr>
        <w:pStyle w:val="Heading2"/>
        <w:numPr>
          <w:ilvl w:val="0"/>
          <w:numId w:val="43"/>
        </w:numPr>
        <w:tabs>
          <w:tab w:val="left" w:pos="1046"/>
        </w:tabs>
        <w:ind w:left="1045" w:hanging="461"/>
        <w:jc w:val="both"/>
      </w:pPr>
      <w:r>
        <w:t>Conference</w:t>
      </w:r>
      <w:r>
        <w:rPr>
          <w:spacing w:val="-7"/>
        </w:rPr>
        <w:t xml:space="preserve"> </w:t>
      </w:r>
      <w:r>
        <w:t>Participations</w:t>
      </w:r>
    </w:p>
    <w:p w:rsidR="00F3177F" w:rsidRDefault="00F3177F">
      <w:pPr>
        <w:pStyle w:val="BodyText"/>
        <w:rPr>
          <w:b/>
          <w:sz w:val="29"/>
        </w:rPr>
      </w:pPr>
    </w:p>
    <w:p w:rsidR="00F3177F" w:rsidRDefault="0089671D">
      <w:pPr>
        <w:pStyle w:val="ListParagraph"/>
        <w:numPr>
          <w:ilvl w:val="1"/>
          <w:numId w:val="43"/>
        </w:numPr>
        <w:tabs>
          <w:tab w:val="left" w:pos="968"/>
        </w:tabs>
        <w:spacing w:before="0" w:line="360" w:lineRule="auto"/>
        <w:ind w:right="117" w:firstLine="0"/>
        <w:jc w:val="both"/>
        <w:rPr>
          <w:sz w:val="24"/>
        </w:rPr>
      </w:pPr>
      <w:r>
        <w:rPr>
          <w:sz w:val="24"/>
        </w:rPr>
        <w:t xml:space="preserve">Ibrahim Can Korkut, “Building Energy Performance, Regulations and Certificates”, 3rd International Conference on Waste Management, Ecology and Biological Sciences (WMEBS-2016) April 20-21, 2016 Antalya, Turkey, ISSN 2349-1523 EISSN 2349- </w:t>
      </w:r>
      <w:hyperlink r:id="rId16">
        <w:r>
          <w:rPr>
            <w:sz w:val="24"/>
          </w:rPr>
          <w:t>1531,</w:t>
        </w:r>
        <w:r>
          <w:rPr>
            <w:spacing w:val="-6"/>
            <w:sz w:val="24"/>
          </w:rPr>
          <w:t xml:space="preserve"> </w:t>
        </w:r>
        <w:r>
          <w:rPr>
            <w:sz w:val="24"/>
          </w:rPr>
          <w:t>http://iicbe.org/upload/7413C0416024.pdf</w:t>
        </w:r>
      </w:hyperlink>
    </w:p>
    <w:p w:rsidR="00F3177F" w:rsidRDefault="00F3177F">
      <w:pPr>
        <w:spacing w:line="360" w:lineRule="auto"/>
        <w:jc w:val="both"/>
        <w:rPr>
          <w:sz w:val="24"/>
        </w:rPr>
        <w:sectPr w:rsidR="00F3177F">
          <w:pgSz w:w="12240" w:h="15840"/>
          <w:pgMar w:top="1400" w:right="1320" w:bottom="1900" w:left="1720" w:header="0" w:footer="1720" w:gutter="0"/>
          <w:cols w:space="720"/>
        </w:sectPr>
      </w:pPr>
    </w:p>
    <w:p w:rsidR="00F3177F" w:rsidRDefault="0089671D">
      <w:pPr>
        <w:pStyle w:val="ListParagraph"/>
        <w:numPr>
          <w:ilvl w:val="1"/>
          <w:numId w:val="43"/>
        </w:numPr>
        <w:tabs>
          <w:tab w:val="left" w:pos="1059"/>
          <w:tab w:val="left" w:pos="1060"/>
          <w:tab w:val="left" w:pos="2107"/>
          <w:tab w:val="left" w:pos="2786"/>
          <w:tab w:val="left" w:pos="3817"/>
          <w:tab w:val="left" w:pos="4885"/>
          <w:tab w:val="left" w:pos="6430"/>
          <w:tab w:val="left" w:pos="7069"/>
          <w:tab w:val="left" w:pos="8268"/>
        </w:tabs>
        <w:spacing w:before="54" w:line="360" w:lineRule="auto"/>
        <w:ind w:right="116" w:firstLine="0"/>
        <w:rPr>
          <w:sz w:val="24"/>
        </w:rPr>
      </w:pPr>
      <w:r>
        <w:rPr>
          <w:sz w:val="24"/>
        </w:rPr>
        <w:lastRenderedPageBreak/>
        <w:t>Ibrahim</w:t>
      </w:r>
      <w:r>
        <w:rPr>
          <w:sz w:val="24"/>
        </w:rPr>
        <w:tab/>
        <w:t>Can</w:t>
      </w:r>
      <w:r>
        <w:rPr>
          <w:sz w:val="24"/>
        </w:rPr>
        <w:tab/>
        <w:t>Korkut,</w:t>
      </w:r>
      <w:r>
        <w:rPr>
          <w:sz w:val="24"/>
        </w:rPr>
        <w:tab/>
        <w:t>“School</w:t>
      </w:r>
      <w:r>
        <w:rPr>
          <w:sz w:val="24"/>
        </w:rPr>
        <w:tab/>
        <w:t>Environment</w:t>
      </w:r>
      <w:r>
        <w:rPr>
          <w:sz w:val="24"/>
        </w:rPr>
        <w:tab/>
        <w:t>and</w:t>
      </w:r>
      <w:r>
        <w:rPr>
          <w:sz w:val="24"/>
        </w:rPr>
        <w:tab/>
        <w:t>Students’</w:t>
      </w:r>
      <w:r>
        <w:rPr>
          <w:sz w:val="24"/>
        </w:rPr>
        <w:tab/>
        <w:t xml:space="preserve">Comfort A Review Paper”, International Conference on Agricultural, Civil and Environmental Engineering (ACEE-16) April 18-19, 2016 Istanbul, Turkey, ISBN 978-93-84468-49-1 </w:t>
      </w:r>
      <w:hyperlink r:id="rId17">
        <w:r>
          <w:rPr>
            <w:sz w:val="24"/>
          </w:rPr>
          <w:t>http://iaetr.org/conf-</w:t>
        </w:r>
      </w:hyperlink>
      <w:r>
        <w:rPr>
          <w:sz w:val="24"/>
        </w:rPr>
        <w:t xml:space="preserve"> </w:t>
      </w:r>
      <w:hyperlink r:id="rId18">
        <w:r>
          <w:rPr>
            <w:sz w:val="24"/>
          </w:rPr>
          <w:t>proceedingspdf.php?id=19&amp;slug=www.crmt.org&amp;sid=1&amp;catDid=86</w:t>
        </w:r>
      </w:hyperlink>
    </w:p>
    <w:p w:rsidR="00F3177F" w:rsidRDefault="0089671D">
      <w:pPr>
        <w:pStyle w:val="ListParagraph"/>
        <w:numPr>
          <w:ilvl w:val="1"/>
          <w:numId w:val="43"/>
        </w:numPr>
        <w:tabs>
          <w:tab w:val="left" w:pos="1112"/>
        </w:tabs>
        <w:spacing w:before="205" w:line="360" w:lineRule="auto"/>
        <w:ind w:right="117" w:firstLine="0"/>
        <w:jc w:val="both"/>
        <w:rPr>
          <w:sz w:val="24"/>
        </w:rPr>
      </w:pPr>
      <w:r>
        <w:rPr>
          <w:sz w:val="24"/>
        </w:rPr>
        <w:t>Ibrahim Can Korkut, “Organizational Culture and Trust as a Key Component of Culture in Organizations and at Schools – A Review Paper”, 1st ICELL International Conference on English Language and Literature, November 20-21, 2015, Tirana, Albania, ISBN: 978-9928-4345-0-</w:t>
      </w:r>
      <w:hyperlink r:id="rId19">
        <w:r>
          <w:rPr>
            <w:sz w:val="24"/>
          </w:rPr>
          <w:t>0,</w:t>
        </w:r>
        <w:r>
          <w:rPr>
            <w:spacing w:val="-18"/>
            <w:sz w:val="24"/>
          </w:rPr>
          <w:t xml:space="preserve"> </w:t>
        </w:r>
        <w:r>
          <w:rPr>
            <w:sz w:val="24"/>
          </w:rPr>
          <w:t>http://icell.beder.edu.al/docs/1st_ICELL.pdf</w:t>
        </w:r>
      </w:hyperlink>
    </w:p>
    <w:p w:rsidR="00F3177F" w:rsidRDefault="0089671D">
      <w:pPr>
        <w:pStyle w:val="ListParagraph"/>
        <w:numPr>
          <w:ilvl w:val="1"/>
          <w:numId w:val="43"/>
        </w:numPr>
        <w:tabs>
          <w:tab w:val="left" w:pos="892"/>
        </w:tabs>
        <w:spacing w:before="205" w:line="360" w:lineRule="auto"/>
        <w:ind w:right="113" w:firstLine="0"/>
        <w:jc w:val="both"/>
        <w:rPr>
          <w:sz w:val="24"/>
        </w:rPr>
      </w:pPr>
      <w:r>
        <w:rPr>
          <w:sz w:val="24"/>
        </w:rPr>
        <w:t xml:space="preserve">Ibrahim Can Korkut, “School Leader Self-Development Assessment: A Review Paper”, 5th International Conference on European Studies, November 6-7, 2015, </w:t>
      </w:r>
      <w:r>
        <w:rPr>
          <w:spacing w:val="-3"/>
          <w:sz w:val="24"/>
        </w:rPr>
        <w:t>Tirana, Albania, ISBN 978-9928-135-16-2,</w:t>
      </w:r>
      <w:r>
        <w:rPr>
          <w:spacing w:val="10"/>
          <w:sz w:val="24"/>
        </w:rPr>
        <w:t xml:space="preserve"> </w:t>
      </w:r>
      <w:hyperlink r:id="rId20">
        <w:r>
          <w:rPr>
            <w:sz w:val="24"/>
          </w:rPr>
          <w:t>http://dspace.epoka.edu.al/handle/1/1312?show=full</w:t>
        </w:r>
      </w:hyperlink>
    </w:p>
    <w:p w:rsidR="00F3177F" w:rsidRDefault="00F3177F">
      <w:pPr>
        <w:spacing w:line="360" w:lineRule="auto"/>
        <w:jc w:val="both"/>
        <w:rPr>
          <w:sz w:val="24"/>
        </w:rPr>
        <w:sectPr w:rsidR="00F3177F">
          <w:footerReference w:type="default" r:id="rId21"/>
          <w:pgSz w:w="12240" w:h="15840"/>
          <w:pgMar w:top="1380" w:right="1320" w:bottom="1900" w:left="1720" w:header="0" w:footer="1720" w:gutter="0"/>
          <w:pgNumType w:start="19"/>
          <w:cols w:space="720"/>
        </w:sectPr>
      </w:pPr>
    </w:p>
    <w:p w:rsidR="00F3177F" w:rsidRDefault="0089671D">
      <w:pPr>
        <w:pStyle w:val="Heading1"/>
        <w:ind w:left="3354" w:right="544"/>
      </w:pPr>
      <w:bookmarkStart w:id="13" w:name="_TOC_250019"/>
      <w:bookmarkEnd w:id="13"/>
      <w:r>
        <w:lastRenderedPageBreak/>
        <w:t>LIST OF APPENDICES</w:t>
      </w:r>
    </w:p>
    <w:p w:rsidR="00F3177F" w:rsidRDefault="00F3177F">
      <w:pPr>
        <w:pStyle w:val="BodyText"/>
        <w:spacing w:before="11"/>
        <w:rPr>
          <w:b/>
          <w:sz w:val="30"/>
        </w:rPr>
      </w:pPr>
    </w:p>
    <w:p w:rsidR="00F3177F" w:rsidRDefault="0089671D">
      <w:pPr>
        <w:pStyle w:val="BodyText"/>
        <w:spacing w:line="480" w:lineRule="auto"/>
        <w:ind w:left="2024" w:right="218" w:hanging="1440"/>
        <w:jc w:val="both"/>
      </w:pPr>
      <w:r>
        <w:t xml:space="preserve">Appendix </w:t>
      </w:r>
      <w:proofErr w:type="gramStart"/>
      <w:r>
        <w:t>A</w:t>
      </w:r>
      <w:proofErr w:type="gramEnd"/>
      <w:r>
        <w:t xml:space="preserve"> </w:t>
      </w:r>
      <w:r w:rsidR="001505A6">
        <w:t xml:space="preserve">   </w:t>
      </w:r>
      <w:r>
        <w:t>Örebro Questionnaire and the average complaint percentages for the minimum and maximum energy consuming state schools in Pristina Municipality</w:t>
      </w:r>
    </w:p>
    <w:p w:rsidR="00F3177F" w:rsidRDefault="0089671D">
      <w:pPr>
        <w:pStyle w:val="BodyText"/>
        <w:tabs>
          <w:tab w:val="left" w:pos="2024"/>
        </w:tabs>
        <w:spacing w:before="10"/>
        <w:ind w:left="584" w:right="544"/>
      </w:pPr>
      <w:r>
        <w:t>Appendix</w:t>
      </w:r>
      <w:r>
        <w:rPr>
          <w:spacing w:val="1"/>
        </w:rPr>
        <w:t xml:space="preserve"> </w:t>
      </w:r>
      <w:r>
        <w:t>B</w:t>
      </w:r>
      <w:r>
        <w:tab/>
        <w:t>A Sample Primary School Energy</w:t>
      </w:r>
      <w:r>
        <w:rPr>
          <w:spacing w:val="-5"/>
        </w:rPr>
        <w:t xml:space="preserve"> </w:t>
      </w:r>
      <w:r>
        <w:t>Policy</w:t>
      </w:r>
    </w:p>
    <w:p w:rsidR="00F3177F" w:rsidRDefault="00F3177F">
      <w:pPr>
        <w:pStyle w:val="BodyText"/>
        <w:spacing w:before="9"/>
        <w:rPr>
          <w:sz w:val="23"/>
        </w:rPr>
      </w:pPr>
    </w:p>
    <w:p w:rsidR="00F3177F" w:rsidRDefault="0089671D">
      <w:pPr>
        <w:pStyle w:val="BodyText"/>
        <w:tabs>
          <w:tab w:val="left" w:pos="2024"/>
        </w:tabs>
        <w:spacing w:line="480" w:lineRule="auto"/>
        <w:ind w:left="2024" w:right="686" w:hanging="1440"/>
      </w:pPr>
      <w:r>
        <w:t>Appendix</w:t>
      </w:r>
      <w:r>
        <w:rPr>
          <w:spacing w:val="1"/>
        </w:rPr>
        <w:t xml:space="preserve"> </w:t>
      </w:r>
      <w:r>
        <w:t>C</w:t>
      </w:r>
      <w:r>
        <w:tab/>
        <w:t>Key Elements and Potential Changes in the</w:t>
      </w:r>
      <w:r>
        <w:rPr>
          <w:spacing w:val="-13"/>
        </w:rPr>
        <w:t xml:space="preserve"> </w:t>
      </w:r>
      <w:r>
        <w:t>Kosovo</w:t>
      </w:r>
      <w:r>
        <w:rPr>
          <w:spacing w:val="-1"/>
        </w:rPr>
        <w:t xml:space="preserve"> </w:t>
      </w:r>
      <w:r>
        <w:t>Legislative Framework</w:t>
      </w:r>
    </w:p>
    <w:p w:rsidR="00F3177F" w:rsidRDefault="0089671D">
      <w:pPr>
        <w:pStyle w:val="BodyText"/>
        <w:tabs>
          <w:tab w:val="left" w:pos="2024"/>
        </w:tabs>
        <w:spacing w:before="10" w:line="480" w:lineRule="auto"/>
        <w:ind w:left="584" w:right="766"/>
      </w:pPr>
      <w:r>
        <w:t>Appendix</w:t>
      </w:r>
      <w:r>
        <w:rPr>
          <w:spacing w:val="1"/>
        </w:rPr>
        <w:t xml:space="preserve"> </w:t>
      </w:r>
      <w:r>
        <w:t>D</w:t>
      </w:r>
      <w:r>
        <w:tab/>
        <w:t>Energy Efficiency Barrier Matrix for Public Sector</w:t>
      </w:r>
      <w:r>
        <w:rPr>
          <w:spacing w:val="-13"/>
        </w:rPr>
        <w:t xml:space="preserve"> </w:t>
      </w:r>
      <w:r>
        <w:t>in</w:t>
      </w:r>
      <w:r>
        <w:rPr>
          <w:spacing w:val="-1"/>
        </w:rPr>
        <w:t xml:space="preserve"> </w:t>
      </w:r>
      <w:r>
        <w:t>Kosovo</w:t>
      </w:r>
      <w:r>
        <w:rPr>
          <w:w w:val="99"/>
        </w:rPr>
        <w:t xml:space="preserve"> </w:t>
      </w:r>
      <w:r>
        <w:t>Appendix</w:t>
      </w:r>
      <w:r>
        <w:rPr>
          <w:spacing w:val="1"/>
        </w:rPr>
        <w:t xml:space="preserve"> </w:t>
      </w:r>
      <w:r>
        <w:t>E</w:t>
      </w:r>
      <w:r>
        <w:tab/>
        <w:t>Questionnaire to Determine Energy Consumption in</w:t>
      </w:r>
      <w:r>
        <w:rPr>
          <w:spacing w:val="-14"/>
        </w:rPr>
        <w:t xml:space="preserve"> </w:t>
      </w:r>
      <w:r>
        <w:t>Buildings</w:t>
      </w:r>
    </w:p>
    <w:p w:rsidR="00F3177F" w:rsidRDefault="00F3177F">
      <w:pPr>
        <w:spacing w:line="480" w:lineRule="auto"/>
        <w:sectPr w:rsidR="00F3177F">
          <w:footerReference w:type="default" r:id="rId22"/>
          <w:pgSz w:w="12240" w:h="15840"/>
          <w:pgMar w:top="1400" w:right="1720" w:bottom="1900" w:left="1720" w:header="0" w:footer="1720" w:gutter="0"/>
          <w:pgNumType w:start="20"/>
          <w:cols w:space="720"/>
        </w:sectPr>
      </w:pPr>
    </w:p>
    <w:p w:rsidR="00F3177F" w:rsidRDefault="0089671D">
      <w:pPr>
        <w:pStyle w:val="Heading1"/>
        <w:ind w:left="1032" w:right="567"/>
        <w:jc w:val="center"/>
      </w:pPr>
      <w:r>
        <w:lastRenderedPageBreak/>
        <w:t>CHAPTER 1</w:t>
      </w:r>
    </w:p>
    <w:p w:rsidR="00F3177F" w:rsidRDefault="00F3177F">
      <w:pPr>
        <w:pStyle w:val="BodyText"/>
        <w:rPr>
          <w:b/>
          <w:sz w:val="28"/>
        </w:rPr>
      </w:pPr>
    </w:p>
    <w:p w:rsidR="00F3177F" w:rsidRDefault="00F3177F">
      <w:pPr>
        <w:pStyle w:val="BodyText"/>
        <w:spacing w:before="11"/>
        <w:rPr>
          <w:b/>
          <w:sz w:val="33"/>
        </w:rPr>
      </w:pPr>
    </w:p>
    <w:p w:rsidR="00F3177F" w:rsidRDefault="0089671D">
      <w:pPr>
        <w:ind w:left="1032" w:right="566"/>
        <w:jc w:val="center"/>
        <w:rPr>
          <w:b/>
          <w:sz w:val="28"/>
        </w:rPr>
      </w:pPr>
      <w:r>
        <w:rPr>
          <w:b/>
          <w:sz w:val="28"/>
        </w:rPr>
        <w:t>INTRODUCTION</w:t>
      </w:r>
    </w:p>
    <w:p w:rsidR="00F3177F" w:rsidRDefault="00F3177F">
      <w:pPr>
        <w:pStyle w:val="BodyText"/>
        <w:rPr>
          <w:b/>
          <w:sz w:val="28"/>
        </w:rPr>
      </w:pPr>
    </w:p>
    <w:p w:rsidR="00F3177F" w:rsidRDefault="00F3177F">
      <w:pPr>
        <w:pStyle w:val="BodyText"/>
        <w:rPr>
          <w:b/>
          <w:sz w:val="34"/>
        </w:rPr>
      </w:pPr>
    </w:p>
    <w:p w:rsidR="00F3177F" w:rsidRDefault="0089671D">
      <w:pPr>
        <w:pStyle w:val="Heading2"/>
        <w:numPr>
          <w:ilvl w:val="1"/>
          <w:numId w:val="42"/>
        </w:numPr>
        <w:tabs>
          <w:tab w:val="left" w:pos="1065"/>
        </w:tabs>
        <w:spacing w:before="1"/>
        <w:jc w:val="both"/>
      </w:pPr>
      <w:bookmarkStart w:id="14" w:name="_TOC_250018"/>
      <w:r>
        <w:t>Introduction and</w:t>
      </w:r>
      <w:r>
        <w:rPr>
          <w:spacing w:val="-8"/>
        </w:rPr>
        <w:t xml:space="preserve"> </w:t>
      </w:r>
      <w:bookmarkEnd w:id="14"/>
      <w:r>
        <w:t>Background</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8"/>
        <w:jc w:val="both"/>
      </w:pPr>
      <w:r>
        <w:t xml:space="preserve">Increasing energy consumptions along with its ecological and economic </w:t>
      </w:r>
      <w:proofErr w:type="gramStart"/>
      <w:r>
        <w:t>consequences  is</w:t>
      </w:r>
      <w:proofErr w:type="gramEnd"/>
      <w:r>
        <w:t xml:space="preserve"> presenting one of the most significant problems today. In addition, people demand higher levels of comfort and living standards with the help of technological developments. In this manner, M. Jefferson (2014) states</w:t>
      </w:r>
      <w:r>
        <w:rPr>
          <w:spacing w:val="-11"/>
        </w:rPr>
        <w:t xml:space="preserve"> </w:t>
      </w:r>
      <w:r>
        <w:t>that:</w:t>
      </w:r>
    </w:p>
    <w:p w:rsidR="00F3177F" w:rsidRDefault="00F3177F">
      <w:pPr>
        <w:pStyle w:val="BodyText"/>
      </w:pPr>
    </w:p>
    <w:p w:rsidR="00F3177F" w:rsidRDefault="0089671D">
      <w:pPr>
        <w:pStyle w:val="BodyText"/>
        <w:spacing w:before="140"/>
        <w:ind w:left="1304" w:right="153"/>
        <w:jc w:val="both"/>
      </w:pPr>
      <w:r>
        <w:t>The challenges to the future of the human race embodied in growing world population, and limited resources, find many in a state of denial. The exploitation of fossil fuels, and efforts to expand the availability of low carbon energy technologies, are seen by an increasing number of observers to place the “great acceleration” of economic growth and material living standards under fundamental pressure (Jefferson, 2014).</w:t>
      </w:r>
    </w:p>
    <w:p w:rsidR="00F3177F" w:rsidRDefault="00F3177F">
      <w:pPr>
        <w:pStyle w:val="BodyText"/>
      </w:pPr>
    </w:p>
    <w:p w:rsidR="00F3177F" w:rsidRDefault="0089671D">
      <w:pPr>
        <w:pStyle w:val="BodyText"/>
        <w:spacing w:before="139" w:line="360" w:lineRule="auto"/>
        <w:ind w:left="584" w:right="116" w:firstLine="62"/>
        <w:jc w:val="both"/>
      </w:pPr>
      <w:r>
        <w:t>It is clear from his statement that using energy efficiently has become of great importance. On the other side, people demand better living standards. Vaclav Smil (1994) claims that energy use has influenced economies and societies to transform from farming-based civilizations to societies with universal cultures and has significantly improved literacy and people’s average life span. It has also broken economic borders. Undoubtedly, so much influence requiring more investments has found some responses in business.</w:t>
      </w:r>
    </w:p>
    <w:p w:rsidR="00F3177F" w:rsidRDefault="00F3177F">
      <w:pPr>
        <w:pStyle w:val="BodyText"/>
      </w:pPr>
    </w:p>
    <w:p w:rsidR="00F3177F" w:rsidRDefault="0089671D">
      <w:pPr>
        <w:pStyle w:val="BodyText"/>
        <w:spacing w:before="143" w:line="360" w:lineRule="auto"/>
        <w:ind w:left="584" w:right="116"/>
        <w:jc w:val="both"/>
      </w:pPr>
      <w:r>
        <w:t>Thus, energy consumption and demand on higher levels of living standards are bound to be handled together and effectively by also taking the deterioration of conventional energy resources and environmental impacts of increasing energy consumption into consideration.</w:t>
      </w:r>
    </w:p>
    <w:p w:rsidR="00F3177F" w:rsidRDefault="00F3177F">
      <w:pPr>
        <w:spacing w:line="360" w:lineRule="auto"/>
        <w:jc w:val="both"/>
        <w:sectPr w:rsidR="00F3177F">
          <w:footerReference w:type="default" r:id="rId23"/>
          <w:pgSz w:w="12240" w:h="15840"/>
          <w:pgMar w:top="1400" w:right="1320" w:bottom="2280" w:left="1720" w:header="0" w:footer="2095" w:gutter="0"/>
          <w:pgNumType w:start="1"/>
          <w:cols w:space="720"/>
        </w:sectPr>
      </w:pPr>
    </w:p>
    <w:p w:rsidR="00F3177F" w:rsidRDefault="0089671D">
      <w:pPr>
        <w:pStyle w:val="BodyText"/>
        <w:spacing w:before="54" w:line="360" w:lineRule="auto"/>
        <w:ind w:left="584" w:right="110"/>
        <w:jc w:val="both"/>
      </w:pPr>
      <w:r>
        <w:rPr>
          <w:spacing w:val="-3"/>
        </w:rPr>
        <w:lastRenderedPageBreak/>
        <w:t xml:space="preserve">According </w:t>
      </w:r>
      <w:r>
        <w:t xml:space="preserve">to </w:t>
      </w:r>
      <w:r>
        <w:rPr>
          <w:spacing w:val="-3"/>
        </w:rPr>
        <w:t xml:space="preserve">Ayres and Vlasios, </w:t>
      </w:r>
      <w:r>
        <w:t xml:space="preserve">“the </w:t>
      </w:r>
      <w:r>
        <w:rPr>
          <w:spacing w:val="-3"/>
        </w:rPr>
        <w:t xml:space="preserve">increased stock </w:t>
      </w:r>
      <w:r>
        <w:t xml:space="preserve">of </w:t>
      </w:r>
      <w:r>
        <w:rPr>
          <w:spacing w:val="-3"/>
        </w:rPr>
        <w:t xml:space="preserve">capital </w:t>
      </w:r>
      <w:r>
        <w:t xml:space="preserve">and the supply of </w:t>
      </w:r>
      <w:r>
        <w:rPr>
          <w:spacing w:val="-3"/>
        </w:rPr>
        <w:t xml:space="preserve">useful </w:t>
      </w:r>
      <w:r>
        <w:t>energy</w:t>
      </w:r>
      <w:r>
        <w:rPr>
          <w:spacing w:val="-11"/>
        </w:rPr>
        <w:t xml:space="preserve"> </w:t>
      </w:r>
      <w:r>
        <w:t>due</w:t>
      </w:r>
      <w:r>
        <w:rPr>
          <w:spacing w:val="-8"/>
        </w:rPr>
        <w:t xml:space="preserve"> </w:t>
      </w:r>
      <w:r>
        <w:t>to</w:t>
      </w:r>
      <w:r>
        <w:rPr>
          <w:spacing w:val="-7"/>
        </w:rPr>
        <w:t xml:space="preserve"> </w:t>
      </w:r>
      <w:r>
        <w:t>the</w:t>
      </w:r>
      <w:r>
        <w:rPr>
          <w:spacing w:val="-8"/>
        </w:rPr>
        <w:t xml:space="preserve"> </w:t>
      </w:r>
      <w:r>
        <w:t>discovery</w:t>
      </w:r>
      <w:r>
        <w:rPr>
          <w:spacing w:val="-11"/>
        </w:rPr>
        <w:t xml:space="preserve"> </w:t>
      </w:r>
      <w:r>
        <w:t>and</w:t>
      </w:r>
      <w:r>
        <w:rPr>
          <w:spacing w:val="-7"/>
        </w:rPr>
        <w:t xml:space="preserve"> </w:t>
      </w:r>
      <w:r>
        <w:rPr>
          <w:spacing w:val="-3"/>
        </w:rPr>
        <w:t>exploitation</w:t>
      </w:r>
      <w:r>
        <w:rPr>
          <w:spacing w:val="-4"/>
        </w:rPr>
        <w:t xml:space="preserve"> </w:t>
      </w:r>
      <w:r>
        <w:t>of</w:t>
      </w:r>
      <w:r>
        <w:rPr>
          <w:spacing w:val="-5"/>
        </w:rPr>
        <w:t xml:space="preserve"> </w:t>
      </w:r>
      <w:r>
        <w:t>relatively</w:t>
      </w:r>
      <w:r>
        <w:rPr>
          <w:spacing w:val="-11"/>
        </w:rPr>
        <w:t xml:space="preserve"> </w:t>
      </w:r>
      <w:r>
        <w:t>inexpensive</w:t>
      </w:r>
      <w:r>
        <w:rPr>
          <w:spacing w:val="-8"/>
        </w:rPr>
        <w:t xml:space="preserve"> </w:t>
      </w:r>
      <w:r>
        <w:t>fossil</w:t>
      </w:r>
      <w:r>
        <w:rPr>
          <w:spacing w:val="-4"/>
        </w:rPr>
        <w:t xml:space="preserve"> </w:t>
      </w:r>
      <w:r>
        <w:rPr>
          <w:spacing w:val="-3"/>
        </w:rPr>
        <w:t>fuels”</w:t>
      </w:r>
      <w:r>
        <w:rPr>
          <w:spacing w:val="-2"/>
        </w:rPr>
        <w:t xml:space="preserve"> </w:t>
      </w:r>
      <w:r>
        <w:rPr>
          <w:spacing w:val="-3"/>
        </w:rPr>
        <w:t xml:space="preserve">(Ayres </w:t>
      </w:r>
      <w:r>
        <w:t xml:space="preserve">&amp; </w:t>
      </w:r>
      <w:r>
        <w:rPr>
          <w:spacing w:val="-3"/>
        </w:rPr>
        <w:t xml:space="preserve">Vlasios, </w:t>
      </w:r>
      <w:r>
        <w:t xml:space="preserve">2014) have </w:t>
      </w:r>
      <w:r>
        <w:rPr>
          <w:spacing w:val="-3"/>
        </w:rPr>
        <w:t xml:space="preserve">been </w:t>
      </w:r>
      <w:r>
        <w:t xml:space="preserve">the main </w:t>
      </w:r>
      <w:r>
        <w:rPr>
          <w:spacing w:val="-3"/>
        </w:rPr>
        <w:t xml:space="preserve">engines behind </w:t>
      </w:r>
      <w:r>
        <w:t xml:space="preserve">the </w:t>
      </w:r>
      <w:r>
        <w:rPr>
          <w:spacing w:val="-3"/>
        </w:rPr>
        <w:t xml:space="preserve">growth after </w:t>
      </w:r>
      <w:r>
        <w:t xml:space="preserve">the </w:t>
      </w:r>
      <w:r>
        <w:rPr>
          <w:spacing w:val="-3"/>
        </w:rPr>
        <w:t xml:space="preserve">Industrial Revolution. Today, </w:t>
      </w:r>
      <w:r>
        <w:t xml:space="preserve">we still by 80% depend on fossil </w:t>
      </w:r>
      <w:r>
        <w:rPr>
          <w:spacing w:val="-3"/>
        </w:rPr>
        <w:t xml:space="preserve">fuel </w:t>
      </w:r>
      <w:r>
        <w:t xml:space="preserve">for </w:t>
      </w:r>
      <w:r>
        <w:rPr>
          <w:spacing w:val="-3"/>
        </w:rPr>
        <w:t xml:space="preserve">global </w:t>
      </w:r>
      <w:r>
        <w:t xml:space="preserve">energy (Jefferson, </w:t>
      </w:r>
      <w:r>
        <w:rPr>
          <w:spacing w:val="-3"/>
        </w:rPr>
        <w:t xml:space="preserve">2014) and </w:t>
      </w:r>
      <w:r>
        <w:t xml:space="preserve">the </w:t>
      </w:r>
      <w:r>
        <w:rPr>
          <w:spacing w:val="-3"/>
        </w:rPr>
        <w:t xml:space="preserve">role </w:t>
      </w:r>
      <w:r>
        <w:t xml:space="preserve">of </w:t>
      </w:r>
      <w:r>
        <w:rPr>
          <w:spacing w:val="-3"/>
        </w:rPr>
        <w:t xml:space="preserve">renewable </w:t>
      </w:r>
      <w:r>
        <w:t xml:space="preserve">energy resources is still </w:t>
      </w:r>
      <w:r>
        <w:rPr>
          <w:spacing w:val="-3"/>
        </w:rPr>
        <w:t xml:space="preserve">small. However, </w:t>
      </w:r>
      <w:r>
        <w:t xml:space="preserve">the </w:t>
      </w:r>
      <w:r>
        <w:rPr>
          <w:spacing w:val="-3"/>
        </w:rPr>
        <w:t xml:space="preserve">growing concerns </w:t>
      </w:r>
      <w:r>
        <w:t xml:space="preserve">for depleting </w:t>
      </w:r>
      <w:r>
        <w:rPr>
          <w:spacing w:val="-3"/>
        </w:rPr>
        <w:t xml:space="preserve">natural </w:t>
      </w:r>
      <w:r>
        <w:t xml:space="preserve">energy </w:t>
      </w:r>
      <w:r>
        <w:rPr>
          <w:spacing w:val="-3"/>
        </w:rPr>
        <w:t xml:space="preserve">resources and environment </w:t>
      </w:r>
      <w:r>
        <w:t xml:space="preserve">have </w:t>
      </w:r>
      <w:r>
        <w:rPr>
          <w:spacing w:val="-3"/>
        </w:rPr>
        <w:t xml:space="preserve">made </w:t>
      </w:r>
      <w:r>
        <w:t xml:space="preserve">energy </w:t>
      </w:r>
      <w:r>
        <w:rPr>
          <w:spacing w:val="-3"/>
        </w:rPr>
        <w:t xml:space="preserve">conservation and </w:t>
      </w:r>
      <w:r>
        <w:t xml:space="preserve">efficiency the </w:t>
      </w:r>
      <w:r>
        <w:rPr>
          <w:spacing w:val="-3"/>
        </w:rPr>
        <w:t xml:space="preserve">first </w:t>
      </w:r>
      <w:r>
        <w:t xml:space="preserve">fuel. </w:t>
      </w:r>
      <w:r>
        <w:rPr>
          <w:spacing w:val="-3"/>
        </w:rPr>
        <w:t xml:space="preserve">First </w:t>
      </w:r>
      <w:r>
        <w:t xml:space="preserve">of all, there is energy loss due to </w:t>
      </w:r>
      <w:r>
        <w:rPr>
          <w:spacing w:val="-2"/>
        </w:rPr>
        <w:t xml:space="preserve">practical </w:t>
      </w:r>
      <w:r>
        <w:t xml:space="preserve">limits. For </w:t>
      </w:r>
      <w:r>
        <w:rPr>
          <w:spacing w:val="-3"/>
        </w:rPr>
        <w:t xml:space="preserve">instance, </w:t>
      </w:r>
      <w:r>
        <w:t xml:space="preserve">energy loses its original quality when it is transformed. </w:t>
      </w:r>
      <w:r>
        <w:rPr>
          <w:spacing w:val="-3"/>
        </w:rPr>
        <w:t xml:space="preserve">Cullen </w:t>
      </w:r>
      <w:r>
        <w:t xml:space="preserve">and </w:t>
      </w:r>
      <w:r>
        <w:rPr>
          <w:spacing w:val="-3"/>
        </w:rPr>
        <w:t xml:space="preserve">Allwood (2010) inform </w:t>
      </w:r>
      <w:r>
        <w:t xml:space="preserve">that 66% of </w:t>
      </w:r>
      <w:r>
        <w:rPr>
          <w:spacing w:val="-3"/>
        </w:rPr>
        <w:t xml:space="preserve">final </w:t>
      </w:r>
      <w:r>
        <w:t xml:space="preserve">energy is not </w:t>
      </w:r>
      <w:r>
        <w:rPr>
          <w:spacing w:val="-3"/>
        </w:rPr>
        <w:t xml:space="preserve">converted </w:t>
      </w:r>
      <w:r>
        <w:t xml:space="preserve">into useful energy </w:t>
      </w:r>
      <w:r>
        <w:rPr>
          <w:spacing w:val="-3"/>
        </w:rPr>
        <w:t xml:space="preserve">and </w:t>
      </w:r>
      <w:r>
        <w:t xml:space="preserve">there is over 70% loss in </w:t>
      </w:r>
      <w:r>
        <w:rPr>
          <w:spacing w:val="-3"/>
        </w:rPr>
        <w:t xml:space="preserve">transportation, </w:t>
      </w:r>
      <w:r>
        <w:t xml:space="preserve">62% in industrial, </w:t>
      </w:r>
      <w:r>
        <w:rPr>
          <w:spacing w:val="-3"/>
        </w:rPr>
        <w:t xml:space="preserve">and </w:t>
      </w:r>
      <w:r>
        <w:t xml:space="preserve">60% in </w:t>
      </w:r>
      <w:r>
        <w:rPr>
          <w:spacing w:val="-3"/>
        </w:rPr>
        <w:t xml:space="preserve">commercial </w:t>
      </w:r>
      <w:r>
        <w:t xml:space="preserve">and </w:t>
      </w:r>
      <w:r>
        <w:rPr>
          <w:spacing w:val="-3"/>
        </w:rPr>
        <w:t xml:space="preserve">residential. Buildings </w:t>
      </w:r>
      <w:r>
        <w:t xml:space="preserve">in </w:t>
      </w:r>
      <w:r>
        <w:rPr>
          <w:spacing w:val="-3"/>
        </w:rPr>
        <w:t xml:space="preserve">European </w:t>
      </w:r>
      <w:r>
        <w:t xml:space="preserve">Union count </w:t>
      </w:r>
      <w:r>
        <w:rPr>
          <w:spacing w:val="-3"/>
        </w:rPr>
        <w:t xml:space="preserve">for </w:t>
      </w:r>
      <w:r>
        <w:t xml:space="preserve">the 40% of </w:t>
      </w:r>
      <w:r>
        <w:rPr>
          <w:spacing w:val="-3"/>
        </w:rPr>
        <w:t xml:space="preserve">overall </w:t>
      </w:r>
      <w:r>
        <w:t xml:space="preserve">energy </w:t>
      </w:r>
      <w:r>
        <w:rPr>
          <w:spacing w:val="-3"/>
        </w:rPr>
        <w:t xml:space="preserve">consumption and responsible for </w:t>
      </w:r>
      <w:r>
        <w:t xml:space="preserve">the 36% of </w:t>
      </w:r>
      <w:r>
        <w:rPr>
          <w:spacing w:val="-3"/>
        </w:rPr>
        <w:t xml:space="preserve">total </w:t>
      </w:r>
      <w:r>
        <w:t>CO</w:t>
      </w:r>
      <w:r>
        <w:rPr>
          <w:position w:val="-2"/>
          <w:sz w:val="16"/>
        </w:rPr>
        <w:t xml:space="preserve">2 </w:t>
      </w:r>
      <w:r>
        <w:rPr>
          <w:spacing w:val="-3"/>
        </w:rPr>
        <w:t xml:space="preserve">emissions (Thewes </w:t>
      </w:r>
      <w:r>
        <w:rPr>
          <w:spacing w:val="-2"/>
        </w:rPr>
        <w:t xml:space="preserve">et. al, </w:t>
      </w:r>
      <w:r>
        <w:t xml:space="preserve">2014). </w:t>
      </w:r>
      <w:r>
        <w:rPr>
          <w:spacing w:val="-3"/>
        </w:rPr>
        <w:t xml:space="preserve">Buildings </w:t>
      </w:r>
      <w:r>
        <w:t xml:space="preserve">over 50 </w:t>
      </w:r>
      <w:r>
        <w:rPr>
          <w:spacing w:val="-3"/>
        </w:rPr>
        <w:t xml:space="preserve">years </w:t>
      </w:r>
      <w:r>
        <w:t xml:space="preserve">old </w:t>
      </w:r>
      <w:r>
        <w:rPr>
          <w:spacing w:val="-3"/>
        </w:rPr>
        <w:t xml:space="preserve">that </w:t>
      </w:r>
      <w:r>
        <w:t xml:space="preserve">sum up 35% of </w:t>
      </w:r>
      <w:r>
        <w:rPr>
          <w:spacing w:val="-2"/>
        </w:rPr>
        <w:t xml:space="preserve">all </w:t>
      </w:r>
      <w:r>
        <w:t xml:space="preserve">the </w:t>
      </w:r>
      <w:r>
        <w:rPr>
          <w:spacing w:val="-3"/>
        </w:rPr>
        <w:t xml:space="preserve">buildings and </w:t>
      </w:r>
      <w:r>
        <w:t xml:space="preserve">old </w:t>
      </w:r>
      <w:r>
        <w:rPr>
          <w:spacing w:val="-3"/>
        </w:rPr>
        <w:t xml:space="preserve">buildings </w:t>
      </w:r>
      <w:r>
        <w:t xml:space="preserve">use 25 lt oil on </w:t>
      </w:r>
      <w:r>
        <w:rPr>
          <w:spacing w:val="-3"/>
        </w:rPr>
        <w:t xml:space="preserve">average </w:t>
      </w:r>
      <w:r>
        <w:t xml:space="preserve">in a </w:t>
      </w:r>
      <w:r>
        <w:rPr>
          <w:spacing w:val="-3"/>
        </w:rPr>
        <w:t xml:space="preserve">year </w:t>
      </w:r>
      <w:r>
        <w:t xml:space="preserve">while the average of recently built </w:t>
      </w:r>
      <w:r>
        <w:rPr>
          <w:spacing w:val="-3"/>
        </w:rPr>
        <w:t xml:space="preserve">ones </w:t>
      </w:r>
      <w:r>
        <w:t xml:space="preserve">is </w:t>
      </w:r>
      <w:r>
        <w:rPr>
          <w:spacing w:val="-3"/>
        </w:rPr>
        <w:t xml:space="preserve">less </w:t>
      </w:r>
      <w:r>
        <w:t xml:space="preserve">than 5 lt of oil a year </w:t>
      </w:r>
      <w:r>
        <w:rPr>
          <w:spacing w:val="-3"/>
        </w:rPr>
        <w:t xml:space="preserve">(European </w:t>
      </w:r>
      <w:r>
        <w:t xml:space="preserve">Commission, n.d.). </w:t>
      </w:r>
      <w:r>
        <w:rPr>
          <w:spacing w:val="-2"/>
        </w:rPr>
        <w:t xml:space="preserve">Global </w:t>
      </w:r>
      <w:r>
        <w:rPr>
          <w:spacing w:val="-3"/>
        </w:rPr>
        <w:t xml:space="preserve">building </w:t>
      </w:r>
      <w:r>
        <w:t xml:space="preserve">energy consumption is </w:t>
      </w:r>
      <w:r>
        <w:rPr>
          <w:spacing w:val="-3"/>
        </w:rPr>
        <w:t xml:space="preserve">ranged between </w:t>
      </w:r>
      <w:r>
        <w:t xml:space="preserve">20% </w:t>
      </w:r>
      <w:r>
        <w:rPr>
          <w:spacing w:val="-3"/>
        </w:rPr>
        <w:t xml:space="preserve">and </w:t>
      </w:r>
      <w:r>
        <w:t xml:space="preserve">40% with an </w:t>
      </w:r>
      <w:r>
        <w:rPr>
          <w:spacing w:val="-3"/>
        </w:rPr>
        <w:t xml:space="preserve">expectation </w:t>
      </w:r>
      <w:r>
        <w:t xml:space="preserve">of </w:t>
      </w:r>
      <w:r>
        <w:rPr>
          <w:spacing w:val="-3"/>
        </w:rPr>
        <w:t xml:space="preserve">fast upsurge </w:t>
      </w:r>
      <w:r>
        <w:t xml:space="preserve">in the future </w:t>
      </w:r>
      <w:r>
        <w:rPr>
          <w:spacing w:val="-3"/>
        </w:rPr>
        <w:t xml:space="preserve">(Pérez-Lombard </w:t>
      </w:r>
      <w:r>
        <w:t xml:space="preserve">et </w:t>
      </w:r>
      <w:r>
        <w:rPr>
          <w:spacing w:val="-3"/>
        </w:rPr>
        <w:t xml:space="preserve">al., 2009). </w:t>
      </w:r>
      <w:r>
        <w:t xml:space="preserve">According to </w:t>
      </w:r>
      <w:r>
        <w:rPr>
          <w:spacing w:val="-3"/>
        </w:rPr>
        <w:t xml:space="preserve">Menezes </w:t>
      </w:r>
      <w:r>
        <w:t xml:space="preserve">et </w:t>
      </w:r>
      <w:r>
        <w:rPr>
          <w:spacing w:val="-2"/>
        </w:rPr>
        <w:t xml:space="preserve">al. </w:t>
      </w:r>
      <w:r>
        <w:t xml:space="preserve">(2011) the difference </w:t>
      </w:r>
      <w:r>
        <w:rPr>
          <w:spacing w:val="-3"/>
        </w:rPr>
        <w:t xml:space="preserve">between measured and predicted </w:t>
      </w:r>
      <w:r>
        <w:t xml:space="preserve">electricity demands is around 60–70% in </w:t>
      </w:r>
      <w:r>
        <w:rPr>
          <w:spacing w:val="-3"/>
        </w:rPr>
        <w:t xml:space="preserve">favor </w:t>
      </w:r>
      <w:r>
        <w:t xml:space="preserve">of the measured one in </w:t>
      </w:r>
      <w:r>
        <w:rPr>
          <w:spacing w:val="-3"/>
        </w:rPr>
        <w:t>general offices</w:t>
      </w:r>
      <w:r>
        <w:rPr>
          <w:spacing w:val="-8"/>
        </w:rPr>
        <w:t xml:space="preserve"> </w:t>
      </w:r>
      <w:r>
        <w:rPr>
          <w:spacing w:val="-3"/>
        </w:rPr>
        <w:t>and</w:t>
      </w:r>
      <w:r>
        <w:rPr>
          <w:spacing w:val="-8"/>
        </w:rPr>
        <w:t xml:space="preserve"> </w:t>
      </w:r>
      <w:r>
        <w:rPr>
          <w:spacing w:val="-3"/>
        </w:rPr>
        <w:t>schools</w:t>
      </w:r>
      <w:r>
        <w:rPr>
          <w:spacing w:val="-9"/>
        </w:rPr>
        <w:t xml:space="preserve"> </w:t>
      </w:r>
      <w:r>
        <w:t>while</w:t>
      </w:r>
      <w:r>
        <w:rPr>
          <w:spacing w:val="-8"/>
        </w:rPr>
        <w:t xml:space="preserve"> </w:t>
      </w:r>
      <w:r>
        <w:t>it</w:t>
      </w:r>
      <w:r>
        <w:rPr>
          <w:spacing w:val="-10"/>
        </w:rPr>
        <w:t xml:space="preserve"> </w:t>
      </w:r>
      <w:r>
        <w:rPr>
          <w:spacing w:val="-3"/>
        </w:rPr>
        <w:t>can</w:t>
      </w:r>
      <w:r>
        <w:rPr>
          <w:spacing w:val="-8"/>
        </w:rPr>
        <w:t xml:space="preserve"> </w:t>
      </w:r>
      <w:r>
        <w:t>be</w:t>
      </w:r>
      <w:r>
        <w:rPr>
          <w:spacing w:val="-9"/>
        </w:rPr>
        <w:t xml:space="preserve"> </w:t>
      </w:r>
      <w:r>
        <w:t>as</w:t>
      </w:r>
      <w:r>
        <w:rPr>
          <w:spacing w:val="-10"/>
        </w:rPr>
        <w:t xml:space="preserve"> </w:t>
      </w:r>
      <w:r>
        <w:t>high</w:t>
      </w:r>
      <w:r>
        <w:rPr>
          <w:spacing w:val="-10"/>
        </w:rPr>
        <w:t xml:space="preserve"> </w:t>
      </w:r>
      <w:r>
        <w:t>as</w:t>
      </w:r>
      <w:r>
        <w:rPr>
          <w:spacing w:val="-7"/>
        </w:rPr>
        <w:t xml:space="preserve"> </w:t>
      </w:r>
      <w:r>
        <w:t>over</w:t>
      </w:r>
      <w:r>
        <w:rPr>
          <w:spacing w:val="-11"/>
        </w:rPr>
        <w:t xml:space="preserve"> </w:t>
      </w:r>
      <w:r>
        <w:t>85%</w:t>
      </w:r>
      <w:r>
        <w:rPr>
          <w:spacing w:val="-11"/>
        </w:rPr>
        <w:t xml:space="preserve"> </w:t>
      </w:r>
      <w:r>
        <w:t>in</w:t>
      </w:r>
      <w:r>
        <w:rPr>
          <w:spacing w:val="-10"/>
        </w:rPr>
        <w:t xml:space="preserve"> </w:t>
      </w:r>
      <w:r>
        <w:t>university</w:t>
      </w:r>
      <w:r>
        <w:rPr>
          <w:spacing w:val="-14"/>
        </w:rPr>
        <w:t xml:space="preserve"> </w:t>
      </w:r>
      <w:r>
        <w:t>campuses.</w:t>
      </w:r>
    </w:p>
    <w:p w:rsidR="00F3177F" w:rsidRDefault="00F3177F">
      <w:pPr>
        <w:pStyle w:val="BodyText"/>
      </w:pPr>
    </w:p>
    <w:p w:rsidR="00F3177F" w:rsidRDefault="0089671D">
      <w:pPr>
        <w:pStyle w:val="BodyText"/>
        <w:spacing w:before="143" w:line="360" w:lineRule="auto"/>
        <w:ind w:left="584" w:right="111"/>
        <w:jc w:val="both"/>
      </w:pPr>
      <w:r>
        <w:t xml:space="preserve">These figures along with many others suggest massive energy conservation opportunities and the European Union took a step through the Energy Performance of Buildings Directive (EPBD) 2002/91/EC, and implemented a strategy to lessen the primary energy use by 20% by 2020 (European Council, 2007) and demanded from all its members to take precautions for more buildings with nearly zero energy with European directive 2010/31/EU to down energy consumption differences between the Union members (The European Parliament and the Council of the EU, 2010). Accordingly, all the Union members are urged to establish bottom prerequisites and </w:t>
      </w:r>
      <w:proofErr w:type="gramStart"/>
      <w:r>
        <w:t>cultivate  methods</w:t>
      </w:r>
      <w:proofErr w:type="gramEnd"/>
      <w:r>
        <w:t xml:space="preserve">  to  regulate  building  energy  performances  and  have  more</w:t>
      </w:r>
      <w:r>
        <w:rPr>
          <w:spacing w:val="46"/>
        </w:rPr>
        <w:t xml:space="preserve"> </w:t>
      </w:r>
      <w:r>
        <w:t>energy</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9"/>
        <w:jc w:val="both"/>
      </w:pPr>
      <w:proofErr w:type="gramStart"/>
      <w:r>
        <w:lastRenderedPageBreak/>
        <w:t>efficient</w:t>
      </w:r>
      <w:proofErr w:type="gramEnd"/>
      <w:r>
        <w:t xml:space="preserve"> constructions by the end of 2020 (The European Parliament and the Council of the EU, 2010). In October 2014, they agreed a higher energy savings target of 27%, or greater by 2030, following a proposal for an energy efficiency (EE) plan up to the year 2050 in 2011 and an energy efficiency directive for indicative energy efficiency targets in 2012 (EUR-Lex, 2015).</w:t>
      </w:r>
    </w:p>
    <w:p w:rsidR="00F3177F" w:rsidRDefault="00F3177F">
      <w:pPr>
        <w:pStyle w:val="BodyText"/>
      </w:pPr>
    </w:p>
    <w:p w:rsidR="00F3177F" w:rsidRDefault="0089671D">
      <w:pPr>
        <w:pStyle w:val="BodyText"/>
        <w:spacing w:before="143" w:line="360" w:lineRule="auto"/>
        <w:ind w:left="584" w:right="114"/>
        <w:jc w:val="both"/>
      </w:pPr>
      <w:r>
        <w:t>In this manner, governments and municipalities carry great responsibilities to build and apply criteria on building constructions and management. For instance, The UK government has targeted an at least 80% drop in CO</w:t>
      </w:r>
      <w:r>
        <w:rPr>
          <w:position w:val="-2"/>
          <w:sz w:val="16"/>
        </w:rPr>
        <w:t xml:space="preserve">2 </w:t>
      </w:r>
      <w:r>
        <w:t>emissions by the year 2050 (Department of Energy and Climate Change, 2013) as UK schools present an opportunity to cut down their yearly energy expenses by roughly £44 million (Carbon Trust, 2012). Furthermore, the built environment poses as much as twice cost-effective carbon mitigation in comparison to any other sector (Green Building Council, 2011). Naturally, these figures require some further implementations concerning building energy labeling and certificates. Energy labeling in EU, similar to product labeling, has been in practice with the EPBD, supported with energy disclosure legislations/laws and an advantage of a common metric. Scientific researches show that building energy labeling is a substantially rewarding application (Fuerst &amp; McAllister, 2011). Labeling and energy efficiency audits were long suggested as strategies against irregularity of building energy information (Hirst &amp; Brown, 1990) although it is difficult to speak about definite fruitfulness of energy auditing through the academic literature. For instance, while Anderson and Newell’s (2004) research results value governments’ support “on industrial users to implement energy efficiency projects”, according to Schleich’s (2004) results, number of auditors with less energy consumption is very limited. The results in a positive or negative way, may have faced and may face some miscalculating problems such as inappropriate analysis tools and methods, or policy misapplications such as neglecting users’ comfort. Thus, as Thewes et al. (2014) claim, collecting, classifying and analyzing valid data valid data will gradually turn out to be vita in the</w:t>
      </w:r>
      <w:r>
        <w:rPr>
          <w:spacing w:val="-5"/>
        </w:rPr>
        <w:t xml:space="preserve"> </w:t>
      </w:r>
      <w:r>
        <w:t>future.</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4"/>
        <w:jc w:val="both"/>
      </w:pPr>
      <w:r>
        <w:rPr>
          <w:spacing w:val="-3"/>
        </w:rPr>
        <w:lastRenderedPageBreak/>
        <w:t xml:space="preserve">Thus, </w:t>
      </w:r>
      <w:r>
        <w:t xml:space="preserve">data collection on energy </w:t>
      </w:r>
      <w:r>
        <w:rPr>
          <w:spacing w:val="-3"/>
        </w:rPr>
        <w:t xml:space="preserve">consumption </w:t>
      </w:r>
      <w:r>
        <w:t xml:space="preserve">demands </w:t>
      </w:r>
      <w:r>
        <w:rPr>
          <w:spacing w:val="-3"/>
        </w:rPr>
        <w:t xml:space="preserve">great attention </w:t>
      </w:r>
      <w:r>
        <w:t xml:space="preserve">not only from the </w:t>
      </w:r>
      <w:r>
        <w:rPr>
          <w:spacing w:val="-3"/>
        </w:rPr>
        <w:t xml:space="preserve">point </w:t>
      </w:r>
      <w:r>
        <w:t xml:space="preserve">of </w:t>
      </w:r>
      <w:r>
        <w:rPr>
          <w:spacing w:val="-3"/>
        </w:rPr>
        <w:t xml:space="preserve">statistics </w:t>
      </w:r>
      <w:r>
        <w:t xml:space="preserve">but also from the </w:t>
      </w:r>
      <w:r>
        <w:rPr>
          <w:spacing w:val="-3"/>
        </w:rPr>
        <w:t xml:space="preserve">point </w:t>
      </w:r>
      <w:r>
        <w:t xml:space="preserve">of trends, energy </w:t>
      </w:r>
      <w:r>
        <w:rPr>
          <w:spacing w:val="-3"/>
        </w:rPr>
        <w:t xml:space="preserve">policies, </w:t>
      </w:r>
      <w:r>
        <w:t xml:space="preserve">future </w:t>
      </w:r>
      <w:r>
        <w:rPr>
          <w:spacing w:val="-3"/>
        </w:rPr>
        <w:t xml:space="preserve">planning </w:t>
      </w:r>
      <w:r>
        <w:t xml:space="preserve">and </w:t>
      </w:r>
      <w:r>
        <w:rPr>
          <w:spacing w:val="-3"/>
        </w:rPr>
        <w:t xml:space="preserve">economic issues. International </w:t>
      </w:r>
      <w:r>
        <w:t xml:space="preserve">institutions from such as </w:t>
      </w:r>
      <w:r>
        <w:rPr>
          <w:spacing w:val="-3"/>
        </w:rPr>
        <w:t xml:space="preserve">European Environment </w:t>
      </w:r>
      <w:r>
        <w:t xml:space="preserve">Agency </w:t>
      </w:r>
      <w:r>
        <w:rPr>
          <w:spacing w:val="-3"/>
        </w:rPr>
        <w:t xml:space="preserve">have collected and published energy-related </w:t>
      </w:r>
      <w:r>
        <w:t xml:space="preserve">data </w:t>
      </w:r>
      <w:r>
        <w:rPr>
          <w:spacing w:val="-3"/>
        </w:rPr>
        <w:t xml:space="preserve">regularly. </w:t>
      </w:r>
      <w:r>
        <w:t xml:space="preserve">Also, </w:t>
      </w:r>
      <w:r>
        <w:rPr>
          <w:spacing w:val="-3"/>
        </w:rPr>
        <w:t xml:space="preserve">British Petroleum </w:t>
      </w:r>
      <w:r>
        <w:t xml:space="preserve">(BP) </w:t>
      </w:r>
      <w:r>
        <w:rPr>
          <w:spacing w:val="-3"/>
        </w:rPr>
        <w:t xml:space="preserve">since 1951 </w:t>
      </w:r>
      <w:r>
        <w:t xml:space="preserve">has significantly </w:t>
      </w:r>
      <w:r>
        <w:rPr>
          <w:spacing w:val="-3"/>
        </w:rPr>
        <w:t xml:space="preserve">contributed </w:t>
      </w:r>
      <w:r>
        <w:t xml:space="preserve">to data </w:t>
      </w:r>
      <w:r>
        <w:rPr>
          <w:spacing w:val="-3"/>
        </w:rPr>
        <w:t>collection and publishing efforts.</w:t>
      </w:r>
    </w:p>
    <w:p w:rsidR="00F3177F" w:rsidRDefault="00F3177F">
      <w:pPr>
        <w:pStyle w:val="BodyText"/>
      </w:pPr>
    </w:p>
    <w:p w:rsidR="00F3177F" w:rsidRDefault="0089671D">
      <w:pPr>
        <w:pStyle w:val="BodyText"/>
        <w:spacing w:before="143" w:line="360" w:lineRule="auto"/>
        <w:ind w:left="584" w:right="113"/>
        <w:jc w:val="both"/>
      </w:pPr>
      <w:r>
        <w:t xml:space="preserve">Energy management as a </w:t>
      </w:r>
      <w:r>
        <w:rPr>
          <w:spacing w:val="-3"/>
        </w:rPr>
        <w:t xml:space="preserve">crucial concept </w:t>
      </w:r>
      <w:r>
        <w:t xml:space="preserve">and practice </w:t>
      </w:r>
      <w:r>
        <w:rPr>
          <w:spacing w:val="-3"/>
        </w:rPr>
        <w:t xml:space="preserve">also plays </w:t>
      </w:r>
      <w:r>
        <w:t xml:space="preserve">a </w:t>
      </w:r>
      <w:r>
        <w:rPr>
          <w:spacing w:val="-3"/>
        </w:rPr>
        <w:t xml:space="preserve">significant role </w:t>
      </w:r>
      <w:r>
        <w:t xml:space="preserve">to save energy </w:t>
      </w:r>
      <w:r>
        <w:rPr>
          <w:spacing w:val="-3"/>
        </w:rPr>
        <w:t xml:space="preserve">and </w:t>
      </w:r>
      <w:r>
        <w:t xml:space="preserve">improve energy </w:t>
      </w:r>
      <w:r>
        <w:rPr>
          <w:spacing w:val="-3"/>
        </w:rPr>
        <w:t xml:space="preserve">efficiency. </w:t>
      </w:r>
      <w:r>
        <w:t xml:space="preserve">Sri Lanka </w:t>
      </w:r>
      <w:r>
        <w:rPr>
          <w:spacing w:val="-3"/>
        </w:rPr>
        <w:t xml:space="preserve">Sustainable </w:t>
      </w:r>
      <w:r>
        <w:t xml:space="preserve">Energy Authority </w:t>
      </w:r>
      <w:r>
        <w:rPr>
          <w:spacing w:val="-3"/>
        </w:rPr>
        <w:t xml:space="preserve">(2012) summarizes </w:t>
      </w:r>
      <w:r>
        <w:t xml:space="preserve">energy management </w:t>
      </w:r>
      <w:r>
        <w:rPr>
          <w:spacing w:val="-3"/>
        </w:rPr>
        <w:t xml:space="preserve">processes </w:t>
      </w:r>
      <w:r>
        <w:t xml:space="preserve">as </w:t>
      </w:r>
      <w:r>
        <w:rPr>
          <w:spacing w:val="-3"/>
        </w:rPr>
        <w:t xml:space="preserve">gathering </w:t>
      </w:r>
      <w:r>
        <w:t xml:space="preserve">the data, finding </w:t>
      </w:r>
      <w:r>
        <w:rPr>
          <w:spacing w:val="-3"/>
        </w:rPr>
        <w:t xml:space="preserve">opportunities and </w:t>
      </w:r>
      <w:r>
        <w:t xml:space="preserve">their </w:t>
      </w:r>
      <w:r>
        <w:rPr>
          <w:spacing w:val="-3"/>
        </w:rPr>
        <w:t xml:space="preserve">potential </w:t>
      </w:r>
      <w:r>
        <w:t xml:space="preserve">savings, taking </w:t>
      </w:r>
      <w:r>
        <w:rPr>
          <w:spacing w:val="-3"/>
        </w:rPr>
        <w:t xml:space="preserve">measures </w:t>
      </w:r>
      <w:r>
        <w:t xml:space="preserve">and </w:t>
      </w:r>
      <w:r>
        <w:rPr>
          <w:spacing w:val="-3"/>
        </w:rPr>
        <w:t xml:space="preserve">evaluating </w:t>
      </w:r>
      <w:r>
        <w:t xml:space="preserve">outcomes. After fulfilling the </w:t>
      </w:r>
      <w:r>
        <w:rPr>
          <w:spacing w:val="-3"/>
        </w:rPr>
        <w:t xml:space="preserve">last </w:t>
      </w:r>
      <w:r>
        <w:t xml:space="preserve">step, a </w:t>
      </w:r>
      <w:r>
        <w:rPr>
          <w:spacing w:val="-3"/>
        </w:rPr>
        <w:t xml:space="preserve">continual repetition from step </w:t>
      </w:r>
      <w:r>
        <w:t xml:space="preserve">one should be </w:t>
      </w:r>
      <w:r>
        <w:rPr>
          <w:spacing w:val="-3"/>
        </w:rPr>
        <w:t>applied.</w:t>
      </w:r>
    </w:p>
    <w:p w:rsidR="00F3177F" w:rsidRDefault="00F3177F">
      <w:pPr>
        <w:pStyle w:val="BodyText"/>
      </w:pPr>
    </w:p>
    <w:p w:rsidR="00F3177F" w:rsidRDefault="0089671D">
      <w:pPr>
        <w:pStyle w:val="BodyText"/>
        <w:spacing w:before="143" w:line="360" w:lineRule="auto"/>
        <w:ind w:left="584" w:right="116"/>
        <w:jc w:val="both"/>
      </w:pPr>
      <w:r>
        <w:t>A repetitive energy consumption survey along with a well-organized data collection and tracking form is essential for any organization to build a baseline, concentrate over- energy-consuming functions to take appropriate measures and take proper management decisions. Meticulous work on energy bills/meters and comparing energy bills/meters with similar structures are also useful steps to identify what malfunctions. It is clear that collection and analyses of energy data play a vital role on energy management as well.</w:t>
      </w:r>
    </w:p>
    <w:p w:rsidR="00F3177F" w:rsidRDefault="00F3177F">
      <w:pPr>
        <w:pStyle w:val="BodyText"/>
      </w:pPr>
    </w:p>
    <w:p w:rsidR="00F3177F" w:rsidRDefault="0089671D">
      <w:pPr>
        <w:pStyle w:val="BodyText"/>
        <w:spacing w:before="143" w:line="360" w:lineRule="auto"/>
        <w:ind w:left="584" w:right="115"/>
        <w:jc w:val="both"/>
      </w:pPr>
      <w:r>
        <w:t xml:space="preserve">However, data on building energy consumptions are not sufficient enough since </w:t>
      </w:r>
      <w:proofErr w:type="gramStart"/>
      <w:r>
        <w:t>types</w:t>
      </w:r>
      <w:r w:rsidR="0039795E">
        <w:t xml:space="preserve">  </w:t>
      </w:r>
      <w:r>
        <w:t>of</w:t>
      </w:r>
      <w:proofErr w:type="gramEnd"/>
      <w:r>
        <w:t xml:space="preserve"> buildings and activities taken place in them greatly vary. Green Building Council (2011) states that it is impossible to cut energy use lacking good data. Data/Information on real-time performance will reveal differences between the actual performance and design, and later on the building energy certificate. Energy efficiency as a means of closing the breach between the theory and real-time performance gains great importance as the rich and cheap resources of oil may be coming to an end while industrial developments rely on oil. Information, specifically the one that compares the real-time and design/predicted performances in repeated cycle of regathering, will be useful for designers, city planners</w:t>
      </w:r>
      <w:proofErr w:type="gramStart"/>
      <w:r>
        <w:t>,  owners</w:t>
      </w:r>
      <w:proofErr w:type="gramEnd"/>
      <w:r>
        <w:t xml:space="preserve">, analyzers, policymakers  and </w:t>
      </w:r>
      <w:r>
        <w:rPr>
          <w:spacing w:val="20"/>
        </w:rPr>
        <w:t xml:space="preserve"> </w:t>
      </w:r>
      <w:r>
        <w:t>academicians/scientists.</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3"/>
        <w:jc w:val="both"/>
      </w:pPr>
      <w:r>
        <w:lastRenderedPageBreak/>
        <w:t>Additionally, building energy information is becoming compulsory for municipalities and local authorities due to new legislations and laws to increase energy efficiency and reduce CO</w:t>
      </w:r>
      <w:r>
        <w:rPr>
          <w:position w:val="-2"/>
          <w:sz w:val="16"/>
        </w:rPr>
        <w:t xml:space="preserve">2 </w:t>
      </w:r>
      <w:r>
        <w:t>emission. Building energy information can also be beneficial even without labeling procedures. Information on building energy performance allows users, owners and most importantly designers to compare similar buildings with more and less energy efficient buildings to improve building energy designs and develop better building energy policies. The building stock in hand should be analyzed well to build energy policies, building energy labeling standards and building energy certificates. However, collecting statistically sufficient and valuable information requires great workload by</w:t>
      </w:r>
      <w:r w:rsidR="0039795E">
        <w:t xml:space="preserve"> </w:t>
      </w:r>
      <w:r>
        <w:t>the whole stakeholders associated with construction practice and the collected information should be tested, regulated and analyzed before making use of it. The criteria on collection, verification, regulation and analysis of the information may need reshaping to improve users’ comfort and health conditions, energy efficiency and cost effectivity. Building energy efficiency and performance cannot be improved without sufficient information since owners and users should be certain about cost-effective investments. Moreover, building energy information, specifically building energy labels and certificates allow buyers, sellers and tenants to compare the building with similar but more energy effective</w:t>
      </w:r>
      <w:r>
        <w:rPr>
          <w:spacing w:val="-7"/>
        </w:rPr>
        <w:t xml:space="preserve"> </w:t>
      </w:r>
      <w:r>
        <w:t>ones.</w:t>
      </w:r>
    </w:p>
    <w:p w:rsidR="00F3177F" w:rsidRDefault="00F3177F">
      <w:pPr>
        <w:pStyle w:val="BodyText"/>
      </w:pPr>
    </w:p>
    <w:p w:rsidR="00F3177F" w:rsidRDefault="0089671D">
      <w:pPr>
        <w:pStyle w:val="BodyText"/>
        <w:spacing w:before="143" w:line="360" w:lineRule="auto"/>
        <w:ind w:left="584" w:right="112"/>
        <w:jc w:val="both"/>
      </w:pPr>
      <w:r>
        <w:t xml:space="preserve">Energy </w:t>
      </w:r>
      <w:r>
        <w:rPr>
          <w:spacing w:val="-3"/>
        </w:rPr>
        <w:t xml:space="preserve">consumption </w:t>
      </w:r>
      <w:r>
        <w:t xml:space="preserve">is also </w:t>
      </w:r>
      <w:r>
        <w:rPr>
          <w:spacing w:val="-3"/>
        </w:rPr>
        <w:t xml:space="preserve">meaningful </w:t>
      </w:r>
      <w:r>
        <w:t xml:space="preserve">from the </w:t>
      </w:r>
      <w:r>
        <w:rPr>
          <w:spacing w:val="-3"/>
        </w:rPr>
        <w:t xml:space="preserve">point </w:t>
      </w:r>
      <w:r>
        <w:t xml:space="preserve">of economic growth. </w:t>
      </w:r>
      <w:r>
        <w:rPr>
          <w:spacing w:val="-3"/>
        </w:rPr>
        <w:t xml:space="preserve">In </w:t>
      </w:r>
      <w:r>
        <w:t xml:space="preserve">spite of the </w:t>
      </w:r>
      <w:r>
        <w:rPr>
          <w:spacing w:val="-3"/>
        </w:rPr>
        <w:t xml:space="preserve">fact </w:t>
      </w:r>
      <w:r>
        <w:t xml:space="preserve">that whether </w:t>
      </w:r>
      <w:r>
        <w:rPr>
          <w:spacing w:val="-3"/>
        </w:rPr>
        <w:t xml:space="preserve">economic output increases </w:t>
      </w:r>
      <w:r>
        <w:t xml:space="preserve">energy </w:t>
      </w:r>
      <w:r>
        <w:rPr>
          <w:spacing w:val="-3"/>
        </w:rPr>
        <w:t xml:space="preserve">consumption </w:t>
      </w:r>
      <w:r>
        <w:t xml:space="preserve">or vice versa is not </w:t>
      </w:r>
      <w:r>
        <w:rPr>
          <w:spacing w:val="-3"/>
        </w:rPr>
        <w:t xml:space="preserve">certain, researches </w:t>
      </w:r>
      <w:r>
        <w:t xml:space="preserve">show that these two </w:t>
      </w:r>
      <w:r>
        <w:rPr>
          <w:spacing w:val="-3"/>
        </w:rPr>
        <w:t xml:space="preserve">concepts </w:t>
      </w:r>
      <w:r>
        <w:t xml:space="preserve">are related </w:t>
      </w:r>
      <w:r>
        <w:rPr>
          <w:spacing w:val="-3"/>
        </w:rPr>
        <w:t xml:space="preserve">(Ozturk, </w:t>
      </w:r>
      <w:r>
        <w:t xml:space="preserve">2010; </w:t>
      </w:r>
      <w:r>
        <w:rPr>
          <w:spacing w:val="-3"/>
        </w:rPr>
        <w:t xml:space="preserve">Payne, 2010). </w:t>
      </w:r>
      <w:r>
        <w:t xml:space="preserve">A </w:t>
      </w:r>
      <w:r>
        <w:rPr>
          <w:spacing w:val="-3"/>
        </w:rPr>
        <w:t xml:space="preserve">production function </w:t>
      </w:r>
      <w:r>
        <w:t xml:space="preserve">depicts how economic inputs are </w:t>
      </w:r>
      <w:r>
        <w:rPr>
          <w:spacing w:val="-3"/>
        </w:rPr>
        <w:t xml:space="preserve">converted </w:t>
      </w:r>
      <w:r>
        <w:t xml:space="preserve">into economic </w:t>
      </w:r>
      <w:r>
        <w:rPr>
          <w:spacing w:val="-3"/>
        </w:rPr>
        <w:t xml:space="preserve">outputs and </w:t>
      </w:r>
      <w:r>
        <w:t xml:space="preserve">energy is one of those </w:t>
      </w:r>
      <w:r>
        <w:rPr>
          <w:spacing w:val="-3"/>
        </w:rPr>
        <w:t xml:space="preserve">inputs. </w:t>
      </w:r>
      <w:r>
        <w:t xml:space="preserve">Changes among inputs, types of energy as an input </w:t>
      </w:r>
      <w:r>
        <w:rPr>
          <w:spacing w:val="-3"/>
        </w:rPr>
        <w:t xml:space="preserve">and/or </w:t>
      </w:r>
      <w:r>
        <w:t xml:space="preserve">output, </w:t>
      </w:r>
      <w:r>
        <w:rPr>
          <w:spacing w:val="-3"/>
        </w:rPr>
        <w:t xml:space="preserve">type </w:t>
      </w:r>
      <w:r>
        <w:t xml:space="preserve">of output </w:t>
      </w:r>
      <w:r>
        <w:rPr>
          <w:spacing w:val="-3"/>
        </w:rPr>
        <w:t xml:space="preserve">such </w:t>
      </w:r>
      <w:r>
        <w:t xml:space="preserve">as </w:t>
      </w:r>
      <w:r>
        <w:rPr>
          <w:spacing w:val="-3"/>
        </w:rPr>
        <w:t xml:space="preserve">services </w:t>
      </w:r>
      <w:r>
        <w:t xml:space="preserve">and </w:t>
      </w:r>
      <w:r>
        <w:rPr>
          <w:spacing w:val="-3"/>
        </w:rPr>
        <w:t xml:space="preserve">manufactured goods, </w:t>
      </w:r>
      <w:r>
        <w:t xml:space="preserve">type of economy </w:t>
      </w:r>
      <w:r>
        <w:rPr>
          <w:spacing w:val="-3"/>
        </w:rPr>
        <w:t xml:space="preserve">such </w:t>
      </w:r>
      <w:r>
        <w:t xml:space="preserve">as labor or capital-intensive can vary the </w:t>
      </w:r>
      <w:r>
        <w:rPr>
          <w:spacing w:val="-3"/>
        </w:rPr>
        <w:t xml:space="preserve">effect </w:t>
      </w:r>
      <w:r>
        <w:t xml:space="preserve">of energy on economic </w:t>
      </w:r>
      <w:r>
        <w:rPr>
          <w:spacing w:val="-3"/>
        </w:rPr>
        <w:t xml:space="preserve">success </w:t>
      </w:r>
      <w:r>
        <w:t xml:space="preserve">or </w:t>
      </w:r>
      <w:r>
        <w:rPr>
          <w:spacing w:val="-3"/>
        </w:rPr>
        <w:t xml:space="preserve">growth. </w:t>
      </w:r>
      <w:r>
        <w:t xml:space="preserve">For instance, outputs as services require </w:t>
      </w:r>
      <w:r>
        <w:rPr>
          <w:spacing w:val="-3"/>
        </w:rPr>
        <w:t xml:space="preserve">more </w:t>
      </w:r>
      <w:r>
        <w:t xml:space="preserve">energy for each unit of output. Judson et </w:t>
      </w:r>
      <w:r>
        <w:rPr>
          <w:spacing w:val="-2"/>
        </w:rPr>
        <w:t xml:space="preserve">al. </w:t>
      </w:r>
      <w:r>
        <w:rPr>
          <w:spacing w:val="-3"/>
        </w:rPr>
        <w:t xml:space="preserve">(1999) agree that time-effects </w:t>
      </w:r>
      <w:r>
        <w:t xml:space="preserve">show that energy </w:t>
      </w:r>
      <w:r>
        <w:rPr>
          <w:spacing w:val="-3"/>
        </w:rPr>
        <w:t xml:space="preserve">consumption </w:t>
      </w:r>
      <w:r>
        <w:t xml:space="preserve">in industry </w:t>
      </w:r>
      <w:r>
        <w:rPr>
          <w:spacing w:val="-3"/>
        </w:rPr>
        <w:t xml:space="preserve">and </w:t>
      </w:r>
      <w:proofErr w:type="gramStart"/>
      <w:r>
        <w:rPr>
          <w:spacing w:val="-3"/>
        </w:rPr>
        <w:t xml:space="preserve">construction  </w:t>
      </w:r>
      <w:r>
        <w:t>is</w:t>
      </w:r>
      <w:proofErr w:type="gramEnd"/>
      <w:r>
        <w:t xml:space="preserve"> staying the same, </w:t>
      </w:r>
      <w:r>
        <w:rPr>
          <w:spacing w:val="-3"/>
        </w:rPr>
        <w:t xml:space="preserve">even  </w:t>
      </w:r>
      <w:r>
        <w:t xml:space="preserve">lessening. </w:t>
      </w:r>
      <w:r>
        <w:rPr>
          <w:spacing w:val="-3"/>
        </w:rPr>
        <w:t>Thus</w:t>
      </w:r>
      <w:proofErr w:type="gramStart"/>
      <w:r>
        <w:rPr>
          <w:spacing w:val="-3"/>
        </w:rPr>
        <w:t xml:space="preserve">,  </w:t>
      </w:r>
      <w:r>
        <w:t>the</w:t>
      </w:r>
      <w:proofErr w:type="gramEnd"/>
      <w:r>
        <w:t xml:space="preserve"> </w:t>
      </w:r>
      <w:r>
        <w:rPr>
          <w:spacing w:val="-3"/>
        </w:rPr>
        <w:t xml:space="preserve">correlation  </w:t>
      </w:r>
      <w:r>
        <w:rPr>
          <w:spacing w:val="-2"/>
        </w:rPr>
        <w:t xml:space="preserve">between  </w:t>
      </w:r>
      <w:r>
        <w:t>energy</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6"/>
        <w:jc w:val="both"/>
      </w:pPr>
      <w:proofErr w:type="gramStart"/>
      <w:r>
        <w:rPr>
          <w:spacing w:val="-3"/>
        </w:rPr>
        <w:lastRenderedPageBreak/>
        <w:t>and</w:t>
      </w:r>
      <w:proofErr w:type="gramEnd"/>
      <w:r>
        <w:rPr>
          <w:spacing w:val="-3"/>
        </w:rPr>
        <w:t xml:space="preserve"> economic growth </w:t>
      </w:r>
      <w:r>
        <w:t xml:space="preserve">strongly </w:t>
      </w:r>
      <w:r>
        <w:rPr>
          <w:spacing w:val="-3"/>
        </w:rPr>
        <w:t xml:space="preserve">depends </w:t>
      </w:r>
      <w:r>
        <w:t xml:space="preserve">on </w:t>
      </w:r>
      <w:r>
        <w:rPr>
          <w:spacing w:val="-3"/>
        </w:rPr>
        <w:t xml:space="preserve">interaction </w:t>
      </w:r>
      <w:r>
        <w:rPr>
          <w:spacing w:val="-2"/>
        </w:rPr>
        <w:t xml:space="preserve">between </w:t>
      </w:r>
      <w:r>
        <w:t xml:space="preserve">the use of energy and </w:t>
      </w:r>
      <w:r>
        <w:rPr>
          <w:spacing w:val="-3"/>
        </w:rPr>
        <w:t xml:space="preserve">production. Additionally, </w:t>
      </w:r>
      <w:r>
        <w:t xml:space="preserve">having taken into </w:t>
      </w:r>
      <w:r>
        <w:rPr>
          <w:spacing w:val="-3"/>
        </w:rPr>
        <w:t xml:space="preserve">account that </w:t>
      </w:r>
      <w:r>
        <w:t xml:space="preserve">40% of </w:t>
      </w:r>
      <w:r>
        <w:rPr>
          <w:spacing w:val="-2"/>
        </w:rPr>
        <w:t xml:space="preserve">all </w:t>
      </w:r>
      <w:r>
        <w:t xml:space="preserve">the energy </w:t>
      </w:r>
      <w:r>
        <w:rPr>
          <w:spacing w:val="-3"/>
        </w:rPr>
        <w:t xml:space="preserve">produced </w:t>
      </w:r>
      <w:r>
        <w:t xml:space="preserve">is </w:t>
      </w:r>
      <w:r>
        <w:rPr>
          <w:spacing w:val="-3"/>
        </w:rPr>
        <w:t xml:space="preserve">spent </w:t>
      </w:r>
      <w:r>
        <w:t xml:space="preserve">in </w:t>
      </w:r>
      <w:r>
        <w:rPr>
          <w:spacing w:val="-3"/>
        </w:rPr>
        <w:t xml:space="preserve">non-industrial buildings (European Commission, n.d.) </w:t>
      </w:r>
      <w:r>
        <w:t xml:space="preserve">and the </w:t>
      </w:r>
      <w:r>
        <w:rPr>
          <w:spacing w:val="-3"/>
        </w:rPr>
        <w:t xml:space="preserve">world’s population </w:t>
      </w:r>
      <w:r>
        <w:t xml:space="preserve">keeps </w:t>
      </w:r>
      <w:r>
        <w:rPr>
          <w:spacing w:val="-3"/>
        </w:rPr>
        <w:t xml:space="preserve">growing, </w:t>
      </w:r>
      <w:r>
        <w:t xml:space="preserve">it is </w:t>
      </w:r>
      <w:r>
        <w:rPr>
          <w:spacing w:val="-3"/>
        </w:rPr>
        <w:t xml:space="preserve">possible that </w:t>
      </w:r>
      <w:r>
        <w:t xml:space="preserve">energy </w:t>
      </w:r>
      <w:r>
        <w:rPr>
          <w:spacing w:val="-3"/>
        </w:rPr>
        <w:t xml:space="preserve">consumption and economic growth </w:t>
      </w:r>
      <w:r>
        <w:t xml:space="preserve">may not </w:t>
      </w:r>
      <w:r>
        <w:rPr>
          <w:spacing w:val="-3"/>
        </w:rPr>
        <w:t xml:space="preserve">follow parallel paths. However, </w:t>
      </w:r>
      <w:r>
        <w:t xml:space="preserve">it </w:t>
      </w:r>
      <w:r>
        <w:rPr>
          <w:spacing w:val="-3"/>
        </w:rPr>
        <w:t xml:space="preserve">was calculated that </w:t>
      </w:r>
      <w:r>
        <w:t xml:space="preserve">USD 1 trillion </w:t>
      </w:r>
      <w:r>
        <w:rPr>
          <w:spacing w:val="-3"/>
        </w:rPr>
        <w:t xml:space="preserve">could </w:t>
      </w:r>
      <w:r>
        <w:t xml:space="preserve">be </w:t>
      </w:r>
      <w:r>
        <w:rPr>
          <w:spacing w:val="-3"/>
        </w:rPr>
        <w:t xml:space="preserve">saved </w:t>
      </w:r>
      <w:r>
        <w:t xml:space="preserve">only by immediately </w:t>
      </w:r>
      <w:r>
        <w:rPr>
          <w:spacing w:val="-3"/>
        </w:rPr>
        <w:t xml:space="preserve">and </w:t>
      </w:r>
      <w:r>
        <w:t xml:space="preserve">globally implementing the 25 Energy Efficiency Policy </w:t>
      </w:r>
      <w:r>
        <w:rPr>
          <w:spacing w:val="-3"/>
        </w:rPr>
        <w:t xml:space="preserve">Recommendations </w:t>
      </w:r>
      <w:r>
        <w:t xml:space="preserve">by the </w:t>
      </w:r>
      <w:r>
        <w:rPr>
          <w:spacing w:val="-3"/>
        </w:rPr>
        <w:t xml:space="preserve">International </w:t>
      </w:r>
      <w:r>
        <w:t xml:space="preserve">Energy Agency </w:t>
      </w:r>
      <w:r>
        <w:rPr>
          <w:spacing w:val="-3"/>
        </w:rPr>
        <w:t>(Pasquier,</w:t>
      </w:r>
      <w:r>
        <w:rPr>
          <w:spacing w:val="-21"/>
        </w:rPr>
        <w:t xml:space="preserve"> </w:t>
      </w:r>
      <w:r>
        <w:rPr>
          <w:spacing w:val="-3"/>
        </w:rPr>
        <w:t>2013).</w:t>
      </w:r>
    </w:p>
    <w:p w:rsidR="00F3177F" w:rsidRDefault="00F3177F">
      <w:pPr>
        <w:pStyle w:val="BodyText"/>
      </w:pPr>
    </w:p>
    <w:p w:rsidR="00F3177F" w:rsidRDefault="0089671D">
      <w:pPr>
        <w:pStyle w:val="BodyText"/>
        <w:spacing w:before="143" w:line="360" w:lineRule="auto"/>
        <w:ind w:left="584" w:right="117"/>
        <w:jc w:val="both"/>
      </w:pPr>
      <w:r>
        <w:t>This research focuses on school figures as school type, students’ shift, building age, number of building floors and students, total building area, floor height, extra buildings, student density and fuel type that affect energy consumption.</w:t>
      </w:r>
    </w:p>
    <w:p w:rsidR="00F3177F" w:rsidRDefault="00F3177F">
      <w:pPr>
        <w:pStyle w:val="BodyText"/>
      </w:pPr>
    </w:p>
    <w:p w:rsidR="00F3177F" w:rsidRDefault="0089671D">
      <w:pPr>
        <w:pStyle w:val="BodyText"/>
        <w:spacing w:before="143" w:line="360" w:lineRule="auto"/>
        <w:ind w:left="584" w:right="117"/>
        <w:jc w:val="both"/>
      </w:pPr>
      <w:r>
        <w:t>Users’ including students’ health, well-being and comfort also play an important role in building energy consumption as building are places where people pass great amount of time. If better working environment or Indoor environmental conditions (IEC) enhances people’s “creativity, interaction and sharing of knowledge and ideas” (Pinder et al., 2009), it perfectly fits for educational facilities since their chief purposes are to share and distribute knowledge. As the notion of wellbeing is complicated to describe, it is wise to define it with environmental qualities. Therefore, educational buildings should offer physically and spiritually comfortable indoor environment for students to have better concentration for better outcomes. IECs mainly refer to thermal, air, acoustic and air comfort in buildings. Roelofsen (2002) states that thermal and air qualities are the most important ones and they are highly related. The reason for thermal comfort to collect more research attention (de Carvalho et al., 2013) can be that it affects building energy uses more than the others (Corgnati et al., 2009) and students’ and teachers’ performance (Lee et al., 2012).</w:t>
      </w:r>
    </w:p>
    <w:p w:rsidR="00F3177F" w:rsidRDefault="00F3177F">
      <w:pPr>
        <w:pStyle w:val="BodyText"/>
      </w:pPr>
    </w:p>
    <w:p w:rsidR="00F3177F" w:rsidRDefault="0089671D">
      <w:pPr>
        <w:pStyle w:val="BodyText"/>
        <w:spacing w:before="143" w:line="360" w:lineRule="auto"/>
        <w:ind w:left="584" w:right="114"/>
        <w:jc w:val="both"/>
      </w:pPr>
      <w:r>
        <w:t xml:space="preserve">Healthier indoor </w:t>
      </w:r>
      <w:r>
        <w:rPr>
          <w:spacing w:val="-3"/>
        </w:rPr>
        <w:t xml:space="preserve">environmental </w:t>
      </w:r>
      <w:r>
        <w:t xml:space="preserve">qualities can </w:t>
      </w:r>
      <w:r>
        <w:rPr>
          <w:spacing w:val="-3"/>
        </w:rPr>
        <w:t xml:space="preserve">enhance </w:t>
      </w:r>
      <w:r>
        <w:t xml:space="preserve">students’ learning </w:t>
      </w:r>
      <w:r>
        <w:rPr>
          <w:spacing w:val="-3"/>
        </w:rPr>
        <w:t xml:space="preserve">practice </w:t>
      </w:r>
      <w:r>
        <w:t xml:space="preserve">while </w:t>
      </w:r>
      <w:r>
        <w:rPr>
          <w:spacing w:val="-3"/>
        </w:rPr>
        <w:t xml:space="preserve">lessening </w:t>
      </w:r>
      <w:r>
        <w:t xml:space="preserve">building </w:t>
      </w:r>
      <w:r>
        <w:rPr>
          <w:spacing w:val="-2"/>
        </w:rPr>
        <w:t xml:space="preserve">energy </w:t>
      </w:r>
      <w:r>
        <w:rPr>
          <w:spacing w:val="-3"/>
        </w:rPr>
        <w:t xml:space="preserve">consumption </w:t>
      </w:r>
      <w:r>
        <w:t xml:space="preserve">(the </w:t>
      </w:r>
      <w:r>
        <w:rPr>
          <w:spacing w:val="-3"/>
        </w:rPr>
        <w:t xml:space="preserve">American </w:t>
      </w:r>
      <w:r>
        <w:t xml:space="preserve">Society of Heating,   </w:t>
      </w:r>
      <w:r>
        <w:rPr>
          <w:spacing w:val="-3"/>
        </w:rPr>
        <w:t>Refrigeration</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57" w:lineRule="auto"/>
        <w:ind w:left="584" w:right="112"/>
        <w:jc w:val="both"/>
      </w:pPr>
      <w:proofErr w:type="gramStart"/>
      <w:r>
        <w:rPr>
          <w:spacing w:val="-3"/>
        </w:rPr>
        <w:lastRenderedPageBreak/>
        <w:t>and</w:t>
      </w:r>
      <w:proofErr w:type="gramEnd"/>
      <w:r>
        <w:rPr>
          <w:spacing w:val="-3"/>
        </w:rPr>
        <w:t xml:space="preserve"> </w:t>
      </w:r>
      <w:r>
        <w:t xml:space="preserve">Air Conditioning </w:t>
      </w:r>
      <w:r>
        <w:rPr>
          <w:spacing w:val="-3"/>
        </w:rPr>
        <w:t xml:space="preserve">Engineers </w:t>
      </w:r>
      <w:r>
        <w:t xml:space="preserve">- ASHRAE, </w:t>
      </w:r>
      <w:r>
        <w:rPr>
          <w:spacing w:val="-3"/>
        </w:rPr>
        <w:t xml:space="preserve">2008). Lack </w:t>
      </w:r>
      <w:r>
        <w:t xml:space="preserve">of any of these </w:t>
      </w:r>
      <w:r>
        <w:rPr>
          <w:spacing w:val="-3"/>
        </w:rPr>
        <w:t xml:space="preserve">qualities </w:t>
      </w:r>
      <w:r>
        <w:t xml:space="preserve">can </w:t>
      </w:r>
      <w:r>
        <w:rPr>
          <w:spacing w:val="-3"/>
        </w:rPr>
        <w:t xml:space="preserve">lead </w:t>
      </w:r>
      <w:r>
        <w:t xml:space="preserve">to sick building syndrome </w:t>
      </w:r>
      <w:r>
        <w:rPr>
          <w:spacing w:val="-3"/>
        </w:rPr>
        <w:t xml:space="preserve">(Bluyssen </w:t>
      </w:r>
      <w:r>
        <w:t xml:space="preserve">et al., </w:t>
      </w:r>
      <w:r>
        <w:rPr>
          <w:spacing w:val="-3"/>
        </w:rPr>
        <w:t xml:space="preserve">2011). School activities </w:t>
      </w:r>
      <w:r>
        <w:t xml:space="preserve">mostly </w:t>
      </w:r>
      <w:r>
        <w:rPr>
          <w:spacing w:val="-3"/>
        </w:rPr>
        <w:t xml:space="preserve">demand mental </w:t>
      </w:r>
      <w:r>
        <w:t xml:space="preserve">stability and students may </w:t>
      </w:r>
      <w:r>
        <w:rPr>
          <w:spacing w:val="-3"/>
        </w:rPr>
        <w:t xml:space="preserve">get </w:t>
      </w:r>
      <w:r>
        <w:t xml:space="preserve">mentally </w:t>
      </w:r>
      <w:r>
        <w:rPr>
          <w:spacing w:val="-3"/>
        </w:rPr>
        <w:t xml:space="preserve">exhausted </w:t>
      </w:r>
      <w:r>
        <w:t xml:space="preserve">during </w:t>
      </w:r>
      <w:r>
        <w:rPr>
          <w:spacing w:val="-3"/>
        </w:rPr>
        <w:t xml:space="preserve">activities. </w:t>
      </w:r>
      <w:r>
        <w:t xml:space="preserve">It is </w:t>
      </w:r>
      <w:r>
        <w:rPr>
          <w:spacing w:val="-3"/>
        </w:rPr>
        <w:t xml:space="preserve">clear </w:t>
      </w:r>
      <w:r>
        <w:t xml:space="preserve">that </w:t>
      </w:r>
      <w:r>
        <w:rPr>
          <w:spacing w:val="-3"/>
        </w:rPr>
        <w:t xml:space="preserve">unfavorable environmental conditions </w:t>
      </w:r>
      <w:r>
        <w:t xml:space="preserve">will not help </w:t>
      </w:r>
      <w:r>
        <w:rPr>
          <w:spacing w:val="-3"/>
        </w:rPr>
        <w:t xml:space="preserve">students </w:t>
      </w:r>
      <w:r>
        <w:t xml:space="preserve">to </w:t>
      </w:r>
      <w:r>
        <w:rPr>
          <w:spacing w:val="-3"/>
        </w:rPr>
        <w:t xml:space="preserve">refresh </w:t>
      </w:r>
      <w:proofErr w:type="gramStart"/>
      <w:r>
        <w:rPr>
          <w:spacing w:val="-3"/>
        </w:rPr>
        <w:t xml:space="preserve">their  </w:t>
      </w:r>
      <w:r>
        <w:rPr>
          <w:spacing w:val="-2"/>
        </w:rPr>
        <w:t>mental</w:t>
      </w:r>
      <w:proofErr w:type="gramEnd"/>
      <w:r>
        <w:rPr>
          <w:spacing w:val="56"/>
        </w:rPr>
        <w:t xml:space="preserve"> </w:t>
      </w:r>
      <w:r>
        <w:rPr>
          <w:spacing w:val="-3"/>
        </w:rPr>
        <w:t xml:space="preserve">power. However, </w:t>
      </w:r>
      <w:r>
        <w:t xml:space="preserve">studies on </w:t>
      </w:r>
      <w:r>
        <w:rPr>
          <w:spacing w:val="-3"/>
        </w:rPr>
        <w:t xml:space="preserve">school </w:t>
      </w:r>
      <w:r>
        <w:t xml:space="preserve">buildings’ environmental conditions are not </w:t>
      </w:r>
      <w:r>
        <w:rPr>
          <w:spacing w:val="-3"/>
        </w:rPr>
        <w:t xml:space="preserve">promising. </w:t>
      </w:r>
      <w:r>
        <w:t xml:space="preserve">For </w:t>
      </w:r>
      <w:r>
        <w:rPr>
          <w:spacing w:val="-3"/>
        </w:rPr>
        <w:t xml:space="preserve">instance, </w:t>
      </w:r>
      <w:r>
        <w:t xml:space="preserve">a </w:t>
      </w:r>
      <w:r>
        <w:rPr>
          <w:spacing w:val="-3"/>
        </w:rPr>
        <w:t xml:space="preserve">research </w:t>
      </w:r>
      <w:r>
        <w:t xml:space="preserve">on 66 </w:t>
      </w:r>
      <w:r>
        <w:rPr>
          <w:spacing w:val="-3"/>
        </w:rPr>
        <w:t xml:space="preserve">German schools released </w:t>
      </w:r>
      <w:r>
        <w:t>that CO</w:t>
      </w:r>
      <w:r>
        <w:rPr>
          <w:position w:val="-2"/>
          <w:sz w:val="16"/>
        </w:rPr>
        <w:t xml:space="preserve">2 </w:t>
      </w:r>
      <w:r>
        <w:rPr>
          <w:spacing w:val="-3"/>
        </w:rPr>
        <w:t xml:space="preserve">levels </w:t>
      </w:r>
      <w:r>
        <w:t xml:space="preserve">were very high </w:t>
      </w:r>
      <w:r>
        <w:rPr>
          <w:spacing w:val="-3"/>
        </w:rPr>
        <w:t xml:space="preserve">(Desideri </w:t>
      </w:r>
      <w:r>
        <w:t xml:space="preserve">&amp; </w:t>
      </w:r>
      <w:r>
        <w:rPr>
          <w:spacing w:val="-3"/>
        </w:rPr>
        <w:t xml:space="preserve">Proietti, 2002). </w:t>
      </w:r>
      <w:r>
        <w:t xml:space="preserve">A </w:t>
      </w:r>
      <w:r>
        <w:rPr>
          <w:spacing w:val="-3"/>
        </w:rPr>
        <w:t xml:space="preserve">random sampled research </w:t>
      </w:r>
      <w:r>
        <w:t xml:space="preserve">on 100 </w:t>
      </w:r>
      <w:r>
        <w:rPr>
          <w:spacing w:val="-3"/>
        </w:rPr>
        <w:t xml:space="preserve">schools </w:t>
      </w:r>
      <w:r>
        <w:t xml:space="preserve">in </w:t>
      </w:r>
      <w:r>
        <w:rPr>
          <w:spacing w:val="-3"/>
        </w:rPr>
        <w:t xml:space="preserve">Denmark </w:t>
      </w:r>
      <w:r>
        <w:t xml:space="preserve">in 2009 revealed </w:t>
      </w:r>
      <w:r>
        <w:rPr>
          <w:spacing w:val="-2"/>
        </w:rPr>
        <w:t xml:space="preserve">higher </w:t>
      </w:r>
      <w:r>
        <w:t xml:space="preserve">than the maximum </w:t>
      </w:r>
      <w:r>
        <w:rPr>
          <w:spacing w:val="-3"/>
        </w:rPr>
        <w:t xml:space="preserve">recommended </w:t>
      </w:r>
      <w:r>
        <w:t xml:space="preserve">level of </w:t>
      </w:r>
      <w:r>
        <w:rPr>
          <w:spacing w:val="-3"/>
        </w:rPr>
        <w:t xml:space="preserve">1000 </w:t>
      </w:r>
      <w:r>
        <w:t>ppm CO</w:t>
      </w:r>
      <w:r>
        <w:rPr>
          <w:position w:val="-2"/>
          <w:sz w:val="16"/>
        </w:rPr>
        <w:t xml:space="preserve">2 </w:t>
      </w:r>
      <w:r>
        <w:rPr>
          <w:spacing w:val="-3"/>
        </w:rPr>
        <w:t xml:space="preserve">concentration </w:t>
      </w:r>
      <w:r>
        <w:t xml:space="preserve">on </w:t>
      </w:r>
      <w:r>
        <w:rPr>
          <w:spacing w:val="-3"/>
        </w:rPr>
        <w:t xml:space="preserve">average </w:t>
      </w:r>
      <w:r>
        <w:t xml:space="preserve">while </w:t>
      </w:r>
      <w:r>
        <w:rPr>
          <w:spacing w:val="-3"/>
        </w:rPr>
        <w:t xml:space="preserve">students </w:t>
      </w:r>
      <w:r>
        <w:t xml:space="preserve">were having </w:t>
      </w:r>
      <w:r>
        <w:rPr>
          <w:spacing w:val="-3"/>
        </w:rPr>
        <w:t xml:space="preserve">lessons (Menå </w:t>
      </w:r>
      <w:r>
        <w:t xml:space="preserve">&amp;  </w:t>
      </w:r>
      <w:r>
        <w:rPr>
          <w:spacing w:val="-3"/>
        </w:rPr>
        <w:t xml:space="preserve">Larsen, 2010). In </w:t>
      </w:r>
      <w:r>
        <w:t xml:space="preserve">some </w:t>
      </w:r>
      <w:r>
        <w:rPr>
          <w:spacing w:val="-3"/>
        </w:rPr>
        <w:t xml:space="preserve">cases, </w:t>
      </w:r>
      <w:r>
        <w:t xml:space="preserve">air flow/supply </w:t>
      </w:r>
      <w:r>
        <w:rPr>
          <w:spacing w:val="-3"/>
        </w:rPr>
        <w:t xml:space="preserve">was </w:t>
      </w:r>
      <w:r>
        <w:t xml:space="preserve">lower than they </w:t>
      </w:r>
      <w:r>
        <w:rPr>
          <w:spacing w:val="-3"/>
        </w:rPr>
        <w:t xml:space="preserve">should </w:t>
      </w:r>
      <w:r>
        <w:t xml:space="preserve">be </w:t>
      </w:r>
      <w:r>
        <w:rPr>
          <w:spacing w:val="-3"/>
        </w:rPr>
        <w:t xml:space="preserve">(Pereira </w:t>
      </w:r>
      <w:r>
        <w:t xml:space="preserve">et </w:t>
      </w:r>
      <w:r>
        <w:rPr>
          <w:spacing w:val="-3"/>
        </w:rPr>
        <w:t>al.,</w:t>
      </w:r>
      <w:r>
        <w:rPr>
          <w:spacing w:val="-8"/>
        </w:rPr>
        <w:t xml:space="preserve"> </w:t>
      </w:r>
      <w:r>
        <w:t>2013)</w:t>
      </w:r>
    </w:p>
    <w:p w:rsidR="00F3177F" w:rsidRDefault="0089671D">
      <w:pPr>
        <w:pStyle w:val="BodyText"/>
        <w:spacing w:line="285" w:lineRule="exact"/>
        <w:ind w:left="584"/>
        <w:jc w:val="both"/>
      </w:pPr>
      <w:proofErr w:type="gramStart"/>
      <w:r>
        <w:t>and</w:t>
      </w:r>
      <w:proofErr w:type="gramEnd"/>
      <w:r>
        <w:t xml:space="preserve"> in some others the average indoor air temperature was 3-6 </w:t>
      </w:r>
      <w:r>
        <w:rPr>
          <w:position w:val="11"/>
          <w:sz w:val="16"/>
        </w:rPr>
        <w:t>O</w:t>
      </w:r>
      <w:r>
        <w:t>C higher than students</w:t>
      </w:r>
    </w:p>
    <w:p w:rsidR="00F3177F" w:rsidRDefault="0089671D">
      <w:pPr>
        <w:pStyle w:val="BodyText"/>
        <w:spacing w:before="137"/>
        <w:ind w:left="584"/>
        <w:jc w:val="both"/>
      </w:pPr>
      <w:proofErr w:type="gramStart"/>
      <w:r>
        <w:t>and</w:t>
      </w:r>
      <w:proofErr w:type="gramEnd"/>
      <w:r>
        <w:t xml:space="preserve"> teachers preferred (Larsen, 2011).</w:t>
      </w:r>
    </w:p>
    <w:p w:rsidR="00F3177F" w:rsidRDefault="00F3177F">
      <w:pPr>
        <w:pStyle w:val="BodyText"/>
      </w:pPr>
    </w:p>
    <w:p w:rsidR="00F3177F" w:rsidRDefault="00F3177F">
      <w:pPr>
        <w:pStyle w:val="BodyText"/>
      </w:pPr>
    </w:p>
    <w:p w:rsidR="00F3177F" w:rsidRDefault="0089671D" w:rsidP="003A6681">
      <w:pPr>
        <w:pStyle w:val="BodyText"/>
        <w:spacing w:line="350" w:lineRule="auto"/>
        <w:ind w:left="584" w:right="117"/>
        <w:jc w:val="both"/>
      </w:pPr>
      <w:r>
        <w:t xml:space="preserve">However, school energy consumption figures may change according to </w:t>
      </w:r>
      <w:proofErr w:type="gramStart"/>
      <w:r>
        <w:t>the  region</w:t>
      </w:r>
      <w:proofErr w:type="gramEnd"/>
      <w:r>
        <w:t xml:space="preserve"> where the school is located. For instance, the average energy consumption for 117 schools in the Province of Torino was calculated as 100 kWh/m</w:t>
      </w:r>
      <w:r>
        <w:rPr>
          <w:position w:val="11"/>
          <w:sz w:val="16"/>
        </w:rPr>
        <w:t xml:space="preserve">2 </w:t>
      </w:r>
      <w:r>
        <w:t>whereas it was 472 kWh/m</w:t>
      </w:r>
      <w:r>
        <w:rPr>
          <w:position w:val="11"/>
          <w:sz w:val="16"/>
        </w:rPr>
        <w:t xml:space="preserve">2 </w:t>
      </w:r>
      <w:r>
        <w:t>for Canada (Dascalaki &amp; Sermpetzoglou, 2011). There is also the other side of the story as Theodosiou and Ordoumpozanis, (2008) state that IEQ as a matter of students’ health is much more important than energy costs. As a result, all stakeholders who take part in education and building industry are to build a good balance between</w:t>
      </w:r>
      <w:r w:rsidR="003A6681">
        <w:t xml:space="preserve"> </w:t>
      </w:r>
      <w:r>
        <w:t>students’ comfort and energy consumption to improve building energy performance. Nevertheless, it is worth mentioning that building comfortable and healthy environment in schools does not depend on only energy but many other factors such as classroom student density, working/learning hours, design, location and structure of the school and the city to allow natural light, solar exposure and natural air ventilation, even building shadowing. From one point of view, studies on school indoor conditions can be divided into two categories as studies dealing with one aspect of indoor conditions and multi- aspect overall comfort perception (Pereira et al., 2014).</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Heading2"/>
        <w:numPr>
          <w:ilvl w:val="1"/>
          <w:numId w:val="42"/>
        </w:numPr>
        <w:tabs>
          <w:tab w:val="left" w:pos="1065"/>
        </w:tabs>
        <w:spacing w:before="39"/>
        <w:jc w:val="both"/>
      </w:pPr>
      <w:bookmarkStart w:id="15" w:name="_TOC_250017"/>
      <w:r>
        <w:lastRenderedPageBreak/>
        <w:t>Significance of the</w:t>
      </w:r>
      <w:r>
        <w:rPr>
          <w:spacing w:val="-7"/>
        </w:rPr>
        <w:t xml:space="preserve"> </w:t>
      </w:r>
      <w:bookmarkEnd w:id="15"/>
      <w:r>
        <w:t>Study</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57" w:lineRule="auto"/>
        <w:ind w:left="584" w:right="114"/>
        <w:jc w:val="both"/>
      </w:pPr>
      <w:r>
        <w:rPr>
          <w:spacing w:val="-3"/>
        </w:rPr>
        <w:t xml:space="preserve">Human </w:t>
      </w:r>
      <w:r>
        <w:rPr>
          <w:spacing w:val="-2"/>
        </w:rPr>
        <w:t xml:space="preserve">civilization </w:t>
      </w:r>
      <w:r>
        <w:t xml:space="preserve">still heavily depends on depleting </w:t>
      </w:r>
      <w:r>
        <w:rPr>
          <w:spacing w:val="-3"/>
        </w:rPr>
        <w:t xml:space="preserve">natural </w:t>
      </w:r>
      <w:r>
        <w:t xml:space="preserve">energy </w:t>
      </w:r>
      <w:r>
        <w:rPr>
          <w:spacing w:val="-3"/>
        </w:rPr>
        <w:t xml:space="preserve">resources, and buildings </w:t>
      </w:r>
      <w:r>
        <w:t xml:space="preserve">in European </w:t>
      </w:r>
      <w:r>
        <w:rPr>
          <w:spacing w:val="-3"/>
        </w:rPr>
        <w:t xml:space="preserve">Union </w:t>
      </w:r>
      <w:r>
        <w:t xml:space="preserve">count for the 40% of total energy </w:t>
      </w:r>
      <w:r>
        <w:rPr>
          <w:spacing w:val="-3"/>
        </w:rPr>
        <w:t xml:space="preserve">consumption and responsible </w:t>
      </w:r>
      <w:r>
        <w:t>for the 36% of CO</w:t>
      </w:r>
      <w:r>
        <w:rPr>
          <w:position w:val="-2"/>
          <w:sz w:val="16"/>
        </w:rPr>
        <w:t xml:space="preserve">2 </w:t>
      </w:r>
      <w:r>
        <w:rPr>
          <w:spacing w:val="-3"/>
        </w:rPr>
        <w:t xml:space="preserve">emissions </w:t>
      </w:r>
      <w:r>
        <w:t xml:space="preserve">in </w:t>
      </w:r>
      <w:r>
        <w:rPr>
          <w:spacing w:val="-3"/>
        </w:rPr>
        <w:t xml:space="preserve">Europe (Thewes </w:t>
      </w:r>
      <w:r>
        <w:rPr>
          <w:spacing w:val="-2"/>
        </w:rPr>
        <w:t xml:space="preserve">et. al, </w:t>
      </w:r>
      <w:r>
        <w:t xml:space="preserve">2014). </w:t>
      </w:r>
      <w:r>
        <w:rPr>
          <w:spacing w:val="-3"/>
        </w:rPr>
        <w:t xml:space="preserve">Department  for Children, </w:t>
      </w:r>
      <w:r>
        <w:t xml:space="preserve">Schools </w:t>
      </w:r>
      <w:r>
        <w:rPr>
          <w:spacing w:val="-3"/>
        </w:rPr>
        <w:t xml:space="preserve">and Families </w:t>
      </w:r>
      <w:r>
        <w:t xml:space="preserve">(2010) in the UK </w:t>
      </w:r>
      <w:r>
        <w:rPr>
          <w:spacing w:val="-2"/>
        </w:rPr>
        <w:t xml:space="preserve">states </w:t>
      </w:r>
      <w:r>
        <w:rPr>
          <w:spacing w:val="-3"/>
        </w:rPr>
        <w:t xml:space="preserve">that annual  </w:t>
      </w:r>
      <w:r>
        <w:t xml:space="preserve">energy </w:t>
      </w:r>
      <w:r>
        <w:rPr>
          <w:spacing w:val="-3"/>
        </w:rPr>
        <w:t xml:space="preserve">expenditure </w:t>
      </w:r>
      <w:r>
        <w:t xml:space="preserve">and </w:t>
      </w:r>
      <w:r>
        <w:rPr>
          <w:spacing w:val="-3"/>
        </w:rPr>
        <w:t xml:space="preserve">carbon </w:t>
      </w:r>
      <w:r>
        <w:t xml:space="preserve">emission of </w:t>
      </w:r>
      <w:r>
        <w:rPr>
          <w:spacing w:val="-3"/>
        </w:rPr>
        <w:t xml:space="preserve">schools </w:t>
      </w:r>
      <w:r>
        <w:t xml:space="preserve">in the UK are </w:t>
      </w:r>
      <w:r>
        <w:rPr>
          <w:spacing w:val="-3"/>
        </w:rPr>
        <w:t xml:space="preserve">equal </w:t>
      </w:r>
      <w:r>
        <w:t xml:space="preserve">to </w:t>
      </w:r>
      <w:r>
        <w:rPr>
          <w:spacing w:val="-3"/>
        </w:rPr>
        <w:t xml:space="preserve">around £400 </w:t>
      </w:r>
      <w:r>
        <w:t xml:space="preserve">million </w:t>
      </w:r>
      <w:r>
        <w:rPr>
          <w:spacing w:val="-3"/>
        </w:rPr>
        <w:t xml:space="preserve">and </w:t>
      </w:r>
      <w:r>
        <w:t xml:space="preserve">15% of public sector carbon emission. The figures are financially and </w:t>
      </w:r>
      <w:r>
        <w:rPr>
          <w:spacing w:val="-3"/>
        </w:rPr>
        <w:t xml:space="preserve">environmentally significant </w:t>
      </w:r>
      <w:r>
        <w:t xml:space="preserve">enough to </w:t>
      </w:r>
      <w:r>
        <w:rPr>
          <w:spacing w:val="-3"/>
        </w:rPr>
        <w:t xml:space="preserve">support efforts </w:t>
      </w:r>
      <w:r>
        <w:t xml:space="preserve">to </w:t>
      </w:r>
      <w:r>
        <w:rPr>
          <w:spacing w:val="-2"/>
        </w:rPr>
        <w:t xml:space="preserve">lessen </w:t>
      </w:r>
      <w:r>
        <w:rPr>
          <w:spacing w:val="-3"/>
        </w:rPr>
        <w:t xml:space="preserve">school </w:t>
      </w:r>
      <w:r>
        <w:t xml:space="preserve">energy </w:t>
      </w:r>
      <w:r>
        <w:rPr>
          <w:spacing w:val="-3"/>
        </w:rPr>
        <w:t xml:space="preserve">consumption </w:t>
      </w:r>
      <w:r>
        <w:t>and carbon</w:t>
      </w:r>
      <w:r>
        <w:rPr>
          <w:spacing w:val="-13"/>
        </w:rPr>
        <w:t xml:space="preserve"> </w:t>
      </w:r>
      <w:r>
        <w:rPr>
          <w:spacing w:val="-3"/>
        </w:rPr>
        <w:t>emission.</w:t>
      </w:r>
    </w:p>
    <w:p w:rsidR="00F3177F" w:rsidRDefault="00F3177F">
      <w:pPr>
        <w:pStyle w:val="BodyText"/>
      </w:pPr>
    </w:p>
    <w:p w:rsidR="00F3177F" w:rsidRDefault="0089671D" w:rsidP="003A6681">
      <w:pPr>
        <w:pStyle w:val="BodyText"/>
        <w:spacing w:before="146" w:line="360" w:lineRule="auto"/>
        <w:ind w:left="584" w:right="114"/>
        <w:jc w:val="both"/>
      </w:pPr>
      <w:r>
        <w:t>Energy consumption and students’ comfort levels are two interactive issues that should be balanced since students have no choice not to attend lessons or change their schools for a better one if there is. They more often have to learn and practice new things than adults who mostly carry out repetitive responsibilities. However, IEQ in elementary schools in technologically advanced nations are often considerably poorer than the ones in office buildings (Wargocki &amp; Wyon, 2013). However, there were few researches that look into the influence of high temperatures and poor air quality on children’s schoolwork performance before 2005 (Mendell &amp; Heath, 2013). Moreover, worldwide the average CO</w:t>
      </w:r>
      <w:r>
        <w:rPr>
          <w:position w:val="-2"/>
          <w:sz w:val="16"/>
        </w:rPr>
        <w:t xml:space="preserve">2 </w:t>
      </w:r>
      <w:r>
        <w:t xml:space="preserve">levels in mechanically ventilated schools were 500 ppm lower than naturally-ventilated ones except for other pollutants and bio effluents (Santamouris et al., 2008). Awareness of protective health care, work satisfaction and comfort, energy conservation and efficiency should be taught at early ages for more promising futures. Moreover, energy and education are two key concepts that can fundamentally affect future of countries and even humanity. The research of this dissertation deals with several school features that can affect school energy consumption as the first stage </w:t>
      </w:r>
      <w:proofErr w:type="gramStart"/>
      <w:r>
        <w:t>of  the</w:t>
      </w:r>
      <w:proofErr w:type="gramEnd"/>
      <w:r>
        <w:t xml:space="preserve"> dissertation. There are nine school features that the research deals and tries to find energy saving school features to reduce energy consumptions and carbon dioxide emissions. </w:t>
      </w:r>
      <w:r>
        <w:rPr>
          <w:spacing w:val="-3"/>
        </w:rPr>
        <w:t xml:space="preserve">It </w:t>
      </w:r>
      <w:r>
        <w:t>is the uniqueness of the dissertation that it looks into so many factors</w:t>
      </w:r>
      <w:r>
        <w:rPr>
          <w:spacing w:val="-3"/>
        </w:rPr>
        <w:t xml:space="preserve"> </w:t>
      </w:r>
      <w:r>
        <w:t>about</w:t>
      </w:r>
      <w:r w:rsidR="003A6681">
        <w:t xml:space="preserve"> </w:t>
      </w:r>
      <w:r>
        <w:lastRenderedPageBreak/>
        <w:t>school energy consumption. Also, although the research takes the state primary and secondary schools in Pristina Central Municipality (PCM) as the target research area, the comparative results with the state schools in Vushturi show that they can be applied in other cities of Kosovo or even in other countries if they are supported with further researches. The research results also indicate school energy consumption and CO</w:t>
      </w:r>
      <w:r>
        <w:rPr>
          <w:position w:val="-2"/>
          <w:sz w:val="16"/>
        </w:rPr>
        <w:t xml:space="preserve">2 </w:t>
      </w:r>
      <w:r>
        <w:t>emission averages can be drastically low if the right school features are chosen at the beginning. The results can guide even the existing schools with some minor</w:t>
      </w:r>
      <w:r>
        <w:rPr>
          <w:spacing w:val="-14"/>
        </w:rPr>
        <w:t xml:space="preserve"> </w:t>
      </w:r>
      <w:r>
        <w:t>changes.</w:t>
      </w:r>
    </w:p>
    <w:p w:rsidR="00F3177F" w:rsidRDefault="00F3177F">
      <w:pPr>
        <w:pStyle w:val="BodyText"/>
      </w:pPr>
    </w:p>
    <w:p w:rsidR="00F3177F" w:rsidRDefault="0089671D">
      <w:pPr>
        <w:pStyle w:val="BodyText"/>
        <w:spacing w:before="146" w:line="360" w:lineRule="auto"/>
        <w:ind w:left="584" w:right="115"/>
        <w:jc w:val="both"/>
      </w:pPr>
      <w:r>
        <w:t>The research compares students’ comfort levels between high and low energy consuming schools in the same municipality because low or high energy consumption figures are not very meaningful without occupants’ responses. Comparative results between meticulously detailed subcategories have been analyzed to provide stepping stones for school administrators and school designers to understand the differences between students’ comfort levels within subcategories. The research results indicate that a healthy school/classroom environment should not be aimed as only the average of a school/classroom but as equally distributed for every student sitting/studying</w:t>
      </w:r>
      <w:r w:rsidR="003A6681">
        <w:t xml:space="preserve"> </w:t>
      </w:r>
      <w:r>
        <w:t>at</w:t>
      </w:r>
      <w:r w:rsidR="003A6681">
        <w:t xml:space="preserve"> </w:t>
      </w:r>
      <w:r>
        <w:t>different locations of a school/classroom.</w:t>
      </w:r>
    </w:p>
    <w:p w:rsidR="00F3177F" w:rsidRDefault="00F3177F">
      <w:pPr>
        <w:pStyle w:val="BodyText"/>
      </w:pPr>
    </w:p>
    <w:p w:rsidR="00F3177F" w:rsidRDefault="00F3177F">
      <w:pPr>
        <w:pStyle w:val="BodyText"/>
        <w:spacing w:before="9"/>
      </w:pPr>
    </w:p>
    <w:p w:rsidR="00F3177F" w:rsidRDefault="0089671D">
      <w:pPr>
        <w:pStyle w:val="Heading2"/>
        <w:numPr>
          <w:ilvl w:val="1"/>
          <w:numId w:val="42"/>
        </w:numPr>
        <w:tabs>
          <w:tab w:val="left" w:pos="1065"/>
        </w:tabs>
        <w:jc w:val="both"/>
      </w:pPr>
      <w:bookmarkStart w:id="16" w:name="_TOC_250016"/>
      <w:r>
        <w:t>Purpose of the</w:t>
      </w:r>
      <w:r>
        <w:rPr>
          <w:spacing w:val="-7"/>
        </w:rPr>
        <w:t xml:space="preserve"> </w:t>
      </w:r>
      <w:bookmarkEnd w:id="16"/>
      <w:r>
        <w:t>Study</w:t>
      </w:r>
    </w:p>
    <w:p w:rsidR="00F3177F" w:rsidRDefault="00F3177F">
      <w:pPr>
        <w:pStyle w:val="BodyText"/>
        <w:rPr>
          <w:b/>
        </w:rPr>
      </w:pPr>
    </w:p>
    <w:p w:rsidR="00F3177F" w:rsidRDefault="00F3177F">
      <w:pPr>
        <w:pStyle w:val="BodyText"/>
        <w:spacing w:before="6"/>
        <w:rPr>
          <w:b/>
          <w:sz w:val="23"/>
        </w:rPr>
      </w:pPr>
    </w:p>
    <w:p w:rsidR="00F3177F" w:rsidRDefault="0089671D" w:rsidP="00F6132D">
      <w:pPr>
        <w:pStyle w:val="BodyText"/>
        <w:spacing w:line="360" w:lineRule="auto"/>
        <w:ind w:left="584" w:right="111"/>
        <w:jc w:val="both"/>
      </w:pPr>
      <w:r>
        <w:t>This study aims to evaluate whether students’ shift, school type, building age, the number of building floors and students, total building area, floor height, extra buildings, student density and fuel types affect school energy consumption. Secondly, it is to compare students’ comfort levels between the schools with low annual energy consumption per student, transparency, and compactness and the schools with high annual energy consumption per student, transparency and compactness. The results and analyses of the first stage of the research will provide Pristina Central Municipality with information for more energy efficient school features while the second stage of the</w:t>
      </w:r>
      <w:r w:rsidR="00F6132D">
        <w:t xml:space="preserve"> </w:t>
      </w:r>
      <w:r>
        <w:t xml:space="preserve">research </w:t>
      </w:r>
      <w:proofErr w:type="gramStart"/>
      <w:r>
        <w:t>will  provide</w:t>
      </w:r>
      <w:proofErr w:type="gramEnd"/>
      <w:r>
        <w:t xml:space="preserve"> the  information  on  the differences  between their comfort levels</w:t>
      </w:r>
      <w:r w:rsidR="00F6132D">
        <w:t xml:space="preserve"> </w:t>
      </w:r>
      <w:r>
        <w:lastRenderedPageBreak/>
        <w:t>according to the specific questionnaire items. The first stage of the research included all the primary and secondary state schools in Pristine Central Municipality and the second stage of the research included the students registered in three high and three low energy consuming state schools along with their building transparencies and compactness as sampling criteria in PCM in the academic year 2014-2015.</w:t>
      </w:r>
    </w:p>
    <w:p w:rsidR="00F3177F" w:rsidRDefault="00F3177F">
      <w:pPr>
        <w:pStyle w:val="BodyText"/>
      </w:pPr>
    </w:p>
    <w:p w:rsidR="00F3177F" w:rsidRDefault="00F3177F">
      <w:pPr>
        <w:pStyle w:val="BodyText"/>
        <w:spacing w:before="8"/>
      </w:pPr>
    </w:p>
    <w:p w:rsidR="00F3177F" w:rsidRDefault="0089671D">
      <w:pPr>
        <w:pStyle w:val="Heading2"/>
        <w:numPr>
          <w:ilvl w:val="1"/>
          <w:numId w:val="42"/>
        </w:numPr>
        <w:tabs>
          <w:tab w:val="left" w:pos="1065"/>
        </w:tabs>
        <w:jc w:val="both"/>
      </w:pPr>
      <w:bookmarkStart w:id="17" w:name="_TOC_250015"/>
      <w:r>
        <w:t>Research</w:t>
      </w:r>
      <w:r>
        <w:rPr>
          <w:spacing w:val="-6"/>
        </w:rPr>
        <w:t xml:space="preserve"> </w:t>
      </w:r>
      <w:bookmarkEnd w:id="17"/>
      <w:r>
        <w:t>Hypotheses</w:t>
      </w:r>
    </w:p>
    <w:p w:rsidR="00F3177F" w:rsidRDefault="00F3177F">
      <w:pPr>
        <w:pStyle w:val="BodyText"/>
        <w:rPr>
          <w:b/>
        </w:rPr>
      </w:pPr>
    </w:p>
    <w:p w:rsidR="00F3177F" w:rsidRDefault="00F3177F">
      <w:pPr>
        <w:pStyle w:val="BodyText"/>
        <w:spacing w:before="7"/>
        <w:rPr>
          <w:b/>
          <w:sz w:val="23"/>
        </w:rPr>
      </w:pPr>
    </w:p>
    <w:p w:rsidR="00F3177F" w:rsidRDefault="0089671D">
      <w:pPr>
        <w:pStyle w:val="BodyText"/>
        <w:ind w:left="584"/>
        <w:jc w:val="both"/>
      </w:pPr>
      <w:r>
        <w:t>The research addresses the following hypotheses:</w:t>
      </w:r>
    </w:p>
    <w:p w:rsidR="00F3177F" w:rsidRDefault="0089671D">
      <w:pPr>
        <w:pStyle w:val="ListParagraph"/>
        <w:numPr>
          <w:ilvl w:val="0"/>
          <w:numId w:val="41"/>
        </w:numPr>
        <w:tabs>
          <w:tab w:val="left" w:pos="945"/>
        </w:tabs>
        <w:spacing w:before="139" w:line="326" w:lineRule="auto"/>
        <w:ind w:right="114"/>
        <w:jc w:val="both"/>
        <w:rPr>
          <w:sz w:val="24"/>
        </w:rPr>
      </w:pPr>
      <w:r>
        <w:rPr>
          <w:sz w:val="24"/>
        </w:rPr>
        <w:t>Study shift as morning and morning + afternoon, number of school building floors and 0.2 st/m</w:t>
      </w:r>
      <w:r>
        <w:rPr>
          <w:position w:val="11"/>
          <w:sz w:val="16"/>
        </w:rPr>
        <w:t xml:space="preserve">2 </w:t>
      </w:r>
      <w:r>
        <w:rPr>
          <w:sz w:val="24"/>
        </w:rPr>
        <w:t>student density, are statistically significant predictors of annual school energy consumption per student (kWh/st/yr) and unit area (kWh/m</w:t>
      </w:r>
      <w:r>
        <w:rPr>
          <w:position w:val="11"/>
          <w:sz w:val="16"/>
        </w:rPr>
        <w:t>2</w:t>
      </w:r>
      <w:r>
        <w:rPr>
          <w:sz w:val="24"/>
        </w:rPr>
        <w:t>/yr), annual CO</w:t>
      </w:r>
      <w:r>
        <w:rPr>
          <w:position w:val="-2"/>
          <w:sz w:val="16"/>
        </w:rPr>
        <w:t xml:space="preserve">2 </w:t>
      </w:r>
      <w:r>
        <w:rPr>
          <w:sz w:val="24"/>
        </w:rPr>
        <w:t>emission per unit area (kg</w:t>
      </w:r>
      <w:r>
        <w:rPr>
          <w:spacing w:val="-10"/>
          <w:sz w:val="24"/>
        </w:rPr>
        <w:t xml:space="preserve"> </w:t>
      </w:r>
      <w:r>
        <w:rPr>
          <w:sz w:val="24"/>
        </w:rPr>
        <w:t>CO</w:t>
      </w:r>
      <w:r>
        <w:rPr>
          <w:position w:val="-2"/>
          <w:sz w:val="16"/>
        </w:rPr>
        <w:t>2</w:t>
      </w:r>
      <w:r>
        <w:rPr>
          <w:sz w:val="24"/>
        </w:rPr>
        <w:t>/m</w:t>
      </w:r>
      <w:r>
        <w:rPr>
          <w:position w:val="11"/>
          <w:sz w:val="16"/>
        </w:rPr>
        <w:t>2</w:t>
      </w:r>
      <w:r>
        <w:rPr>
          <w:sz w:val="24"/>
        </w:rPr>
        <w:t>/yr).</w:t>
      </w:r>
    </w:p>
    <w:p w:rsidR="00F3177F" w:rsidRDefault="0089671D">
      <w:pPr>
        <w:pStyle w:val="ListParagraph"/>
        <w:numPr>
          <w:ilvl w:val="0"/>
          <w:numId w:val="41"/>
        </w:numPr>
        <w:tabs>
          <w:tab w:val="left" w:pos="945"/>
        </w:tabs>
        <w:spacing w:before="0" w:line="288" w:lineRule="exact"/>
        <w:jc w:val="both"/>
        <w:rPr>
          <w:sz w:val="24"/>
        </w:rPr>
      </w:pPr>
      <w:r>
        <w:rPr>
          <w:sz w:val="24"/>
        </w:rPr>
        <w:t>Annual   school   energy   consumption   per   meter   square   (kWh/m</w:t>
      </w:r>
      <w:r>
        <w:rPr>
          <w:position w:val="11"/>
          <w:sz w:val="16"/>
        </w:rPr>
        <w:t>2</w:t>
      </w:r>
      <w:r>
        <w:rPr>
          <w:sz w:val="24"/>
        </w:rPr>
        <w:t xml:space="preserve">/yr)   can  </w:t>
      </w:r>
      <w:r>
        <w:rPr>
          <w:spacing w:val="12"/>
          <w:sz w:val="24"/>
        </w:rPr>
        <w:t xml:space="preserve"> </w:t>
      </w:r>
      <w:r>
        <w:rPr>
          <w:sz w:val="24"/>
        </w:rPr>
        <w:t>be</w:t>
      </w:r>
    </w:p>
    <w:p w:rsidR="00F3177F" w:rsidRDefault="0089671D">
      <w:pPr>
        <w:pStyle w:val="BodyText"/>
        <w:spacing w:before="137" w:line="331" w:lineRule="auto"/>
        <w:ind w:left="944" w:right="65"/>
      </w:pPr>
      <w:proofErr w:type="gramStart"/>
      <w:r>
        <w:t>statistically</w:t>
      </w:r>
      <w:proofErr w:type="gramEnd"/>
      <w:r>
        <w:t xml:space="preserve"> significant predictor for annual school energy consumption per student (kWh/st/yr) and annual CO</w:t>
      </w:r>
      <w:r>
        <w:rPr>
          <w:position w:val="-2"/>
          <w:sz w:val="16"/>
        </w:rPr>
        <w:t xml:space="preserve">2 </w:t>
      </w:r>
      <w:r>
        <w:t>emission per unit area (kg CO</w:t>
      </w:r>
      <w:r>
        <w:rPr>
          <w:position w:val="-2"/>
          <w:sz w:val="16"/>
        </w:rPr>
        <w:t>2</w:t>
      </w:r>
      <w:r>
        <w:t>/m</w:t>
      </w:r>
      <w:r>
        <w:rPr>
          <w:position w:val="11"/>
          <w:sz w:val="16"/>
        </w:rPr>
        <w:t>2</w:t>
      </w:r>
      <w:r>
        <w:t>/yr).</w:t>
      </w:r>
    </w:p>
    <w:p w:rsidR="00F3177F" w:rsidRDefault="0089671D">
      <w:pPr>
        <w:pStyle w:val="ListParagraph"/>
        <w:numPr>
          <w:ilvl w:val="0"/>
          <w:numId w:val="41"/>
        </w:numPr>
        <w:tabs>
          <w:tab w:val="left" w:pos="945"/>
        </w:tabs>
        <w:spacing w:before="4" w:line="360" w:lineRule="auto"/>
        <w:ind w:right="118"/>
        <w:jc w:val="both"/>
        <w:rPr>
          <w:sz w:val="24"/>
        </w:rPr>
      </w:pPr>
      <w:r>
        <w:rPr>
          <w:sz w:val="24"/>
        </w:rPr>
        <w:t>Higher degrees of differences appear between students’ comfort levels in schools with low energy consumption, building transparencies and compactness than</w:t>
      </w:r>
      <w:r w:rsidR="005066F9">
        <w:rPr>
          <w:sz w:val="24"/>
        </w:rPr>
        <w:t xml:space="preserve"> </w:t>
      </w:r>
      <w:r>
        <w:rPr>
          <w:sz w:val="24"/>
        </w:rPr>
        <w:t>schools with high energy consumption, building transparencies and compactness when the attended number of lessons</w:t>
      </w:r>
      <w:r>
        <w:rPr>
          <w:spacing w:val="-10"/>
          <w:sz w:val="24"/>
        </w:rPr>
        <w:t xml:space="preserve"> </w:t>
      </w:r>
      <w:r>
        <w:rPr>
          <w:sz w:val="24"/>
        </w:rPr>
        <w:t>increases.</w:t>
      </w:r>
    </w:p>
    <w:p w:rsidR="00F3177F" w:rsidRDefault="0089671D">
      <w:pPr>
        <w:pStyle w:val="ListParagraph"/>
        <w:numPr>
          <w:ilvl w:val="0"/>
          <w:numId w:val="41"/>
        </w:numPr>
        <w:tabs>
          <w:tab w:val="left" w:pos="945"/>
        </w:tabs>
        <w:spacing w:before="4" w:line="360" w:lineRule="auto"/>
        <w:ind w:right="119"/>
        <w:jc w:val="both"/>
        <w:rPr>
          <w:sz w:val="24"/>
        </w:rPr>
      </w:pPr>
      <w:r>
        <w:rPr>
          <w:sz w:val="24"/>
        </w:rPr>
        <w:t>Students in schools with low energy consumption, building transparencies and compactness have higher levels of health problems than students in schools with high energy consumption, building transparencies and</w:t>
      </w:r>
      <w:r>
        <w:rPr>
          <w:spacing w:val="-12"/>
          <w:sz w:val="24"/>
        </w:rPr>
        <w:t xml:space="preserve"> </w:t>
      </w:r>
      <w:r>
        <w:rPr>
          <w:sz w:val="24"/>
        </w:rPr>
        <w:t>compactness.</w:t>
      </w:r>
    </w:p>
    <w:p w:rsidR="00F3177F" w:rsidRDefault="0089671D">
      <w:pPr>
        <w:pStyle w:val="ListParagraph"/>
        <w:numPr>
          <w:ilvl w:val="0"/>
          <w:numId w:val="41"/>
        </w:numPr>
        <w:tabs>
          <w:tab w:val="left" w:pos="945"/>
        </w:tabs>
        <w:spacing w:before="6" w:line="360" w:lineRule="auto"/>
        <w:ind w:right="116"/>
        <w:jc w:val="both"/>
        <w:rPr>
          <w:sz w:val="24"/>
        </w:rPr>
      </w:pPr>
      <w:r>
        <w:rPr>
          <w:sz w:val="24"/>
        </w:rPr>
        <w:t>Students in schools with low energy consumption, building transparencies and compactness have higher levels of distraction than students in schools with high energy consumption, building transparencies and</w:t>
      </w:r>
      <w:r>
        <w:rPr>
          <w:spacing w:val="-11"/>
          <w:sz w:val="24"/>
        </w:rPr>
        <w:t xml:space="preserve"> </w:t>
      </w:r>
      <w:r>
        <w:rPr>
          <w:sz w:val="24"/>
        </w:rPr>
        <w:t>compactness.</w:t>
      </w:r>
    </w:p>
    <w:p w:rsidR="00F3177F" w:rsidRDefault="00F3177F">
      <w:pPr>
        <w:spacing w:line="360" w:lineRule="auto"/>
        <w:jc w:val="both"/>
        <w:rPr>
          <w:sz w:val="24"/>
        </w:rPr>
        <w:sectPr w:rsidR="00F3177F">
          <w:pgSz w:w="12240" w:h="15840"/>
          <w:pgMar w:top="1380" w:right="1320" w:bottom="2320" w:left="1720" w:header="0" w:footer="2095" w:gutter="0"/>
          <w:cols w:space="720"/>
        </w:sectPr>
      </w:pPr>
    </w:p>
    <w:p w:rsidR="00F3177F" w:rsidRDefault="0089671D">
      <w:pPr>
        <w:pStyle w:val="Heading2"/>
        <w:numPr>
          <w:ilvl w:val="1"/>
          <w:numId w:val="42"/>
        </w:numPr>
        <w:tabs>
          <w:tab w:val="left" w:pos="1065"/>
        </w:tabs>
        <w:spacing w:before="39"/>
        <w:jc w:val="both"/>
      </w:pPr>
      <w:bookmarkStart w:id="18" w:name="_TOC_250014"/>
      <w:bookmarkEnd w:id="18"/>
      <w:r>
        <w:lastRenderedPageBreak/>
        <w:t>Limitations</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6"/>
        <w:jc w:val="both"/>
      </w:pPr>
      <w:r>
        <w:t>The results of the first stage of the research can be generalized only to the population of the state primary and secondary schools in PCM. These types of schools are poorly equipped and energy consuming appliances hardly vary. Additional limitations are as given below:</w:t>
      </w:r>
    </w:p>
    <w:p w:rsidR="00F3177F" w:rsidRDefault="0089671D">
      <w:pPr>
        <w:pStyle w:val="ListParagraph"/>
        <w:numPr>
          <w:ilvl w:val="0"/>
          <w:numId w:val="40"/>
        </w:numPr>
        <w:tabs>
          <w:tab w:val="left" w:pos="945"/>
        </w:tabs>
        <w:spacing w:before="6" w:line="360" w:lineRule="auto"/>
        <w:ind w:right="116"/>
        <w:jc w:val="both"/>
        <w:rPr>
          <w:sz w:val="24"/>
        </w:rPr>
      </w:pPr>
      <w:r>
        <w:rPr>
          <w:sz w:val="24"/>
        </w:rPr>
        <w:t>It is clear that there might be innumerous factors affecting a school’s energy consumption. This research takes some of them into consideration although some others such as building material and shadowing, its exposure to the sunlight,</w:t>
      </w:r>
      <w:r w:rsidR="00D163D9">
        <w:rPr>
          <w:sz w:val="24"/>
        </w:rPr>
        <w:t xml:space="preserve"> </w:t>
      </w:r>
      <w:r>
        <w:rPr>
          <w:sz w:val="24"/>
        </w:rPr>
        <w:t>parents’ financial backgrounds etc. also play important roles in energy consumption. Thus, it is almost impossible to take all the factors into the consideration at</w:t>
      </w:r>
      <w:r>
        <w:rPr>
          <w:spacing w:val="-15"/>
          <w:sz w:val="24"/>
        </w:rPr>
        <w:t xml:space="preserve"> </w:t>
      </w:r>
      <w:r>
        <w:rPr>
          <w:sz w:val="24"/>
        </w:rPr>
        <w:t>once.</w:t>
      </w:r>
    </w:p>
    <w:p w:rsidR="00F3177F" w:rsidRDefault="0089671D">
      <w:pPr>
        <w:pStyle w:val="ListParagraph"/>
        <w:numPr>
          <w:ilvl w:val="0"/>
          <w:numId w:val="40"/>
        </w:numPr>
        <w:tabs>
          <w:tab w:val="left" w:pos="945"/>
        </w:tabs>
        <w:spacing w:before="4" w:line="360" w:lineRule="auto"/>
        <w:ind w:right="114"/>
        <w:jc w:val="both"/>
        <w:rPr>
          <w:sz w:val="24"/>
        </w:rPr>
      </w:pPr>
      <w:r>
        <w:rPr>
          <w:sz w:val="24"/>
        </w:rPr>
        <w:t>The second stage of the thesis research was carried out in state secondary schools in PCM since primary school students might have difficulties in answering the survey questions. To build a comparison between the state primary and secondary schools was not</w:t>
      </w:r>
      <w:r>
        <w:rPr>
          <w:spacing w:val="-6"/>
          <w:sz w:val="24"/>
        </w:rPr>
        <w:t xml:space="preserve"> </w:t>
      </w:r>
      <w:r>
        <w:rPr>
          <w:sz w:val="24"/>
        </w:rPr>
        <w:t>attempted.</w:t>
      </w:r>
    </w:p>
    <w:p w:rsidR="00F3177F" w:rsidRDefault="0089671D">
      <w:pPr>
        <w:pStyle w:val="ListParagraph"/>
        <w:numPr>
          <w:ilvl w:val="0"/>
          <w:numId w:val="40"/>
        </w:numPr>
        <w:tabs>
          <w:tab w:val="left" w:pos="945"/>
        </w:tabs>
        <w:spacing w:before="4" w:line="360" w:lineRule="auto"/>
        <w:ind w:right="118"/>
        <w:jc w:val="both"/>
        <w:rPr>
          <w:sz w:val="24"/>
        </w:rPr>
      </w:pPr>
      <w:r>
        <w:rPr>
          <w:sz w:val="24"/>
        </w:rPr>
        <w:t>The survey for the second stage was applied in April and it can reflect students’ better emotions. Students’ answers may change for some specific questions in the winter and spring months. Additionally, students’ bias, their desire to protect or discredit their schools and seriousness on the issue reflecting their answers cannot</w:t>
      </w:r>
      <w:r w:rsidR="00D163D9">
        <w:rPr>
          <w:sz w:val="24"/>
        </w:rPr>
        <w:t xml:space="preserve"> </w:t>
      </w:r>
      <w:r>
        <w:rPr>
          <w:sz w:val="24"/>
        </w:rPr>
        <w:t>be</w:t>
      </w:r>
      <w:r>
        <w:rPr>
          <w:spacing w:val="-3"/>
          <w:sz w:val="24"/>
        </w:rPr>
        <w:t xml:space="preserve"> </w:t>
      </w:r>
      <w:r>
        <w:rPr>
          <w:sz w:val="24"/>
        </w:rPr>
        <w:t>controlled.</w:t>
      </w:r>
    </w:p>
    <w:p w:rsidR="00F3177F" w:rsidRDefault="00F3177F">
      <w:pPr>
        <w:pStyle w:val="BodyText"/>
      </w:pPr>
    </w:p>
    <w:p w:rsidR="00F3177F" w:rsidRDefault="00F3177F">
      <w:pPr>
        <w:pStyle w:val="BodyText"/>
        <w:spacing w:before="11"/>
      </w:pPr>
    </w:p>
    <w:p w:rsidR="00F3177F" w:rsidRDefault="0089671D">
      <w:pPr>
        <w:pStyle w:val="Heading2"/>
        <w:numPr>
          <w:ilvl w:val="1"/>
          <w:numId w:val="42"/>
        </w:numPr>
        <w:tabs>
          <w:tab w:val="left" w:pos="1065"/>
        </w:tabs>
        <w:jc w:val="both"/>
      </w:pPr>
      <w:bookmarkStart w:id="19" w:name="_TOC_250013"/>
      <w:bookmarkEnd w:id="19"/>
      <w:r>
        <w:t>Delimitations</w:t>
      </w:r>
    </w:p>
    <w:p w:rsidR="00F3177F" w:rsidRDefault="00F3177F">
      <w:pPr>
        <w:pStyle w:val="BodyText"/>
        <w:rPr>
          <w:b/>
        </w:rPr>
      </w:pPr>
    </w:p>
    <w:p w:rsidR="00F3177F" w:rsidRDefault="00F3177F">
      <w:pPr>
        <w:pStyle w:val="BodyText"/>
        <w:spacing w:before="6"/>
        <w:rPr>
          <w:b/>
          <w:sz w:val="23"/>
        </w:rPr>
      </w:pPr>
    </w:p>
    <w:p w:rsidR="00F3177F" w:rsidRDefault="0089671D" w:rsidP="00D163D9">
      <w:pPr>
        <w:pStyle w:val="BodyText"/>
        <w:spacing w:line="360" w:lineRule="auto"/>
        <w:ind w:left="584" w:right="115"/>
        <w:jc w:val="both"/>
      </w:pPr>
      <w:r>
        <w:t>The population studied for the first stage included only all the primary and secondary state schools in PCM, the state kinder gardens were excluded from the research as their energy fuels and comfort sensitivity greatly differ from the state primary and secondary schools in Pristina Central Municipality. The population studied for the second stage included students only in six state secondary schools in PCM. The findings of the stage</w:t>
      </w:r>
      <w:r w:rsidR="00D163D9">
        <w:t xml:space="preserve"> </w:t>
      </w:r>
      <w:r>
        <w:t>were limited to the comparative population studied.    Furthermore, the second stage did</w:t>
      </w:r>
      <w:r w:rsidR="00D163D9">
        <w:t xml:space="preserve"> </w:t>
      </w:r>
      <w:r>
        <w:lastRenderedPageBreak/>
        <w:t>not consider students’ gender, schools’ success levels and locations as they can reflect student families’ financial and educational background, and can influence students’ well-being in general.</w:t>
      </w:r>
    </w:p>
    <w:p w:rsidR="00F3177F" w:rsidRDefault="00F3177F">
      <w:pPr>
        <w:spacing w:line="360" w:lineRule="auto"/>
        <w:jc w:val="both"/>
        <w:sectPr w:rsidR="00F3177F">
          <w:pgSz w:w="12240" w:h="15840"/>
          <w:pgMar w:top="1380" w:right="1340" w:bottom="2320" w:left="1720" w:header="0" w:footer="2095" w:gutter="0"/>
          <w:cols w:space="720"/>
        </w:sectPr>
      </w:pPr>
    </w:p>
    <w:p w:rsidR="00F3177F" w:rsidRDefault="0089671D">
      <w:pPr>
        <w:pStyle w:val="Heading1"/>
        <w:ind w:left="1032" w:right="567"/>
        <w:jc w:val="center"/>
      </w:pPr>
      <w:r>
        <w:lastRenderedPageBreak/>
        <w:t>CHAPTER 2</w:t>
      </w:r>
    </w:p>
    <w:p w:rsidR="00F3177F" w:rsidRDefault="00F3177F">
      <w:pPr>
        <w:pStyle w:val="BodyText"/>
        <w:rPr>
          <w:b/>
          <w:sz w:val="28"/>
        </w:rPr>
      </w:pPr>
    </w:p>
    <w:p w:rsidR="00F3177F" w:rsidRDefault="00F3177F">
      <w:pPr>
        <w:pStyle w:val="BodyText"/>
        <w:rPr>
          <w:b/>
          <w:sz w:val="28"/>
        </w:rPr>
      </w:pPr>
    </w:p>
    <w:p w:rsidR="00F3177F" w:rsidRDefault="0089671D">
      <w:pPr>
        <w:spacing w:before="162"/>
        <w:ind w:left="1032" w:right="567"/>
        <w:jc w:val="center"/>
        <w:rPr>
          <w:b/>
          <w:sz w:val="28"/>
        </w:rPr>
      </w:pPr>
      <w:r>
        <w:rPr>
          <w:b/>
          <w:sz w:val="28"/>
        </w:rPr>
        <w:t>LITERATURE REVIEW</w:t>
      </w:r>
    </w:p>
    <w:p w:rsidR="00F3177F" w:rsidRDefault="00F3177F">
      <w:pPr>
        <w:pStyle w:val="BodyText"/>
        <w:rPr>
          <w:b/>
          <w:sz w:val="20"/>
        </w:rPr>
      </w:pPr>
    </w:p>
    <w:p w:rsidR="00F3177F" w:rsidRDefault="00F3177F">
      <w:pPr>
        <w:pStyle w:val="BodyText"/>
        <w:rPr>
          <w:b/>
          <w:sz w:val="20"/>
        </w:rPr>
      </w:pPr>
    </w:p>
    <w:p w:rsidR="00F3177F" w:rsidRDefault="00F3177F">
      <w:pPr>
        <w:pStyle w:val="BodyText"/>
        <w:rPr>
          <w:b/>
          <w:sz w:val="16"/>
        </w:rPr>
      </w:pPr>
    </w:p>
    <w:p w:rsidR="00F3177F" w:rsidRDefault="0089671D">
      <w:pPr>
        <w:pStyle w:val="Heading2"/>
        <w:numPr>
          <w:ilvl w:val="1"/>
          <w:numId w:val="39"/>
        </w:numPr>
        <w:tabs>
          <w:tab w:val="left" w:pos="1065"/>
        </w:tabs>
        <w:spacing w:before="70"/>
        <w:jc w:val="both"/>
      </w:pPr>
      <w:bookmarkStart w:id="20" w:name="_TOC_250012"/>
      <w:r>
        <w:t>Energy</w:t>
      </w:r>
      <w:r>
        <w:rPr>
          <w:spacing w:val="-4"/>
        </w:rPr>
        <w:t xml:space="preserve"> </w:t>
      </w:r>
      <w:bookmarkEnd w:id="20"/>
      <w:r>
        <w:t>Conservation</w:t>
      </w:r>
    </w:p>
    <w:p w:rsidR="00F3177F" w:rsidRDefault="00F3177F">
      <w:pPr>
        <w:pStyle w:val="BodyText"/>
        <w:rPr>
          <w:b/>
        </w:rPr>
      </w:pPr>
    </w:p>
    <w:p w:rsidR="00F3177F" w:rsidRDefault="00F3177F">
      <w:pPr>
        <w:pStyle w:val="BodyText"/>
        <w:rPr>
          <w:b/>
        </w:rPr>
      </w:pPr>
    </w:p>
    <w:p w:rsidR="00F3177F" w:rsidRDefault="0089671D">
      <w:pPr>
        <w:pStyle w:val="Heading2"/>
        <w:ind w:left="584" w:firstLine="0"/>
      </w:pPr>
      <w:bookmarkStart w:id="21" w:name="_TOC_250011"/>
      <w:bookmarkEnd w:id="21"/>
      <w:r>
        <w:t>2.1.1   Energy Conservation and Efficiency</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1"/>
        <w:jc w:val="both"/>
      </w:pPr>
      <w:r>
        <w:t>Energy</w:t>
      </w:r>
      <w:r>
        <w:rPr>
          <w:spacing w:val="-8"/>
        </w:rPr>
        <w:t xml:space="preserve"> </w:t>
      </w:r>
      <w:r>
        <w:rPr>
          <w:spacing w:val="-3"/>
        </w:rPr>
        <w:t>conservation</w:t>
      </w:r>
      <w:r>
        <w:rPr>
          <w:spacing w:val="-6"/>
        </w:rPr>
        <w:t xml:space="preserve"> </w:t>
      </w:r>
      <w:r>
        <w:t>means</w:t>
      </w:r>
      <w:r>
        <w:rPr>
          <w:spacing w:val="-5"/>
        </w:rPr>
        <w:t xml:space="preserve"> </w:t>
      </w:r>
      <w:r>
        <w:rPr>
          <w:spacing w:val="-3"/>
        </w:rPr>
        <w:t>reducing</w:t>
      </w:r>
      <w:r>
        <w:rPr>
          <w:spacing w:val="-6"/>
        </w:rPr>
        <w:t xml:space="preserve"> </w:t>
      </w:r>
      <w:r>
        <w:t>energy</w:t>
      </w:r>
      <w:r>
        <w:rPr>
          <w:spacing w:val="-10"/>
        </w:rPr>
        <w:t xml:space="preserve"> </w:t>
      </w:r>
      <w:r>
        <w:t>consumed</w:t>
      </w:r>
      <w:r>
        <w:rPr>
          <w:spacing w:val="-6"/>
        </w:rPr>
        <w:t xml:space="preserve"> </w:t>
      </w:r>
      <w:r>
        <w:t>in</w:t>
      </w:r>
      <w:r>
        <w:rPr>
          <w:spacing w:val="-6"/>
        </w:rPr>
        <w:t xml:space="preserve"> </w:t>
      </w:r>
      <w:r>
        <w:t>any</w:t>
      </w:r>
      <w:r>
        <w:rPr>
          <w:spacing w:val="-10"/>
        </w:rPr>
        <w:t xml:space="preserve"> </w:t>
      </w:r>
      <w:r>
        <w:t>type</w:t>
      </w:r>
      <w:r>
        <w:rPr>
          <w:spacing w:val="-7"/>
        </w:rPr>
        <w:t xml:space="preserve"> </w:t>
      </w:r>
      <w:r>
        <w:t>of</w:t>
      </w:r>
      <w:r>
        <w:rPr>
          <w:spacing w:val="-6"/>
        </w:rPr>
        <w:t xml:space="preserve"> </w:t>
      </w:r>
      <w:r>
        <w:rPr>
          <w:spacing w:val="-3"/>
        </w:rPr>
        <w:t>structure.</w:t>
      </w:r>
      <w:r>
        <w:rPr>
          <w:spacing w:val="-6"/>
        </w:rPr>
        <w:t xml:space="preserve"> </w:t>
      </w:r>
      <w:r>
        <w:t xml:space="preserve">Measures </w:t>
      </w:r>
      <w:r>
        <w:rPr>
          <w:spacing w:val="-3"/>
        </w:rPr>
        <w:t xml:space="preserve">taken </w:t>
      </w:r>
      <w:r>
        <w:t xml:space="preserve">to save energy, called energy </w:t>
      </w:r>
      <w:r>
        <w:rPr>
          <w:spacing w:val="-3"/>
        </w:rPr>
        <w:t xml:space="preserve">conservation measures (ECMs), </w:t>
      </w:r>
      <w:r>
        <w:t xml:space="preserve">are </w:t>
      </w:r>
      <w:r>
        <w:rPr>
          <w:spacing w:val="-3"/>
        </w:rPr>
        <w:t xml:space="preserve">achieved </w:t>
      </w:r>
      <w:r>
        <w:t xml:space="preserve">through a </w:t>
      </w:r>
      <w:r>
        <w:rPr>
          <w:spacing w:val="-3"/>
        </w:rPr>
        <w:t xml:space="preserve">range </w:t>
      </w:r>
      <w:r>
        <w:t xml:space="preserve">of use of technology </w:t>
      </w:r>
      <w:r>
        <w:rPr>
          <w:spacing w:val="-3"/>
        </w:rPr>
        <w:t xml:space="preserve">and scheme </w:t>
      </w:r>
      <w:r>
        <w:t xml:space="preserve">to lower energy usage </w:t>
      </w:r>
      <w:r>
        <w:rPr>
          <w:spacing w:val="-3"/>
        </w:rPr>
        <w:t xml:space="preserve">and </w:t>
      </w:r>
      <w:r>
        <w:t xml:space="preserve">consequently </w:t>
      </w:r>
      <w:r>
        <w:rPr>
          <w:spacing w:val="-2"/>
        </w:rPr>
        <w:t xml:space="preserve">bills. </w:t>
      </w:r>
      <w:r>
        <w:t xml:space="preserve">The </w:t>
      </w:r>
      <w:r>
        <w:rPr>
          <w:spacing w:val="-3"/>
        </w:rPr>
        <w:t xml:space="preserve">measures can </w:t>
      </w:r>
      <w:r>
        <w:t xml:space="preserve">start </w:t>
      </w:r>
      <w:r>
        <w:rPr>
          <w:spacing w:val="-3"/>
        </w:rPr>
        <w:t xml:space="preserve">from </w:t>
      </w:r>
      <w:r>
        <w:t xml:space="preserve">replacing more </w:t>
      </w:r>
      <w:r>
        <w:rPr>
          <w:spacing w:val="-3"/>
        </w:rPr>
        <w:t xml:space="preserve">efficient </w:t>
      </w:r>
      <w:r>
        <w:t xml:space="preserve">lighting, ventilation </w:t>
      </w:r>
      <w:r>
        <w:rPr>
          <w:spacing w:val="-3"/>
        </w:rPr>
        <w:t xml:space="preserve">means and </w:t>
      </w:r>
      <w:r>
        <w:rPr>
          <w:spacing w:val="-2"/>
        </w:rPr>
        <w:t xml:space="preserve">better </w:t>
      </w:r>
      <w:r>
        <w:rPr>
          <w:spacing w:val="-3"/>
        </w:rPr>
        <w:t xml:space="preserve">insulation applications. Furthermore, </w:t>
      </w:r>
      <w:r>
        <w:t xml:space="preserve">residents can apply to organizations </w:t>
      </w:r>
      <w:r>
        <w:rPr>
          <w:spacing w:val="-3"/>
        </w:rPr>
        <w:t xml:space="preserve">such </w:t>
      </w:r>
      <w:r>
        <w:t xml:space="preserve">as </w:t>
      </w:r>
      <w:r>
        <w:rPr>
          <w:spacing w:val="-3"/>
        </w:rPr>
        <w:t xml:space="preserve">Residential </w:t>
      </w:r>
      <w:r>
        <w:t xml:space="preserve">Energy Services </w:t>
      </w:r>
      <w:r>
        <w:rPr>
          <w:spacing w:val="-3"/>
        </w:rPr>
        <w:t xml:space="preserve">Network </w:t>
      </w:r>
      <w:r>
        <w:t xml:space="preserve">in the USA </w:t>
      </w:r>
      <w:r>
        <w:rPr>
          <w:spacing w:val="-3"/>
        </w:rPr>
        <w:t xml:space="preserve">for help. In </w:t>
      </w:r>
      <w:r>
        <w:t xml:space="preserve">bigger </w:t>
      </w:r>
      <w:r>
        <w:rPr>
          <w:spacing w:val="-3"/>
        </w:rPr>
        <w:t xml:space="preserve">buildings </w:t>
      </w:r>
      <w:r>
        <w:t xml:space="preserve">or </w:t>
      </w:r>
      <w:r>
        <w:rPr>
          <w:spacing w:val="-3"/>
        </w:rPr>
        <w:t xml:space="preserve">organizations, </w:t>
      </w:r>
      <w:r>
        <w:t xml:space="preserve">it is </w:t>
      </w:r>
      <w:r>
        <w:rPr>
          <w:spacing w:val="-3"/>
        </w:rPr>
        <w:t xml:space="preserve">recommended </w:t>
      </w:r>
      <w:r>
        <w:t xml:space="preserve">to work with </w:t>
      </w:r>
      <w:r>
        <w:rPr>
          <w:spacing w:val="-3"/>
        </w:rPr>
        <w:t xml:space="preserve">companies </w:t>
      </w:r>
      <w:r>
        <w:t xml:space="preserve">that work under </w:t>
      </w:r>
      <w:r>
        <w:rPr>
          <w:spacing w:val="-3"/>
        </w:rPr>
        <w:t xml:space="preserve">contracts. </w:t>
      </w:r>
      <w:r>
        <w:t xml:space="preserve">The </w:t>
      </w:r>
      <w:r>
        <w:rPr>
          <w:spacing w:val="-3"/>
        </w:rPr>
        <w:t xml:space="preserve">companies </w:t>
      </w:r>
      <w:r>
        <w:t xml:space="preserve">follow some </w:t>
      </w:r>
      <w:r>
        <w:rPr>
          <w:spacing w:val="-3"/>
        </w:rPr>
        <w:t xml:space="preserve">procedures </w:t>
      </w:r>
      <w:r>
        <w:t xml:space="preserve">to decrease energy </w:t>
      </w:r>
      <w:r>
        <w:rPr>
          <w:spacing w:val="-3"/>
        </w:rPr>
        <w:t xml:space="preserve">consumption </w:t>
      </w:r>
      <w:r>
        <w:t xml:space="preserve">and </w:t>
      </w:r>
      <w:r>
        <w:rPr>
          <w:spacing w:val="-3"/>
        </w:rPr>
        <w:t xml:space="preserve">upsurge </w:t>
      </w:r>
      <w:r>
        <w:t xml:space="preserve">energy </w:t>
      </w:r>
      <w:r>
        <w:rPr>
          <w:spacing w:val="-3"/>
        </w:rPr>
        <w:t xml:space="preserve">efficiency. </w:t>
      </w:r>
      <w:r>
        <w:t xml:space="preserve">For </w:t>
      </w:r>
      <w:r>
        <w:rPr>
          <w:spacing w:val="-3"/>
        </w:rPr>
        <w:t xml:space="preserve">instance, </w:t>
      </w:r>
      <w:r>
        <w:t xml:space="preserve">in the USA, Efficiency </w:t>
      </w:r>
      <w:r>
        <w:rPr>
          <w:spacing w:val="-3"/>
        </w:rPr>
        <w:t xml:space="preserve">Valuation Organization provides guidelines </w:t>
      </w:r>
      <w:r>
        <w:t xml:space="preserve">for energy </w:t>
      </w:r>
      <w:r>
        <w:rPr>
          <w:spacing w:val="-3"/>
        </w:rPr>
        <w:t xml:space="preserve">conservation and </w:t>
      </w:r>
      <w:r>
        <w:t xml:space="preserve">efficiency </w:t>
      </w:r>
      <w:r>
        <w:rPr>
          <w:spacing w:val="-3"/>
        </w:rPr>
        <w:t xml:space="preserve">called </w:t>
      </w:r>
      <w:hyperlink r:id="rId24">
        <w:r>
          <w:rPr>
            <w:spacing w:val="-3"/>
          </w:rPr>
          <w:t>International Performance</w:t>
        </w:r>
      </w:hyperlink>
      <w:r>
        <w:rPr>
          <w:spacing w:val="-3"/>
        </w:rPr>
        <w:t xml:space="preserve"> </w:t>
      </w:r>
      <w:hyperlink r:id="rId25">
        <w:r>
          <w:rPr>
            <w:spacing w:val="-3"/>
          </w:rPr>
          <w:t>Measurement and Verification Protocol</w:t>
        </w:r>
      </w:hyperlink>
      <w:r>
        <w:rPr>
          <w:spacing w:val="-3"/>
        </w:rPr>
        <w:t xml:space="preserve"> </w:t>
      </w:r>
      <w:r>
        <w:t>(IPMVP) (EVO,</w:t>
      </w:r>
      <w:r>
        <w:rPr>
          <w:spacing w:val="-18"/>
        </w:rPr>
        <w:t xml:space="preserve"> </w:t>
      </w:r>
      <w:r>
        <w:t>n.d).</w:t>
      </w:r>
    </w:p>
    <w:p w:rsidR="00F3177F" w:rsidRDefault="00F3177F">
      <w:pPr>
        <w:pStyle w:val="BodyText"/>
      </w:pPr>
    </w:p>
    <w:p w:rsidR="00F3177F" w:rsidRDefault="0089671D">
      <w:pPr>
        <w:pStyle w:val="BodyText"/>
        <w:spacing w:before="143" w:line="360" w:lineRule="auto"/>
        <w:ind w:left="584" w:right="111"/>
        <w:jc w:val="both"/>
      </w:pPr>
      <w:r>
        <w:t>Patterson (1996) describes energy efficiency as consuming a reduced amount of energy to harvest the equal volume of services or valuable production. Thus, energy efficiency means producing the same or better total consumption value by consuming less energy (Chung et al., 2006). Although energy efficiency and energy conservation are viewed as the same terms on the surface, the difference is that energy conservation means to reduce energy use by modifying lifestyle/behavior while energy efficiency speaks of restraining energy consumption by using highly efficient appliances (OECD/IEA</w:t>
      </w:r>
      <w:proofErr w:type="gramStart"/>
      <w:r>
        <w:t>,  2014</w:t>
      </w:r>
      <w:proofErr w:type="gramEnd"/>
      <w:r>
        <w:t xml:space="preserve">). Additionally, while energy conservation means low energy consumption, </w:t>
      </w:r>
      <w:r>
        <w:rPr>
          <w:spacing w:val="3"/>
        </w:rPr>
        <w:t xml:space="preserve">it   </w:t>
      </w:r>
      <w:r>
        <w:t>also</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7"/>
        <w:jc w:val="both"/>
      </w:pPr>
      <w:proofErr w:type="gramStart"/>
      <w:r>
        <w:lastRenderedPageBreak/>
        <w:t>leads</w:t>
      </w:r>
      <w:proofErr w:type="gramEnd"/>
      <w:r>
        <w:t xml:space="preserve"> to low energy production (Kandar et al., 2009). However, energy conservation and efficiency are both used for energy intensity development in some analysis such as decomposition. Energy intensity means the sum of energy used for output. Indeed, energy efficiency along with others such as type of industry, energy services and their availabilities, behavior patterns, country size, exchange value rates is one of the features to define energy intensity. Thus, misplacing energy efficiency and intensity may lead to confusing results.</w:t>
      </w:r>
    </w:p>
    <w:p w:rsidR="00F3177F" w:rsidRDefault="00F3177F">
      <w:pPr>
        <w:pStyle w:val="BodyText"/>
      </w:pPr>
    </w:p>
    <w:p w:rsidR="00F3177F" w:rsidRDefault="0089671D">
      <w:pPr>
        <w:pStyle w:val="BodyText"/>
        <w:spacing w:before="143" w:line="360" w:lineRule="auto"/>
        <w:ind w:left="584" w:right="111"/>
        <w:jc w:val="both"/>
      </w:pPr>
      <w:r>
        <w:t xml:space="preserve">There is no need to say </w:t>
      </w:r>
      <w:r>
        <w:rPr>
          <w:spacing w:val="-3"/>
        </w:rPr>
        <w:t xml:space="preserve">that </w:t>
      </w:r>
      <w:r>
        <w:t xml:space="preserve">energy efficiency will </w:t>
      </w:r>
      <w:r>
        <w:rPr>
          <w:spacing w:val="-3"/>
        </w:rPr>
        <w:t xml:space="preserve">also </w:t>
      </w:r>
      <w:r>
        <w:t xml:space="preserve">lower energy bills </w:t>
      </w:r>
      <w:r>
        <w:rPr>
          <w:spacing w:val="-3"/>
        </w:rPr>
        <w:t xml:space="preserve">and </w:t>
      </w:r>
      <w:r>
        <w:t xml:space="preserve">energy dependency to other </w:t>
      </w:r>
      <w:r>
        <w:rPr>
          <w:spacing w:val="-3"/>
        </w:rPr>
        <w:t xml:space="preserve">countries. </w:t>
      </w:r>
      <w:r>
        <w:t xml:space="preserve">A </w:t>
      </w:r>
      <w:r>
        <w:rPr>
          <w:spacing w:val="-3"/>
        </w:rPr>
        <w:t xml:space="preserve">good example </w:t>
      </w:r>
      <w:r>
        <w:t xml:space="preserve">of energy efficiency </w:t>
      </w:r>
      <w:r>
        <w:rPr>
          <w:spacing w:val="-3"/>
        </w:rPr>
        <w:t xml:space="preserve">implementation </w:t>
      </w:r>
      <w:r>
        <w:t>and vivid</w:t>
      </w:r>
      <w:r>
        <w:rPr>
          <w:spacing w:val="-5"/>
        </w:rPr>
        <w:t xml:space="preserve"> </w:t>
      </w:r>
      <w:r>
        <w:rPr>
          <w:spacing w:val="-3"/>
        </w:rPr>
        <w:t>benefits</w:t>
      </w:r>
      <w:r>
        <w:rPr>
          <w:spacing w:val="-4"/>
        </w:rPr>
        <w:t xml:space="preserve"> </w:t>
      </w:r>
      <w:r>
        <w:rPr>
          <w:spacing w:val="-3"/>
        </w:rPr>
        <w:t>from</w:t>
      </w:r>
      <w:r>
        <w:rPr>
          <w:spacing w:val="-5"/>
        </w:rPr>
        <w:t xml:space="preserve"> </w:t>
      </w:r>
      <w:r>
        <w:t>that</w:t>
      </w:r>
      <w:r>
        <w:rPr>
          <w:spacing w:val="-5"/>
        </w:rPr>
        <w:t xml:space="preserve"> </w:t>
      </w:r>
      <w:r>
        <w:t>is</w:t>
      </w:r>
      <w:r>
        <w:rPr>
          <w:spacing w:val="-4"/>
        </w:rPr>
        <w:t xml:space="preserve"> </w:t>
      </w:r>
      <w:r>
        <w:t>the</w:t>
      </w:r>
      <w:r>
        <w:rPr>
          <w:spacing w:val="-6"/>
        </w:rPr>
        <w:t xml:space="preserve"> </w:t>
      </w:r>
      <w:r>
        <w:t>state</w:t>
      </w:r>
      <w:r>
        <w:rPr>
          <w:spacing w:val="-6"/>
        </w:rPr>
        <w:t xml:space="preserve"> </w:t>
      </w:r>
      <w:r>
        <w:t>of</w:t>
      </w:r>
      <w:r>
        <w:rPr>
          <w:spacing w:val="-6"/>
        </w:rPr>
        <w:t xml:space="preserve"> </w:t>
      </w:r>
      <w:r>
        <w:t>California.</w:t>
      </w:r>
      <w:r>
        <w:rPr>
          <w:spacing w:val="-5"/>
        </w:rPr>
        <w:t xml:space="preserve"> </w:t>
      </w:r>
      <w:r>
        <w:t>The</w:t>
      </w:r>
      <w:r>
        <w:rPr>
          <w:spacing w:val="-6"/>
        </w:rPr>
        <w:t xml:space="preserve"> </w:t>
      </w:r>
      <w:r>
        <w:t>state</w:t>
      </w:r>
      <w:r>
        <w:rPr>
          <w:spacing w:val="-6"/>
        </w:rPr>
        <w:t xml:space="preserve"> </w:t>
      </w:r>
      <w:r>
        <w:t>implemented</w:t>
      </w:r>
      <w:r>
        <w:rPr>
          <w:spacing w:val="-5"/>
        </w:rPr>
        <w:t xml:space="preserve"> </w:t>
      </w:r>
      <w:r>
        <w:t>their</w:t>
      </w:r>
      <w:r>
        <w:rPr>
          <w:spacing w:val="-6"/>
        </w:rPr>
        <w:t xml:space="preserve"> </w:t>
      </w:r>
      <w:r>
        <w:rPr>
          <w:spacing w:val="-3"/>
        </w:rPr>
        <w:t xml:space="preserve">first </w:t>
      </w:r>
      <w:r>
        <w:t xml:space="preserve">energy efficiency measures in the 1970s and kept their energy </w:t>
      </w:r>
      <w:r>
        <w:rPr>
          <w:spacing w:val="-3"/>
        </w:rPr>
        <w:t xml:space="preserve">consumption </w:t>
      </w:r>
      <w:r>
        <w:rPr>
          <w:spacing w:val="-2"/>
        </w:rPr>
        <w:t xml:space="preserve">almost </w:t>
      </w:r>
      <w:r>
        <w:t xml:space="preserve">the same while it </w:t>
      </w:r>
      <w:r>
        <w:rPr>
          <w:spacing w:val="-3"/>
        </w:rPr>
        <w:t xml:space="preserve">doubled </w:t>
      </w:r>
      <w:r>
        <w:t xml:space="preserve">in the USA in the following </w:t>
      </w:r>
      <w:r>
        <w:rPr>
          <w:spacing w:val="-3"/>
        </w:rPr>
        <w:t xml:space="preserve">years </w:t>
      </w:r>
      <w:r>
        <w:t xml:space="preserve">proving </w:t>
      </w:r>
      <w:r>
        <w:rPr>
          <w:spacing w:val="-3"/>
        </w:rPr>
        <w:t xml:space="preserve">that </w:t>
      </w:r>
      <w:r>
        <w:t xml:space="preserve">energy efficiency is </w:t>
      </w:r>
      <w:r>
        <w:rPr>
          <w:spacing w:val="-2"/>
        </w:rPr>
        <w:t xml:space="preserve">crucially </w:t>
      </w:r>
      <w:r>
        <w:rPr>
          <w:spacing w:val="-3"/>
        </w:rPr>
        <w:t xml:space="preserve">cost-effective (Zehner, 2012, </w:t>
      </w:r>
      <w:r>
        <w:t xml:space="preserve">p.180-181). </w:t>
      </w:r>
      <w:r>
        <w:rPr>
          <w:spacing w:val="-3"/>
        </w:rPr>
        <w:t xml:space="preserve">Even </w:t>
      </w:r>
      <w:r>
        <w:t xml:space="preserve">what is more striking is </w:t>
      </w:r>
      <w:r>
        <w:rPr>
          <w:spacing w:val="-3"/>
        </w:rPr>
        <w:t xml:space="preserve">that </w:t>
      </w:r>
      <w:r>
        <w:t xml:space="preserve">the </w:t>
      </w:r>
      <w:r>
        <w:rPr>
          <w:spacing w:val="-3"/>
        </w:rPr>
        <w:t xml:space="preserve">state followed </w:t>
      </w:r>
      <w:r>
        <w:t xml:space="preserve">a strategy that put energy efficiency in the first place, renewable energy in the second while </w:t>
      </w:r>
      <w:r>
        <w:rPr>
          <w:spacing w:val="-3"/>
        </w:rPr>
        <w:t xml:space="preserve">fossil </w:t>
      </w:r>
      <w:r>
        <w:t xml:space="preserve">energy </w:t>
      </w:r>
      <w:r>
        <w:rPr>
          <w:spacing w:val="-3"/>
        </w:rPr>
        <w:t xml:space="preserve">driven </w:t>
      </w:r>
      <w:r>
        <w:t xml:space="preserve">power </w:t>
      </w:r>
      <w:r>
        <w:rPr>
          <w:spacing w:val="-3"/>
        </w:rPr>
        <w:t xml:space="preserve">plants </w:t>
      </w:r>
      <w:r>
        <w:t xml:space="preserve">in the </w:t>
      </w:r>
      <w:r>
        <w:rPr>
          <w:spacing w:val="-3"/>
        </w:rPr>
        <w:t xml:space="preserve">last (California </w:t>
      </w:r>
      <w:r>
        <w:t xml:space="preserve">Energy </w:t>
      </w:r>
      <w:r>
        <w:rPr>
          <w:spacing w:val="-3"/>
        </w:rPr>
        <w:t xml:space="preserve">Commission, 2005). </w:t>
      </w:r>
      <w:r>
        <w:t xml:space="preserve">Furthermore, only by replacing </w:t>
      </w:r>
      <w:r>
        <w:rPr>
          <w:spacing w:val="-3"/>
        </w:rPr>
        <w:t xml:space="preserve">ten-year-old </w:t>
      </w:r>
      <w:r>
        <w:t xml:space="preserve">equipment with more </w:t>
      </w:r>
      <w:r>
        <w:rPr>
          <w:spacing w:val="-3"/>
        </w:rPr>
        <w:t xml:space="preserve">efficient </w:t>
      </w:r>
      <w:r>
        <w:t xml:space="preserve">ones, it is possible to decrease </w:t>
      </w:r>
      <w:r>
        <w:rPr>
          <w:spacing w:val="-3"/>
        </w:rPr>
        <w:t xml:space="preserve">annual </w:t>
      </w:r>
      <w:hyperlink r:id="rId26">
        <w:r>
          <w:t>CO</w:t>
        </w:r>
        <w:r>
          <w:rPr>
            <w:position w:val="-2"/>
            <w:sz w:val="16"/>
          </w:rPr>
          <w:t>2</w:t>
        </w:r>
      </w:hyperlink>
      <w:r>
        <w:rPr>
          <w:position w:val="-2"/>
          <w:sz w:val="16"/>
        </w:rPr>
        <w:t xml:space="preserve"> </w:t>
      </w:r>
      <w:hyperlink r:id="rId27">
        <w:r>
          <w:rPr>
            <w:spacing w:val="-3"/>
          </w:rPr>
          <w:t>emissions</w:t>
        </w:r>
      </w:hyperlink>
      <w:r>
        <w:rPr>
          <w:spacing w:val="-3"/>
        </w:rPr>
        <w:t xml:space="preserve"> </w:t>
      </w:r>
      <w:r>
        <w:t xml:space="preserve">in </w:t>
      </w:r>
      <w:r>
        <w:rPr>
          <w:spacing w:val="-3"/>
        </w:rPr>
        <w:t xml:space="preserve">Europe </w:t>
      </w:r>
      <w:r>
        <w:t xml:space="preserve">by </w:t>
      </w:r>
      <w:r>
        <w:rPr>
          <w:spacing w:val="-3"/>
        </w:rPr>
        <w:t xml:space="preserve">almost </w:t>
      </w:r>
      <w:r>
        <w:t xml:space="preserve">20 million tons </w:t>
      </w:r>
      <w:r>
        <w:rPr>
          <w:spacing w:val="-3"/>
        </w:rPr>
        <w:t>(Electrolux,</w:t>
      </w:r>
      <w:r>
        <w:rPr>
          <w:spacing w:val="-21"/>
        </w:rPr>
        <w:t xml:space="preserve"> </w:t>
      </w:r>
      <w:r>
        <w:rPr>
          <w:spacing w:val="-3"/>
        </w:rPr>
        <w:t>2011).</w:t>
      </w:r>
    </w:p>
    <w:p w:rsidR="00F3177F" w:rsidRDefault="00F3177F">
      <w:pPr>
        <w:pStyle w:val="BodyText"/>
      </w:pPr>
    </w:p>
    <w:p w:rsidR="00F3177F" w:rsidRDefault="0089671D">
      <w:pPr>
        <w:pStyle w:val="BodyText"/>
        <w:spacing w:before="143" w:line="360" w:lineRule="auto"/>
        <w:ind w:left="584" w:right="113"/>
        <w:jc w:val="both"/>
      </w:pPr>
      <w:r>
        <w:t xml:space="preserve">To begin with, buildings themselves are significant factors for </w:t>
      </w:r>
      <w:proofErr w:type="gramStart"/>
      <w:r>
        <w:t>in  energy</w:t>
      </w:r>
      <w:proofErr w:type="gramEnd"/>
      <w:r>
        <w:t xml:space="preserve"> efficiency along with advanced energy consuming appliances. Some of the factors influencing building energy efficiency are building location, structures around buildings such as other buildings, trees or natural structures, building envelop and insulation, and building design. For instance, potential energy saving of energy efficient buildings is equal to</w:t>
      </w:r>
      <w:r w:rsidR="00D163D9">
        <w:t xml:space="preserve"> </w:t>
      </w:r>
      <w:r>
        <w:t>144 million tons of tonne of oil equivalent in 2050 totaling to the present energy consumption in UK (IEA,</w:t>
      </w:r>
      <w:r>
        <w:rPr>
          <w:spacing w:val="-5"/>
        </w:rPr>
        <w:t xml:space="preserve"> </w:t>
      </w:r>
      <w:r>
        <w:t>2013).</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ind w:left="584"/>
        <w:jc w:val="both"/>
      </w:pPr>
      <w:r>
        <w:lastRenderedPageBreak/>
        <w:t>Other measurements for energy efficient buildings are:</w:t>
      </w:r>
    </w:p>
    <w:p w:rsidR="00F3177F" w:rsidRDefault="0089671D">
      <w:pPr>
        <w:pStyle w:val="ListParagraph"/>
        <w:numPr>
          <w:ilvl w:val="2"/>
          <w:numId w:val="39"/>
        </w:numPr>
        <w:tabs>
          <w:tab w:val="left" w:pos="1304"/>
          <w:tab w:val="left" w:pos="1305"/>
        </w:tabs>
        <w:spacing w:before="136"/>
        <w:rPr>
          <w:sz w:val="24"/>
        </w:rPr>
      </w:pPr>
      <w:r>
        <w:rPr>
          <w:sz w:val="24"/>
        </w:rPr>
        <w:t>More energy efficient construction</w:t>
      </w:r>
      <w:r>
        <w:rPr>
          <w:spacing w:val="-10"/>
          <w:sz w:val="24"/>
        </w:rPr>
        <w:t xml:space="preserve"> </w:t>
      </w:r>
      <w:r>
        <w:rPr>
          <w:sz w:val="24"/>
        </w:rPr>
        <w:t>material</w:t>
      </w:r>
    </w:p>
    <w:p w:rsidR="00F3177F" w:rsidRDefault="0089671D">
      <w:pPr>
        <w:pStyle w:val="ListParagraph"/>
        <w:numPr>
          <w:ilvl w:val="2"/>
          <w:numId w:val="39"/>
        </w:numPr>
        <w:tabs>
          <w:tab w:val="left" w:pos="1304"/>
          <w:tab w:val="left" w:pos="1305"/>
        </w:tabs>
        <w:rPr>
          <w:sz w:val="24"/>
        </w:rPr>
      </w:pPr>
      <w:r>
        <w:rPr>
          <w:sz w:val="24"/>
        </w:rPr>
        <w:t>Renewable energy</w:t>
      </w:r>
      <w:r>
        <w:rPr>
          <w:spacing w:val="-7"/>
          <w:sz w:val="24"/>
        </w:rPr>
        <w:t xml:space="preserve"> </w:t>
      </w:r>
      <w:r>
        <w:rPr>
          <w:sz w:val="24"/>
        </w:rPr>
        <w:t>sources</w:t>
      </w:r>
    </w:p>
    <w:p w:rsidR="00F3177F" w:rsidRDefault="0089671D">
      <w:pPr>
        <w:pStyle w:val="ListParagraph"/>
        <w:numPr>
          <w:ilvl w:val="2"/>
          <w:numId w:val="39"/>
        </w:numPr>
        <w:tabs>
          <w:tab w:val="left" w:pos="1304"/>
          <w:tab w:val="left" w:pos="1305"/>
        </w:tabs>
        <w:rPr>
          <w:sz w:val="24"/>
        </w:rPr>
      </w:pPr>
      <w:r>
        <w:rPr>
          <w:sz w:val="24"/>
        </w:rPr>
        <w:t>Energy</w:t>
      </w:r>
      <w:r>
        <w:rPr>
          <w:spacing w:val="-5"/>
          <w:sz w:val="24"/>
        </w:rPr>
        <w:t xml:space="preserve"> </w:t>
      </w:r>
      <w:r>
        <w:rPr>
          <w:sz w:val="24"/>
        </w:rPr>
        <w:t>dashboards</w:t>
      </w:r>
    </w:p>
    <w:p w:rsidR="00F3177F" w:rsidRDefault="0089671D">
      <w:pPr>
        <w:pStyle w:val="ListParagraph"/>
        <w:numPr>
          <w:ilvl w:val="2"/>
          <w:numId w:val="39"/>
        </w:numPr>
        <w:tabs>
          <w:tab w:val="left" w:pos="1304"/>
          <w:tab w:val="left" w:pos="1305"/>
        </w:tabs>
        <w:spacing w:before="135"/>
        <w:rPr>
          <w:sz w:val="24"/>
        </w:rPr>
      </w:pPr>
      <w:r>
        <w:rPr>
          <w:sz w:val="24"/>
        </w:rPr>
        <w:t>Natural</w:t>
      </w:r>
      <w:r>
        <w:rPr>
          <w:spacing w:val="-6"/>
          <w:sz w:val="24"/>
        </w:rPr>
        <w:t xml:space="preserve"> </w:t>
      </w:r>
      <w:r>
        <w:rPr>
          <w:sz w:val="24"/>
        </w:rPr>
        <w:t>ventilation</w:t>
      </w:r>
    </w:p>
    <w:p w:rsidR="00F3177F" w:rsidRDefault="0089671D">
      <w:pPr>
        <w:pStyle w:val="ListParagraph"/>
        <w:numPr>
          <w:ilvl w:val="2"/>
          <w:numId w:val="39"/>
        </w:numPr>
        <w:tabs>
          <w:tab w:val="left" w:pos="1304"/>
          <w:tab w:val="left" w:pos="1305"/>
        </w:tabs>
        <w:rPr>
          <w:sz w:val="24"/>
        </w:rPr>
      </w:pPr>
      <w:r>
        <w:rPr>
          <w:sz w:val="24"/>
        </w:rPr>
        <w:t>Insulation</w:t>
      </w:r>
    </w:p>
    <w:p w:rsidR="00F3177F" w:rsidRDefault="0089671D">
      <w:pPr>
        <w:pStyle w:val="ListParagraph"/>
        <w:numPr>
          <w:ilvl w:val="2"/>
          <w:numId w:val="39"/>
        </w:numPr>
        <w:tabs>
          <w:tab w:val="left" w:pos="1304"/>
          <w:tab w:val="left" w:pos="1305"/>
        </w:tabs>
        <w:rPr>
          <w:sz w:val="24"/>
        </w:rPr>
      </w:pPr>
      <w:r>
        <w:rPr>
          <w:sz w:val="24"/>
        </w:rPr>
        <w:t>Building Management Systems</w:t>
      </w:r>
      <w:r>
        <w:rPr>
          <w:spacing w:val="-8"/>
          <w:sz w:val="24"/>
        </w:rPr>
        <w:t xml:space="preserve"> </w:t>
      </w:r>
      <w:r>
        <w:rPr>
          <w:sz w:val="24"/>
        </w:rPr>
        <w:t>(BMS)</w:t>
      </w:r>
    </w:p>
    <w:p w:rsidR="00F3177F" w:rsidRDefault="0089671D">
      <w:pPr>
        <w:pStyle w:val="ListParagraph"/>
        <w:numPr>
          <w:ilvl w:val="2"/>
          <w:numId w:val="39"/>
        </w:numPr>
        <w:tabs>
          <w:tab w:val="left" w:pos="1304"/>
          <w:tab w:val="left" w:pos="1305"/>
        </w:tabs>
        <w:spacing w:before="135"/>
        <w:rPr>
          <w:sz w:val="24"/>
        </w:rPr>
      </w:pPr>
      <w:r>
        <w:rPr>
          <w:sz w:val="24"/>
        </w:rPr>
        <w:t>Passive Infra Reds (PIRs) to automatically turn off lights in unoccupied</w:t>
      </w:r>
      <w:r>
        <w:rPr>
          <w:spacing w:val="-18"/>
          <w:sz w:val="24"/>
        </w:rPr>
        <w:t xml:space="preserve"> </w:t>
      </w:r>
      <w:r>
        <w:rPr>
          <w:sz w:val="24"/>
        </w:rPr>
        <w:t>places</w:t>
      </w:r>
    </w:p>
    <w:p w:rsidR="00F3177F" w:rsidRDefault="0089671D">
      <w:pPr>
        <w:pStyle w:val="ListParagraph"/>
        <w:numPr>
          <w:ilvl w:val="2"/>
          <w:numId w:val="39"/>
        </w:numPr>
        <w:tabs>
          <w:tab w:val="left" w:pos="1304"/>
          <w:tab w:val="left" w:pos="1305"/>
        </w:tabs>
        <w:rPr>
          <w:sz w:val="24"/>
        </w:rPr>
      </w:pPr>
      <w:r>
        <w:rPr>
          <w:sz w:val="24"/>
        </w:rPr>
        <w:t>Advanced thermal</w:t>
      </w:r>
      <w:r>
        <w:rPr>
          <w:spacing w:val="-5"/>
          <w:sz w:val="24"/>
        </w:rPr>
        <w:t xml:space="preserve"> </w:t>
      </w:r>
      <w:r>
        <w:rPr>
          <w:sz w:val="24"/>
        </w:rPr>
        <w:t>implementations</w:t>
      </w:r>
    </w:p>
    <w:p w:rsidR="00F3177F" w:rsidRDefault="00CA6556">
      <w:pPr>
        <w:pStyle w:val="ListParagraph"/>
        <w:numPr>
          <w:ilvl w:val="2"/>
          <w:numId w:val="39"/>
        </w:numPr>
        <w:tabs>
          <w:tab w:val="left" w:pos="1304"/>
          <w:tab w:val="left" w:pos="1305"/>
        </w:tabs>
        <w:rPr>
          <w:sz w:val="24"/>
        </w:rPr>
      </w:pPr>
      <w:hyperlink r:id="rId28">
        <w:r w:rsidR="0089671D">
          <w:rPr>
            <w:sz w:val="24"/>
          </w:rPr>
          <w:t>Smart meters</w:t>
        </w:r>
      </w:hyperlink>
      <w:r w:rsidR="0089671D">
        <w:rPr>
          <w:sz w:val="24"/>
        </w:rPr>
        <w:t xml:space="preserve"> with/and Power Quality Analysers</w:t>
      </w:r>
      <w:r w:rsidR="0089671D">
        <w:rPr>
          <w:spacing w:val="-15"/>
          <w:sz w:val="24"/>
        </w:rPr>
        <w:t xml:space="preserve"> </w:t>
      </w:r>
      <w:r w:rsidR="0089671D">
        <w:rPr>
          <w:sz w:val="24"/>
        </w:rPr>
        <w:t>(PQAs)</w:t>
      </w:r>
    </w:p>
    <w:p w:rsidR="00F3177F" w:rsidRDefault="00CA6556">
      <w:pPr>
        <w:pStyle w:val="ListParagraph"/>
        <w:numPr>
          <w:ilvl w:val="2"/>
          <w:numId w:val="39"/>
        </w:numPr>
        <w:tabs>
          <w:tab w:val="left" w:pos="1304"/>
          <w:tab w:val="left" w:pos="1305"/>
        </w:tabs>
        <w:spacing w:before="135" w:line="352" w:lineRule="auto"/>
        <w:ind w:right="120"/>
        <w:rPr>
          <w:sz w:val="24"/>
        </w:rPr>
      </w:pPr>
      <w:hyperlink r:id="rId29">
        <w:r w:rsidR="0089671D">
          <w:rPr>
            <w:sz w:val="24"/>
          </w:rPr>
          <w:t>Green Building Extensible Markup Language</w:t>
        </w:r>
      </w:hyperlink>
      <w:r w:rsidR="0089671D">
        <w:rPr>
          <w:sz w:val="24"/>
        </w:rPr>
        <w:t xml:space="preserve"> with building energy simulation tools</w:t>
      </w:r>
    </w:p>
    <w:p w:rsidR="00F3177F" w:rsidRDefault="00F3177F">
      <w:pPr>
        <w:pStyle w:val="BodyText"/>
      </w:pPr>
    </w:p>
    <w:p w:rsidR="00F3177F" w:rsidRDefault="0089671D">
      <w:pPr>
        <w:pStyle w:val="BodyText"/>
        <w:spacing w:before="151" w:line="360" w:lineRule="auto"/>
        <w:ind w:left="584" w:right="118"/>
        <w:jc w:val="both"/>
      </w:pPr>
      <w:r>
        <w:t>Consequently, energy efficiency is and will stay as the mainstay of global development objectives for now and many years to come. Yet, the biggest barrier to energy efficiency implementations is the lack of commitment or a</w:t>
      </w:r>
      <w:r w:rsidR="003E634B">
        <w:t>ttention to the issue. A</w:t>
      </w:r>
      <w:r>
        <w:t>ccording to United Nations Foundation (2007), users’ preferences in building design and material</w:t>
      </w:r>
      <w:proofErr w:type="gramStart"/>
      <w:r>
        <w:t>,  changing</w:t>
      </w:r>
      <w:proofErr w:type="gramEnd"/>
      <w:r>
        <w:t xml:space="preserve"> technologies leading to the use of more energy consuming energy appliances are other reasons behind the lack of energy efficiency in</w:t>
      </w:r>
      <w:r>
        <w:rPr>
          <w:spacing w:val="-12"/>
        </w:rPr>
        <w:t xml:space="preserve"> </w:t>
      </w:r>
      <w:r>
        <w:t>buildings.</w:t>
      </w:r>
    </w:p>
    <w:p w:rsidR="00F3177F" w:rsidRDefault="00F3177F">
      <w:pPr>
        <w:pStyle w:val="BodyText"/>
      </w:pPr>
    </w:p>
    <w:p w:rsidR="00F3177F" w:rsidRDefault="0089671D">
      <w:pPr>
        <w:pStyle w:val="BodyText"/>
        <w:spacing w:before="140" w:line="360" w:lineRule="auto"/>
        <w:ind w:left="584" w:right="116"/>
        <w:jc w:val="both"/>
      </w:pPr>
      <w:r>
        <w:rPr>
          <w:spacing w:val="-3"/>
        </w:rPr>
        <w:t xml:space="preserve">Jalaei and </w:t>
      </w:r>
      <w:r>
        <w:t xml:space="preserve">Jrade </w:t>
      </w:r>
      <w:r>
        <w:rPr>
          <w:spacing w:val="-3"/>
        </w:rPr>
        <w:t xml:space="preserve">(2014) claim that despite </w:t>
      </w:r>
      <w:r>
        <w:rPr>
          <w:spacing w:val="-2"/>
        </w:rPr>
        <w:t xml:space="preserve">all </w:t>
      </w:r>
      <w:r>
        <w:t xml:space="preserve">the </w:t>
      </w:r>
      <w:r>
        <w:rPr>
          <w:spacing w:val="-3"/>
        </w:rPr>
        <w:t xml:space="preserve">importance, efforts </w:t>
      </w:r>
      <w:r>
        <w:t xml:space="preserve">put into </w:t>
      </w:r>
      <w:r>
        <w:rPr>
          <w:spacing w:val="-3"/>
        </w:rPr>
        <w:t xml:space="preserve">their improvement and </w:t>
      </w:r>
      <w:r>
        <w:t xml:space="preserve">their </w:t>
      </w:r>
      <w:r>
        <w:rPr>
          <w:spacing w:val="-3"/>
        </w:rPr>
        <w:t xml:space="preserve">precious results, </w:t>
      </w:r>
      <w:r>
        <w:t xml:space="preserve">energy efficiency </w:t>
      </w:r>
      <w:r>
        <w:rPr>
          <w:spacing w:val="-3"/>
        </w:rPr>
        <w:t xml:space="preserve">and </w:t>
      </w:r>
      <w:r>
        <w:t xml:space="preserve">sustainability are not “key </w:t>
      </w:r>
      <w:r>
        <w:rPr>
          <w:spacing w:val="-3"/>
        </w:rPr>
        <w:t xml:space="preserve">criteria </w:t>
      </w:r>
      <w:r>
        <w:t xml:space="preserve">in the building development </w:t>
      </w:r>
      <w:r>
        <w:rPr>
          <w:spacing w:val="-3"/>
        </w:rPr>
        <w:t xml:space="preserve">process” </w:t>
      </w:r>
      <w:r>
        <w:t xml:space="preserve">as they are mostly taken into </w:t>
      </w:r>
      <w:r>
        <w:rPr>
          <w:spacing w:val="-3"/>
        </w:rPr>
        <w:t xml:space="preserve">consideration after </w:t>
      </w:r>
      <w:r>
        <w:t xml:space="preserve">the </w:t>
      </w:r>
      <w:r>
        <w:rPr>
          <w:spacing w:val="-3"/>
        </w:rPr>
        <w:t xml:space="preserve">construction which </w:t>
      </w:r>
      <w:r>
        <w:t xml:space="preserve">makes retrospective adjusting less </w:t>
      </w:r>
      <w:r>
        <w:rPr>
          <w:spacing w:val="-3"/>
        </w:rPr>
        <w:t xml:space="preserve">effective. </w:t>
      </w:r>
      <w:r>
        <w:t xml:space="preserve">Thus, </w:t>
      </w:r>
      <w:r>
        <w:rPr>
          <w:spacing w:val="-3"/>
        </w:rPr>
        <w:t xml:space="preserve">cooperation </w:t>
      </w:r>
      <w:r>
        <w:t xml:space="preserve">of </w:t>
      </w:r>
      <w:r>
        <w:rPr>
          <w:spacing w:val="-2"/>
        </w:rPr>
        <w:t xml:space="preserve">all </w:t>
      </w:r>
      <w:r>
        <w:t xml:space="preserve">building </w:t>
      </w:r>
      <w:r>
        <w:rPr>
          <w:spacing w:val="-3"/>
        </w:rPr>
        <w:t xml:space="preserve">construction </w:t>
      </w:r>
      <w:r>
        <w:t xml:space="preserve">related </w:t>
      </w:r>
      <w:r>
        <w:rPr>
          <w:spacing w:val="-3"/>
        </w:rPr>
        <w:t xml:space="preserve">fields from </w:t>
      </w:r>
      <w:r>
        <w:t xml:space="preserve">the early </w:t>
      </w:r>
      <w:r>
        <w:rPr>
          <w:spacing w:val="-2"/>
        </w:rPr>
        <w:t xml:space="preserve">stages </w:t>
      </w:r>
      <w:r>
        <w:t xml:space="preserve">is very </w:t>
      </w:r>
      <w:r>
        <w:rPr>
          <w:spacing w:val="-3"/>
        </w:rPr>
        <w:t xml:space="preserve">important (Bouchlaghem </w:t>
      </w:r>
      <w:r>
        <w:t xml:space="preserve">et al., </w:t>
      </w:r>
      <w:r>
        <w:rPr>
          <w:spacing w:val="-2"/>
        </w:rPr>
        <w:t>2005).</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Heading2"/>
        <w:numPr>
          <w:ilvl w:val="2"/>
          <w:numId w:val="38"/>
        </w:numPr>
        <w:tabs>
          <w:tab w:val="left" w:pos="1245"/>
        </w:tabs>
        <w:spacing w:before="39"/>
        <w:jc w:val="both"/>
      </w:pPr>
      <w:bookmarkStart w:id="22" w:name="_TOC_250010"/>
      <w:r>
        <w:lastRenderedPageBreak/>
        <w:t>Energy Efficiency</w:t>
      </w:r>
      <w:r>
        <w:rPr>
          <w:spacing w:val="-7"/>
        </w:rPr>
        <w:t xml:space="preserve"> </w:t>
      </w:r>
      <w:bookmarkEnd w:id="22"/>
      <w:r>
        <w:t>Indicators</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6"/>
        <w:jc w:val="both"/>
      </w:pPr>
      <w:r>
        <w:t>As energy efficiency has gained great importance to evaluate energy performance, the measurement as an indicator is essential. However, the problem of setting an internationally accepted indicator to measure energy efficiency stands alone as there are various definitions. However, energy efficiency indicators can be described as the proportion between the input and useful output of a process in brief (Proskuryakova &amp; Kovalev, 2015).</w:t>
      </w:r>
    </w:p>
    <w:p w:rsidR="00F3177F" w:rsidRDefault="00F3177F">
      <w:pPr>
        <w:pStyle w:val="BodyText"/>
      </w:pPr>
    </w:p>
    <w:p w:rsidR="00F3177F" w:rsidRDefault="0089671D">
      <w:pPr>
        <w:pStyle w:val="BodyText"/>
        <w:spacing w:before="143" w:line="350" w:lineRule="auto"/>
        <w:ind w:left="584" w:right="111"/>
        <w:jc w:val="both"/>
      </w:pPr>
      <w:r>
        <w:t>Concerning school energy consumptions, various energy consumption parameters and consequently indicators are used in literature and researches. Most commonly used ones are kilowatt of energy per unit of building area (kWh/m</w:t>
      </w:r>
      <w:r>
        <w:rPr>
          <w:position w:val="11"/>
          <w:sz w:val="16"/>
        </w:rPr>
        <w:t>2</w:t>
      </w:r>
      <w:r>
        <w:t>) and kilowatt of energy per</w:t>
      </w:r>
      <w:r w:rsidR="003E634B">
        <w:t xml:space="preserve"> </w:t>
      </w:r>
      <w:r>
        <w:t>unit of building volume (kWh/m</w:t>
      </w:r>
      <w:r>
        <w:rPr>
          <w:position w:val="11"/>
          <w:sz w:val="16"/>
        </w:rPr>
        <w:t>3</w:t>
      </w:r>
      <w:r>
        <w:t>). For instance, d’Ambrosio et al. (2010) for schools' yearly energy consumption figures for each country, Katafygiotou and Serghides (2014) for the annual energy consumption of Cyprus schools and Paris (2012) for primary school energy consumptions in Paris use kWh/m</w:t>
      </w:r>
      <w:r>
        <w:rPr>
          <w:position w:val="11"/>
          <w:sz w:val="16"/>
        </w:rPr>
        <w:t>2</w:t>
      </w:r>
      <w:r>
        <w:t>, while Corgnati et al. (2008) use both kWh/m</w:t>
      </w:r>
      <w:r>
        <w:rPr>
          <w:position w:val="11"/>
          <w:sz w:val="16"/>
        </w:rPr>
        <w:t xml:space="preserve">2 </w:t>
      </w:r>
      <w:r>
        <w:t>and kWh/m</w:t>
      </w:r>
      <w:r>
        <w:rPr>
          <w:position w:val="11"/>
          <w:sz w:val="16"/>
        </w:rPr>
        <w:t xml:space="preserve">3 </w:t>
      </w:r>
      <w:r>
        <w:t xml:space="preserve">for district heating energy use and the total electrical energy </w:t>
      </w:r>
      <w:proofErr w:type="gramStart"/>
      <w:r>
        <w:t>use  as</w:t>
      </w:r>
      <w:proofErr w:type="gramEnd"/>
      <w:r>
        <w:t xml:space="preserve"> room heights vary (ENEA, 2010). In countries with significantly different climate zone, kWh/m</w:t>
      </w:r>
      <w:r>
        <w:rPr>
          <w:position w:val="11"/>
          <w:sz w:val="16"/>
        </w:rPr>
        <w:t>2</w:t>
      </w:r>
      <w:r>
        <w:t xml:space="preserve">xGGxanno is also used with GG (gradi-giorno) taking degree-days (DD) into account and fossil fuel and electricity consumptions are separately calculated </w:t>
      </w:r>
      <w:r>
        <w:rPr>
          <w:spacing w:val="2"/>
        </w:rPr>
        <w:t xml:space="preserve">as </w:t>
      </w:r>
      <w:r>
        <w:t xml:space="preserve">in the UK to compare with related benchmarks (Pereira et al., 2014). For instance, according to Hermelink et al.’s (2013) research some of the best practice schools are all-electric schools. Bruhns (2011) attracts attention to the differences between gross floor area and total useful floor area as variables. Some researchers such as Santamouris and Sfakianaki (2009) separate heating energy loads and HVAC </w:t>
      </w:r>
      <w:r>
        <w:rPr>
          <w:spacing w:val="-3"/>
        </w:rPr>
        <w:t xml:space="preserve">system </w:t>
      </w:r>
      <w:r>
        <w:t xml:space="preserve">energy </w:t>
      </w:r>
      <w:r>
        <w:rPr>
          <w:spacing w:val="-3"/>
        </w:rPr>
        <w:t xml:space="preserve">consumption. </w:t>
      </w:r>
      <w:r>
        <w:t xml:space="preserve">Pereira et al. (2013) </w:t>
      </w:r>
      <w:r>
        <w:rPr>
          <w:spacing w:val="-3"/>
        </w:rPr>
        <w:t xml:space="preserve">proposed </w:t>
      </w:r>
      <w:r>
        <w:t xml:space="preserve">that a </w:t>
      </w:r>
      <w:r>
        <w:rPr>
          <w:spacing w:val="-3"/>
        </w:rPr>
        <w:t xml:space="preserve">School Benchmarking Indicator </w:t>
      </w:r>
      <w:r>
        <w:t xml:space="preserve">(SBI) </w:t>
      </w:r>
      <w:r>
        <w:rPr>
          <w:spacing w:val="-3"/>
        </w:rPr>
        <w:t xml:space="preserve">based </w:t>
      </w:r>
      <w:r>
        <w:t xml:space="preserve">on </w:t>
      </w:r>
      <w:r>
        <w:rPr>
          <w:spacing w:val="-3"/>
        </w:rPr>
        <w:t xml:space="preserve">measured </w:t>
      </w:r>
      <w:r>
        <w:t xml:space="preserve">energy consumption </w:t>
      </w:r>
      <w:r>
        <w:rPr>
          <w:spacing w:val="-3"/>
        </w:rPr>
        <w:t xml:space="preserve">should </w:t>
      </w:r>
      <w:r>
        <w:t xml:space="preserve">be </w:t>
      </w:r>
      <w:r>
        <w:rPr>
          <w:spacing w:val="-3"/>
        </w:rPr>
        <w:t xml:space="preserve">used </w:t>
      </w:r>
      <w:r>
        <w:t xml:space="preserve">rather than Energy </w:t>
      </w:r>
      <w:r>
        <w:rPr>
          <w:spacing w:val="-3"/>
        </w:rPr>
        <w:t xml:space="preserve">Performance Certificate’s theoretical calculation </w:t>
      </w:r>
      <w:r>
        <w:t>of building energy</w:t>
      </w:r>
      <w:r>
        <w:rPr>
          <w:spacing w:val="-9"/>
        </w:rPr>
        <w:t xml:space="preserve"> </w:t>
      </w:r>
      <w:r>
        <w:rPr>
          <w:spacing w:val="-3"/>
        </w:rPr>
        <w:t>performance.</w:t>
      </w:r>
    </w:p>
    <w:p w:rsidR="00F3177F" w:rsidRDefault="00F3177F">
      <w:pPr>
        <w:spacing w:line="350" w:lineRule="auto"/>
        <w:jc w:val="both"/>
        <w:sectPr w:rsidR="00F3177F">
          <w:pgSz w:w="12240" w:h="15840"/>
          <w:pgMar w:top="1400" w:right="1320" w:bottom="2320" w:left="1720" w:header="0" w:footer="2095" w:gutter="0"/>
          <w:cols w:space="720"/>
        </w:sectPr>
      </w:pPr>
    </w:p>
    <w:p w:rsidR="00F3177F" w:rsidRDefault="0089671D">
      <w:pPr>
        <w:pStyle w:val="Heading2"/>
        <w:numPr>
          <w:ilvl w:val="2"/>
          <w:numId w:val="38"/>
        </w:numPr>
        <w:tabs>
          <w:tab w:val="left" w:pos="1245"/>
        </w:tabs>
        <w:spacing w:before="39"/>
        <w:jc w:val="both"/>
      </w:pPr>
      <w:bookmarkStart w:id="23" w:name="_TOC_250009"/>
      <w:r>
        <w:lastRenderedPageBreak/>
        <w:t>Energy Conservation Measures</w:t>
      </w:r>
      <w:r>
        <w:rPr>
          <w:spacing w:val="-7"/>
        </w:rPr>
        <w:t xml:space="preserve"> </w:t>
      </w:r>
      <w:bookmarkEnd w:id="23"/>
      <w:r>
        <w:t>(ECMs)</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4"/>
        <w:jc w:val="both"/>
      </w:pPr>
      <w:r>
        <w:rPr>
          <w:spacing w:val="-3"/>
        </w:rPr>
        <w:t xml:space="preserve">Individual and organizational </w:t>
      </w:r>
      <w:r>
        <w:t xml:space="preserve">energy </w:t>
      </w:r>
      <w:r>
        <w:rPr>
          <w:spacing w:val="-3"/>
        </w:rPr>
        <w:t xml:space="preserve">consumptions from </w:t>
      </w:r>
      <w:r>
        <w:t xml:space="preserve">national scale to </w:t>
      </w:r>
      <w:r>
        <w:rPr>
          <w:spacing w:val="-3"/>
        </w:rPr>
        <w:t xml:space="preserve">international </w:t>
      </w:r>
      <w:r>
        <w:t xml:space="preserve">one have social, economic </w:t>
      </w:r>
      <w:r>
        <w:rPr>
          <w:spacing w:val="-3"/>
        </w:rPr>
        <w:t xml:space="preserve">and environmental consequences. </w:t>
      </w:r>
      <w:r>
        <w:t xml:space="preserve">These </w:t>
      </w:r>
      <w:r>
        <w:rPr>
          <w:spacing w:val="-3"/>
        </w:rPr>
        <w:t xml:space="preserve">consequences </w:t>
      </w:r>
      <w:r>
        <w:t xml:space="preserve">such as energy prices, </w:t>
      </w:r>
      <w:r>
        <w:rPr>
          <w:spacing w:val="-3"/>
        </w:rPr>
        <w:t xml:space="preserve">global warming and </w:t>
      </w:r>
      <w:r>
        <w:t xml:space="preserve">pollution, efficiency </w:t>
      </w:r>
      <w:r>
        <w:rPr>
          <w:spacing w:val="-3"/>
        </w:rPr>
        <w:t xml:space="preserve">directories and legislation procedures force everyone </w:t>
      </w:r>
      <w:r>
        <w:t xml:space="preserve">to take </w:t>
      </w:r>
      <w:r>
        <w:rPr>
          <w:spacing w:val="-3"/>
        </w:rPr>
        <w:t xml:space="preserve">measures </w:t>
      </w:r>
      <w:r>
        <w:t xml:space="preserve">to save </w:t>
      </w:r>
      <w:r>
        <w:rPr>
          <w:spacing w:val="-3"/>
        </w:rPr>
        <w:t xml:space="preserve">energy. </w:t>
      </w:r>
      <w:r>
        <w:t xml:space="preserve">Above </w:t>
      </w:r>
      <w:r>
        <w:rPr>
          <w:spacing w:val="-2"/>
        </w:rPr>
        <w:t xml:space="preserve">all </w:t>
      </w:r>
      <w:r>
        <w:t xml:space="preserve">the </w:t>
      </w:r>
      <w:r>
        <w:rPr>
          <w:spacing w:val="-3"/>
        </w:rPr>
        <w:t xml:space="preserve">others, </w:t>
      </w:r>
      <w:r>
        <w:t xml:space="preserve">one </w:t>
      </w:r>
      <w:r>
        <w:rPr>
          <w:spacing w:val="-3"/>
        </w:rPr>
        <w:t xml:space="preserve">reason </w:t>
      </w:r>
      <w:r>
        <w:t xml:space="preserve">itself is </w:t>
      </w:r>
      <w:r>
        <w:rPr>
          <w:spacing w:val="-3"/>
        </w:rPr>
        <w:t xml:space="preserve">significant enough </w:t>
      </w:r>
      <w:r>
        <w:t xml:space="preserve">to take measures </w:t>
      </w:r>
      <w:r>
        <w:rPr>
          <w:spacing w:val="-3"/>
        </w:rPr>
        <w:t xml:space="preserve">and </w:t>
      </w:r>
      <w:r>
        <w:t xml:space="preserve">it is that we have only one </w:t>
      </w:r>
      <w:r>
        <w:rPr>
          <w:spacing w:val="-3"/>
        </w:rPr>
        <w:t xml:space="preserve">planet </w:t>
      </w:r>
      <w:r>
        <w:t xml:space="preserve">to </w:t>
      </w:r>
      <w:r>
        <w:rPr>
          <w:spacing w:val="-3"/>
        </w:rPr>
        <w:t xml:space="preserve">live. It </w:t>
      </w:r>
      <w:r>
        <w:t xml:space="preserve">makes energy saving/efficiency a </w:t>
      </w:r>
      <w:r>
        <w:rPr>
          <w:spacing w:val="-3"/>
        </w:rPr>
        <w:t xml:space="preserve">crucial issue </w:t>
      </w:r>
      <w:r>
        <w:t xml:space="preserve">for </w:t>
      </w:r>
      <w:r>
        <w:rPr>
          <w:spacing w:val="-3"/>
        </w:rPr>
        <w:t>humanity.</w:t>
      </w:r>
    </w:p>
    <w:p w:rsidR="00F3177F" w:rsidRDefault="00F3177F">
      <w:pPr>
        <w:pStyle w:val="BodyText"/>
      </w:pPr>
    </w:p>
    <w:p w:rsidR="00F3177F" w:rsidRDefault="0089671D">
      <w:pPr>
        <w:pStyle w:val="BodyText"/>
        <w:spacing w:before="143" w:line="360" w:lineRule="auto"/>
        <w:ind w:left="584" w:right="117"/>
        <w:jc w:val="both"/>
      </w:pPr>
      <w:r>
        <w:t>From the point of markets, around 40% of energy efficiency market worldwide that is annually around USD 310 billion is financed with debt makes energy efficiency first fuel (IEA, 2014, p.18). Consequently, this huge market brings about some legislation. For instance, in the U.S., all states have built statutes allowing companies to offer energy savings performance contracts with variant levels of success depending on approach, state’s degree of involvement and other factors (Durkay, 2013). Big organizations often apply contracts with energy service companies that follow some guidelines built by international organizations. One of them is International Performance Measurement and Verification Protocol (IPMVP). Although the Protocol does not enact as a legitimate obligation, it delivers a framework to improve energy performance of sustainable energy sources and IEQ (US Department of Energy, 2002, p.iii).</w:t>
      </w:r>
    </w:p>
    <w:p w:rsidR="00F3177F" w:rsidRDefault="00F3177F">
      <w:pPr>
        <w:pStyle w:val="BodyText"/>
      </w:pPr>
    </w:p>
    <w:p w:rsidR="00F3177F" w:rsidRDefault="0089671D">
      <w:pPr>
        <w:pStyle w:val="BodyText"/>
        <w:spacing w:before="143" w:line="360" w:lineRule="auto"/>
        <w:ind w:left="584" w:right="114"/>
        <w:jc w:val="both"/>
      </w:pPr>
      <w:r>
        <w:t xml:space="preserve">Energy </w:t>
      </w:r>
      <w:r>
        <w:rPr>
          <w:spacing w:val="-3"/>
        </w:rPr>
        <w:t xml:space="preserve">conservation measures </w:t>
      </w:r>
      <w:r>
        <w:t xml:space="preserve">are steps taken to </w:t>
      </w:r>
      <w:r>
        <w:rPr>
          <w:spacing w:val="-3"/>
        </w:rPr>
        <w:t xml:space="preserve">reduce </w:t>
      </w:r>
      <w:r>
        <w:t xml:space="preserve">energy </w:t>
      </w:r>
      <w:r>
        <w:rPr>
          <w:spacing w:val="-3"/>
        </w:rPr>
        <w:t xml:space="preserve">consumption </w:t>
      </w:r>
      <w:r>
        <w:t xml:space="preserve">in an </w:t>
      </w:r>
      <w:r>
        <w:rPr>
          <w:spacing w:val="-3"/>
        </w:rPr>
        <w:t xml:space="preserve">organization </w:t>
      </w:r>
      <w:r>
        <w:t xml:space="preserve">or a </w:t>
      </w:r>
      <w:r>
        <w:rPr>
          <w:spacing w:val="-3"/>
        </w:rPr>
        <w:t xml:space="preserve">facility. </w:t>
      </w:r>
      <w:r>
        <w:rPr>
          <w:spacing w:val="-4"/>
        </w:rPr>
        <w:t xml:space="preserve">In </w:t>
      </w:r>
      <w:r>
        <w:t xml:space="preserve">simple and </w:t>
      </w:r>
      <w:r>
        <w:rPr>
          <w:spacing w:val="-3"/>
        </w:rPr>
        <w:t xml:space="preserve">small </w:t>
      </w:r>
      <w:r>
        <w:t xml:space="preserve">size </w:t>
      </w:r>
      <w:r>
        <w:rPr>
          <w:spacing w:val="-3"/>
        </w:rPr>
        <w:t xml:space="preserve">buildings </w:t>
      </w:r>
      <w:r>
        <w:t xml:space="preserve">it can start from changing </w:t>
      </w:r>
      <w:r>
        <w:rPr>
          <w:spacing w:val="-3"/>
        </w:rPr>
        <w:t xml:space="preserve">light </w:t>
      </w:r>
      <w:r>
        <w:t xml:space="preserve">bulbs into </w:t>
      </w:r>
      <w:r>
        <w:rPr>
          <w:spacing w:val="-3"/>
        </w:rPr>
        <w:t xml:space="preserve">fluorescent </w:t>
      </w:r>
      <w:r>
        <w:t xml:space="preserve">lambs, changing </w:t>
      </w:r>
      <w:r>
        <w:rPr>
          <w:spacing w:val="-3"/>
        </w:rPr>
        <w:t xml:space="preserve">window frames, </w:t>
      </w:r>
      <w:r>
        <w:t xml:space="preserve">checking </w:t>
      </w:r>
      <w:r>
        <w:rPr>
          <w:spacing w:val="-3"/>
        </w:rPr>
        <w:t xml:space="preserve">heating, ventilating, and </w:t>
      </w:r>
      <w:r>
        <w:rPr>
          <w:spacing w:val="-2"/>
        </w:rPr>
        <w:t xml:space="preserve">air </w:t>
      </w:r>
      <w:r>
        <w:t xml:space="preserve">conditioning (HVAC) </w:t>
      </w:r>
      <w:r>
        <w:rPr>
          <w:spacing w:val="-3"/>
        </w:rPr>
        <w:t xml:space="preserve">systems. </w:t>
      </w:r>
      <w:r>
        <w:t xml:space="preserve">On a </w:t>
      </w:r>
      <w:r>
        <w:rPr>
          <w:spacing w:val="-3"/>
        </w:rPr>
        <w:t xml:space="preserve">greater </w:t>
      </w:r>
      <w:r>
        <w:t xml:space="preserve">scale, </w:t>
      </w:r>
      <w:r>
        <w:rPr>
          <w:spacing w:val="-2"/>
        </w:rPr>
        <w:t xml:space="preserve">energy </w:t>
      </w:r>
      <w:r>
        <w:rPr>
          <w:spacing w:val="-3"/>
        </w:rPr>
        <w:t xml:space="preserve">dashboards for progressive </w:t>
      </w:r>
      <w:r>
        <w:t xml:space="preserve">check </w:t>
      </w:r>
      <w:r>
        <w:rPr>
          <w:spacing w:val="-3"/>
        </w:rPr>
        <w:t xml:space="preserve">and </w:t>
      </w:r>
      <w:r>
        <w:t xml:space="preserve">energy saving </w:t>
      </w:r>
      <w:r>
        <w:rPr>
          <w:spacing w:val="-3"/>
        </w:rPr>
        <w:t xml:space="preserve">commitments and </w:t>
      </w:r>
      <w:r>
        <w:t xml:space="preserve">improving building </w:t>
      </w:r>
      <w:r>
        <w:rPr>
          <w:spacing w:val="-3"/>
        </w:rPr>
        <w:t xml:space="preserve">envelopes </w:t>
      </w:r>
      <w:r>
        <w:t>are</w:t>
      </w:r>
      <w:r>
        <w:rPr>
          <w:spacing w:val="-16"/>
        </w:rPr>
        <w:t xml:space="preserve"> </w:t>
      </w:r>
      <w:r>
        <w:t>also</w:t>
      </w:r>
      <w:r>
        <w:rPr>
          <w:spacing w:val="-15"/>
        </w:rPr>
        <w:t xml:space="preserve"> </w:t>
      </w:r>
      <w:r>
        <w:t>very</w:t>
      </w:r>
      <w:r>
        <w:rPr>
          <w:spacing w:val="-19"/>
        </w:rPr>
        <w:t xml:space="preserve"> </w:t>
      </w:r>
      <w:r>
        <w:t>useful.</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4"/>
        <w:jc w:val="both"/>
      </w:pPr>
      <w:r>
        <w:lastRenderedPageBreak/>
        <w:t xml:space="preserve">All energy saving measures start with </w:t>
      </w:r>
      <w:r>
        <w:rPr>
          <w:spacing w:val="-3"/>
        </w:rPr>
        <w:t xml:space="preserve">individual </w:t>
      </w:r>
      <w:r>
        <w:t xml:space="preserve">and </w:t>
      </w:r>
      <w:r>
        <w:rPr>
          <w:spacing w:val="-3"/>
        </w:rPr>
        <w:t xml:space="preserve">organizational-level commitment </w:t>
      </w:r>
      <w:r>
        <w:t xml:space="preserve">to </w:t>
      </w:r>
      <w:r>
        <w:rPr>
          <w:spacing w:val="-3"/>
        </w:rPr>
        <w:t>save</w:t>
      </w:r>
      <w:r>
        <w:rPr>
          <w:spacing w:val="-7"/>
        </w:rPr>
        <w:t xml:space="preserve"> </w:t>
      </w:r>
      <w:r>
        <w:t>energy</w:t>
      </w:r>
      <w:r>
        <w:rPr>
          <w:spacing w:val="-11"/>
        </w:rPr>
        <w:t xml:space="preserve"> </w:t>
      </w:r>
      <w:r>
        <w:rPr>
          <w:spacing w:val="-3"/>
        </w:rPr>
        <w:t>and</w:t>
      </w:r>
      <w:r>
        <w:rPr>
          <w:spacing w:val="-6"/>
        </w:rPr>
        <w:t xml:space="preserve"> </w:t>
      </w:r>
      <w:r>
        <w:t>protect</w:t>
      </w:r>
      <w:r>
        <w:rPr>
          <w:spacing w:val="-5"/>
        </w:rPr>
        <w:t xml:space="preserve"> </w:t>
      </w:r>
      <w:r>
        <w:rPr>
          <w:spacing w:val="-3"/>
        </w:rPr>
        <w:t>environment.</w:t>
      </w:r>
      <w:r>
        <w:rPr>
          <w:spacing w:val="-6"/>
        </w:rPr>
        <w:t xml:space="preserve"> </w:t>
      </w:r>
      <w:r>
        <w:t>Building</w:t>
      </w:r>
      <w:r>
        <w:rPr>
          <w:spacing w:val="-8"/>
        </w:rPr>
        <w:t xml:space="preserve"> </w:t>
      </w:r>
      <w:r>
        <w:t>a</w:t>
      </w:r>
      <w:r>
        <w:rPr>
          <w:spacing w:val="-9"/>
        </w:rPr>
        <w:t xml:space="preserve"> </w:t>
      </w:r>
      <w:r>
        <w:t>team</w:t>
      </w:r>
      <w:r>
        <w:rPr>
          <w:spacing w:val="-5"/>
        </w:rPr>
        <w:t xml:space="preserve"> </w:t>
      </w:r>
      <w:r>
        <w:rPr>
          <w:spacing w:val="-3"/>
        </w:rPr>
        <w:t>and</w:t>
      </w:r>
      <w:r>
        <w:rPr>
          <w:spacing w:val="-6"/>
        </w:rPr>
        <w:t xml:space="preserve"> </w:t>
      </w:r>
      <w:r>
        <w:rPr>
          <w:spacing w:val="-3"/>
        </w:rPr>
        <w:t>assigning</w:t>
      </w:r>
      <w:r>
        <w:rPr>
          <w:spacing w:val="-6"/>
        </w:rPr>
        <w:t xml:space="preserve"> </w:t>
      </w:r>
      <w:r>
        <w:t>a</w:t>
      </w:r>
      <w:r>
        <w:rPr>
          <w:spacing w:val="-9"/>
        </w:rPr>
        <w:t xml:space="preserve"> </w:t>
      </w:r>
      <w:r>
        <w:t>leader</w:t>
      </w:r>
      <w:r>
        <w:rPr>
          <w:spacing w:val="-7"/>
        </w:rPr>
        <w:t xml:space="preserve"> </w:t>
      </w:r>
      <w:r>
        <w:t>for</w:t>
      </w:r>
      <w:r>
        <w:rPr>
          <w:spacing w:val="-9"/>
        </w:rPr>
        <w:t xml:space="preserve"> </w:t>
      </w:r>
      <w:r>
        <w:t>the</w:t>
      </w:r>
      <w:r>
        <w:rPr>
          <w:spacing w:val="-9"/>
        </w:rPr>
        <w:t xml:space="preserve"> </w:t>
      </w:r>
      <w:r>
        <w:t xml:space="preserve">team, </w:t>
      </w:r>
      <w:r>
        <w:rPr>
          <w:spacing w:val="-3"/>
        </w:rPr>
        <w:t xml:space="preserve">informing </w:t>
      </w:r>
      <w:r>
        <w:t xml:space="preserve">the community with transparency regularly and arranging meetings with </w:t>
      </w:r>
      <w:r>
        <w:rPr>
          <w:spacing w:val="-3"/>
        </w:rPr>
        <w:t xml:space="preserve">users </w:t>
      </w:r>
      <w:r>
        <w:t xml:space="preserve">to </w:t>
      </w:r>
      <w:r>
        <w:rPr>
          <w:spacing w:val="-3"/>
        </w:rPr>
        <w:t xml:space="preserve">educate, inform </w:t>
      </w:r>
      <w:r>
        <w:t xml:space="preserve">and </w:t>
      </w:r>
      <w:r>
        <w:rPr>
          <w:spacing w:val="-3"/>
        </w:rPr>
        <w:t xml:space="preserve">motivate </w:t>
      </w:r>
      <w:r>
        <w:t xml:space="preserve">them can be very </w:t>
      </w:r>
      <w:r>
        <w:rPr>
          <w:spacing w:val="-3"/>
        </w:rPr>
        <w:t xml:space="preserve">effective. It should </w:t>
      </w:r>
      <w:r>
        <w:t xml:space="preserve">be kept in mind </w:t>
      </w:r>
      <w:r>
        <w:rPr>
          <w:spacing w:val="-3"/>
        </w:rPr>
        <w:t xml:space="preserve">that success </w:t>
      </w:r>
      <w:r>
        <w:t xml:space="preserve">of </w:t>
      </w:r>
      <w:r>
        <w:rPr>
          <w:spacing w:val="-2"/>
        </w:rPr>
        <w:t xml:space="preserve">all </w:t>
      </w:r>
      <w:r>
        <w:t xml:space="preserve">energy saving </w:t>
      </w:r>
      <w:r>
        <w:rPr>
          <w:spacing w:val="-3"/>
        </w:rPr>
        <w:t xml:space="preserve">efforts </w:t>
      </w:r>
      <w:r>
        <w:t xml:space="preserve">and </w:t>
      </w:r>
      <w:r>
        <w:rPr>
          <w:spacing w:val="-3"/>
        </w:rPr>
        <w:t xml:space="preserve">measures </w:t>
      </w:r>
      <w:r>
        <w:t xml:space="preserve">lie in </w:t>
      </w:r>
      <w:r>
        <w:rPr>
          <w:spacing w:val="-3"/>
        </w:rPr>
        <w:t xml:space="preserve">human </w:t>
      </w:r>
      <w:r>
        <w:t xml:space="preserve">behavior </w:t>
      </w:r>
      <w:r>
        <w:rPr>
          <w:spacing w:val="-3"/>
        </w:rPr>
        <w:t xml:space="preserve">and commitment. For </w:t>
      </w:r>
      <w:r>
        <w:t xml:space="preserve">instance, arranging a meeting with a small </w:t>
      </w:r>
      <w:r>
        <w:rPr>
          <w:spacing w:val="-3"/>
        </w:rPr>
        <w:t xml:space="preserve">group </w:t>
      </w:r>
      <w:r>
        <w:t xml:space="preserve">of people in a small </w:t>
      </w:r>
      <w:r>
        <w:rPr>
          <w:spacing w:val="-3"/>
        </w:rPr>
        <w:t xml:space="preserve">room </w:t>
      </w:r>
      <w:r>
        <w:t>or a warmer/already</w:t>
      </w:r>
      <w:r>
        <w:rPr>
          <w:spacing w:val="-19"/>
        </w:rPr>
        <w:t xml:space="preserve"> </w:t>
      </w:r>
      <w:r>
        <w:t>warmed</w:t>
      </w:r>
      <w:r>
        <w:rPr>
          <w:spacing w:val="-13"/>
        </w:rPr>
        <w:t xml:space="preserve"> </w:t>
      </w:r>
      <w:r>
        <w:t>room</w:t>
      </w:r>
      <w:r>
        <w:rPr>
          <w:spacing w:val="-15"/>
        </w:rPr>
        <w:t xml:space="preserve"> </w:t>
      </w:r>
      <w:r>
        <w:t>can</w:t>
      </w:r>
      <w:r>
        <w:rPr>
          <w:spacing w:val="-15"/>
        </w:rPr>
        <w:t xml:space="preserve"> </w:t>
      </w:r>
      <w:r>
        <w:t>save</w:t>
      </w:r>
      <w:r>
        <w:rPr>
          <w:spacing w:val="-14"/>
        </w:rPr>
        <w:t xml:space="preserve"> </w:t>
      </w:r>
      <w:r>
        <w:t>energy</w:t>
      </w:r>
      <w:r>
        <w:rPr>
          <w:spacing w:val="-17"/>
        </w:rPr>
        <w:t xml:space="preserve"> </w:t>
      </w:r>
      <w:r>
        <w:t>without</w:t>
      </w:r>
      <w:r>
        <w:rPr>
          <w:spacing w:val="-15"/>
        </w:rPr>
        <w:t xml:space="preserve"> </w:t>
      </w:r>
      <w:r>
        <w:t>any</w:t>
      </w:r>
      <w:r>
        <w:rPr>
          <w:spacing w:val="-17"/>
        </w:rPr>
        <w:t xml:space="preserve"> </w:t>
      </w:r>
      <w:r>
        <w:rPr>
          <w:spacing w:val="-3"/>
        </w:rPr>
        <w:t>effort.</w:t>
      </w:r>
    </w:p>
    <w:p w:rsidR="00F3177F" w:rsidRDefault="00F3177F">
      <w:pPr>
        <w:pStyle w:val="BodyText"/>
      </w:pPr>
    </w:p>
    <w:p w:rsidR="00F3177F" w:rsidRDefault="0089671D">
      <w:pPr>
        <w:pStyle w:val="BodyText"/>
        <w:spacing w:before="143" w:line="360" w:lineRule="auto"/>
        <w:ind w:left="584" w:right="110"/>
        <w:jc w:val="both"/>
      </w:pPr>
      <w:r>
        <w:rPr>
          <w:spacing w:val="-3"/>
        </w:rPr>
        <w:t xml:space="preserve">Biggest contribution </w:t>
      </w:r>
      <w:r>
        <w:t xml:space="preserve">to energy </w:t>
      </w:r>
      <w:r>
        <w:rPr>
          <w:spacing w:val="-3"/>
        </w:rPr>
        <w:t xml:space="preserve">conversation </w:t>
      </w:r>
      <w:r>
        <w:t xml:space="preserve">comes </w:t>
      </w:r>
      <w:r>
        <w:rPr>
          <w:spacing w:val="-3"/>
        </w:rPr>
        <w:t xml:space="preserve">from insulation </w:t>
      </w:r>
      <w:r>
        <w:t xml:space="preserve">including building </w:t>
      </w:r>
      <w:r>
        <w:rPr>
          <w:spacing w:val="-3"/>
        </w:rPr>
        <w:t xml:space="preserve">envelope. </w:t>
      </w:r>
      <w:r>
        <w:t xml:space="preserve">A study done by </w:t>
      </w:r>
      <w:r>
        <w:rPr>
          <w:spacing w:val="-3"/>
        </w:rPr>
        <w:t xml:space="preserve">Texas </w:t>
      </w:r>
      <w:r>
        <w:t xml:space="preserve">A&amp;M University indicated </w:t>
      </w:r>
      <w:r>
        <w:rPr>
          <w:spacing w:val="-3"/>
        </w:rPr>
        <w:t xml:space="preserve">that </w:t>
      </w:r>
      <w:r>
        <w:t xml:space="preserve">80% of the energy </w:t>
      </w:r>
      <w:r>
        <w:rPr>
          <w:spacing w:val="-3"/>
        </w:rPr>
        <w:t xml:space="preserve">savings </w:t>
      </w:r>
      <w:r>
        <w:t xml:space="preserve">are from building tune-up (U.S. </w:t>
      </w:r>
      <w:r>
        <w:rPr>
          <w:spacing w:val="-3"/>
        </w:rPr>
        <w:t xml:space="preserve">Fish </w:t>
      </w:r>
      <w:r>
        <w:t xml:space="preserve">and Wildlife </w:t>
      </w:r>
      <w:r>
        <w:rPr>
          <w:spacing w:val="-3"/>
        </w:rPr>
        <w:t xml:space="preserve">Service, 2003). Improving </w:t>
      </w:r>
      <w:r>
        <w:t xml:space="preserve">building </w:t>
      </w:r>
      <w:r>
        <w:rPr>
          <w:spacing w:val="-3"/>
        </w:rPr>
        <w:t xml:space="preserve">envelope </w:t>
      </w:r>
      <w:r>
        <w:t xml:space="preserve">helps to lower energy loses in cold and even hot seasons. </w:t>
      </w:r>
      <w:r>
        <w:rPr>
          <w:spacing w:val="-3"/>
        </w:rPr>
        <w:t xml:space="preserve">In </w:t>
      </w:r>
      <w:r>
        <w:t xml:space="preserve">the </w:t>
      </w:r>
      <w:r>
        <w:rPr>
          <w:spacing w:val="-3"/>
        </w:rPr>
        <w:t xml:space="preserve">past, thermal </w:t>
      </w:r>
      <w:r>
        <w:t xml:space="preserve">loss mostly meant </w:t>
      </w:r>
      <w:r>
        <w:rPr>
          <w:spacing w:val="-3"/>
        </w:rPr>
        <w:t xml:space="preserve">heat </w:t>
      </w:r>
      <w:r>
        <w:t xml:space="preserve">loss in </w:t>
      </w:r>
      <w:r>
        <w:rPr>
          <w:spacing w:val="-3"/>
        </w:rPr>
        <w:t xml:space="preserve">cold climates </w:t>
      </w:r>
      <w:r>
        <w:t xml:space="preserve">or </w:t>
      </w:r>
      <w:r>
        <w:rPr>
          <w:spacing w:val="-3"/>
        </w:rPr>
        <w:t xml:space="preserve">seasons. </w:t>
      </w:r>
      <w:r>
        <w:t xml:space="preserve">However, loss of </w:t>
      </w:r>
      <w:r>
        <w:rPr>
          <w:spacing w:val="-3"/>
        </w:rPr>
        <w:t xml:space="preserve">cold </w:t>
      </w:r>
      <w:r>
        <w:rPr>
          <w:spacing w:val="-2"/>
        </w:rPr>
        <w:t xml:space="preserve">air </w:t>
      </w:r>
      <w:r>
        <w:rPr>
          <w:spacing w:val="-3"/>
        </w:rPr>
        <w:t xml:space="preserve">from air-conditioners </w:t>
      </w:r>
      <w:r>
        <w:t xml:space="preserve">has </w:t>
      </w:r>
      <w:r>
        <w:rPr>
          <w:spacing w:val="-3"/>
        </w:rPr>
        <w:t xml:space="preserve">gained </w:t>
      </w:r>
      <w:r>
        <w:t xml:space="preserve">importance due to increasing use of them </w:t>
      </w:r>
      <w:r>
        <w:rPr>
          <w:spacing w:val="-3"/>
        </w:rPr>
        <w:t xml:space="preserve">because </w:t>
      </w:r>
      <w:r>
        <w:t xml:space="preserve">of </w:t>
      </w:r>
      <w:r>
        <w:rPr>
          <w:spacing w:val="-3"/>
        </w:rPr>
        <w:t xml:space="preserve">global warming. In addition </w:t>
      </w:r>
      <w:r>
        <w:t xml:space="preserve">to building </w:t>
      </w:r>
      <w:r>
        <w:rPr>
          <w:spacing w:val="-3"/>
        </w:rPr>
        <w:t xml:space="preserve">envelope, door </w:t>
      </w:r>
      <w:r>
        <w:t xml:space="preserve">and window air draft </w:t>
      </w:r>
      <w:r>
        <w:rPr>
          <w:spacing w:val="-3"/>
        </w:rPr>
        <w:t xml:space="preserve">insulation reduces </w:t>
      </w:r>
      <w:r>
        <w:t>energy</w:t>
      </w:r>
      <w:r>
        <w:rPr>
          <w:spacing w:val="-3"/>
        </w:rPr>
        <w:t xml:space="preserve"> expenditure.</w:t>
      </w:r>
    </w:p>
    <w:p w:rsidR="00F3177F" w:rsidRDefault="00F3177F">
      <w:pPr>
        <w:pStyle w:val="BodyText"/>
      </w:pPr>
    </w:p>
    <w:p w:rsidR="00F3177F" w:rsidRDefault="0089671D">
      <w:pPr>
        <w:pStyle w:val="BodyText"/>
        <w:spacing w:before="143" w:line="360" w:lineRule="auto"/>
        <w:ind w:left="584" w:right="110"/>
        <w:jc w:val="both"/>
      </w:pPr>
      <w:r>
        <w:rPr>
          <w:spacing w:val="-3"/>
        </w:rPr>
        <w:t xml:space="preserve">It </w:t>
      </w:r>
      <w:r>
        <w:t xml:space="preserve">is </w:t>
      </w:r>
      <w:r>
        <w:rPr>
          <w:spacing w:val="-3"/>
        </w:rPr>
        <w:t xml:space="preserve">clear </w:t>
      </w:r>
      <w:r>
        <w:t xml:space="preserve">that buildings with no </w:t>
      </w:r>
      <w:r>
        <w:rPr>
          <w:spacing w:val="-3"/>
        </w:rPr>
        <w:t xml:space="preserve">obstacles </w:t>
      </w:r>
      <w:r>
        <w:t xml:space="preserve">of </w:t>
      </w:r>
      <w:r>
        <w:rPr>
          <w:spacing w:val="-3"/>
        </w:rPr>
        <w:t xml:space="preserve">direct </w:t>
      </w:r>
      <w:r>
        <w:t xml:space="preserve">sunshine and sunlight will </w:t>
      </w:r>
      <w:r>
        <w:rPr>
          <w:spacing w:val="-2"/>
        </w:rPr>
        <w:t xml:space="preserve">reduce </w:t>
      </w:r>
      <w:r>
        <w:rPr>
          <w:spacing w:val="-3"/>
        </w:rPr>
        <w:t xml:space="preserve">amount </w:t>
      </w:r>
      <w:r>
        <w:t xml:space="preserve">of energy used inside. One </w:t>
      </w:r>
      <w:r>
        <w:rPr>
          <w:spacing w:val="-3"/>
        </w:rPr>
        <w:t xml:space="preserve">measurement </w:t>
      </w:r>
      <w:r>
        <w:t xml:space="preserve">to be taken in the </w:t>
      </w:r>
      <w:r>
        <w:rPr>
          <w:spacing w:val="-3"/>
        </w:rPr>
        <w:t xml:space="preserve">construction </w:t>
      </w:r>
      <w:r>
        <w:t xml:space="preserve">phase is </w:t>
      </w:r>
      <w:r>
        <w:rPr>
          <w:spacing w:val="-3"/>
        </w:rPr>
        <w:t xml:space="preserve">that </w:t>
      </w:r>
      <w:r>
        <w:t xml:space="preserve">building windows on the </w:t>
      </w:r>
      <w:r>
        <w:rPr>
          <w:spacing w:val="-3"/>
        </w:rPr>
        <w:t xml:space="preserve">north hemisphere </w:t>
      </w:r>
      <w:r>
        <w:t xml:space="preserve">should </w:t>
      </w:r>
      <w:r>
        <w:rPr>
          <w:spacing w:val="-3"/>
        </w:rPr>
        <w:t xml:space="preserve">face </w:t>
      </w:r>
      <w:r>
        <w:t xml:space="preserve">the south while on the </w:t>
      </w:r>
      <w:r>
        <w:rPr>
          <w:spacing w:val="-3"/>
        </w:rPr>
        <w:t xml:space="preserve">south </w:t>
      </w:r>
      <w:r>
        <w:t xml:space="preserve">the north to receive more </w:t>
      </w:r>
      <w:r>
        <w:rPr>
          <w:spacing w:val="-3"/>
        </w:rPr>
        <w:t xml:space="preserve">sunrays. </w:t>
      </w:r>
      <w:r>
        <w:t xml:space="preserve">According to the </w:t>
      </w:r>
      <w:r>
        <w:rPr>
          <w:spacing w:val="-3"/>
        </w:rPr>
        <w:t xml:space="preserve">research </w:t>
      </w:r>
      <w:r>
        <w:t xml:space="preserve">by </w:t>
      </w:r>
      <w:r>
        <w:rPr>
          <w:spacing w:val="-3"/>
        </w:rPr>
        <w:t xml:space="preserve">Environmental </w:t>
      </w:r>
      <w:r>
        <w:t xml:space="preserve">and Energy Study </w:t>
      </w:r>
      <w:r>
        <w:rPr>
          <w:spacing w:val="-3"/>
        </w:rPr>
        <w:t xml:space="preserve">Institute (2010), </w:t>
      </w:r>
      <w:r>
        <w:t xml:space="preserve">building tune-up </w:t>
      </w:r>
      <w:r>
        <w:rPr>
          <w:spacing w:val="-3"/>
        </w:rPr>
        <w:t xml:space="preserve">including </w:t>
      </w:r>
      <w:r>
        <w:t xml:space="preserve">energy </w:t>
      </w:r>
      <w:r>
        <w:rPr>
          <w:spacing w:val="-3"/>
        </w:rPr>
        <w:t xml:space="preserve">efficient </w:t>
      </w:r>
      <w:r>
        <w:t xml:space="preserve">building </w:t>
      </w:r>
      <w:r>
        <w:rPr>
          <w:spacing w:val="-3"/>
        </w:rPr>
        <w:t xml:space="preserve">envelop, doors, </w:t>
      </w:r>
      <w:r>
        <w:t xml:space="preserve">windows </w:t>
      </w:r>
      <w:r>
        <w:rPr>
          <w:spacing w:val="-3"/>
        </w:rPr>
        <w:t xml:space="preserve">and foundation </w:t>
      </w:r>
      <w:r>
        <w:t xml:space="preserve">may improve building energy efficiency by up to </w:t>
      </w:r>
      <w:r>
        <w:rPr>
          <w:spacing w:val="-3"/>
        </w:rPr>
        <w:t xml:space="preserve">50%. </w:t>
      </w:r>
      <w:r>
        <w:t xml:space="preserve">The same </w:t>
      </w:r>
      <w:r>
        <w:rPr>
          <w:spacing w:val="-3"/>
        </w:rPr>
        <w:t xml:space="preserve">research </w:t>
      </w:r>
      <w:r>
        <w:t xml:space="preserve">showed that “lightly colored roofs” </w:t>
      </w:r>
      <w:r>
        <w:rPr>
          <w:spacing w:val="-3"/>
        </w:rPr>
        <w:t xml:space="preserve">can </w:t>
      </w:r>
      <w:r>
        <w:rPr>
          <w:spacing w:val="-2"/>
        </w:rPr>
        <w:t xml:space="preserve">reduce </w:t>
      </w:r>
      <w:r>
        <w:t xml:space="preserve">energy </w:t>
      </w:r>
      <w:r>
        <w:rPr>
          <w:spacing w:val="-3"/>
        </w:rPr>
        <w:t>consumption</w:t>
      </w:r>
      <w:r>
        <w:rPr>
          <w:spacing w:val="-4"/>
        </w:rPr>
        <w:t xml:space="preserve"> </w:t>
      </w:r>
      <w:r>
        <w:rPr>
          <w:spacing w:val="-3"/>
        </w:rPr>
        <w:t>for</w:t>
      </w:r>
      <w:r>
        <w:rPr>
          <w:spacing w:val="-4"/>
        </w:rPr>
        <w:t xml:space="preserve"> </w:t>
      </w:r>
      <w:r>
        <w:t>cooling</w:t>
      </w:r>
      <w:r>
        <w:rPr>
          <w:spacing w:val="-6"/>
        </w:rPr>
        <w:t xml:space="preserve"> </w:t>
      </w:r>
      <w:r>
        <w:t>by</w:t>
      </w:r>
      <w:r>
        <w:rPr>
          <w:spacing w:val="-9"/>
        </w:rPr>
        <w:t xml:space="preserve"> </w:t>
      </w:r>
      <w:r>
        <w:t>40%</w:t>
      </w:r>
      <w:r>
        <w:rPr>
          <w:spacing w:val="-4"/>
        </w:rPr>
        <w:t xml:space="preserve"> </w:t>
      </w:r>
      <w:r>
        <w:t>in</w:t>
      </w:r>
      <w:r>
        <w:rPr>
          <w:spacing w:val="-4"/>
        </w:rPr>
        <w:t xml:space="preserve"> </w:t>
      </w:r>
      <w:r>
        <w:t>hot</w:t>
      </w:r>
      <w:r>
        <w:rPr>
          <w:spacing w:val="-3"/>
        </w:rPr>
        <w:t xml:space="preserve"> climate</w:t>
      </w:r>
      <w:r>
        <w:rPr>
          <w:spacing w:val="-5"/>
        </w:rPr>
        <w:t xml:space="preserve"> </w:t>
      </w:r>
      <w:r>
        <w:t>regions</w:t>
      </w:r>
      <w:r>
        <w:rPr>
          <w:spacing w:val="-3"/>
        </w:rPr>
        <w:t xml:space="preserve"> </w:t>
      </w:r>
      <w:r>
        <w:t>while</w:t>
      </w:r>
      <w:r>
        <w:rPr>
          <w:spacing w:val="-5"/>
        </w:rPr>
        <w:t xml:space="preserve"> </w:t>
      </w:r>
      <w:r>
        <w:t>dark</w:t>
      </w:r>
      <w:r>
        <w:rPr>
          <w:spacing w:val="-4"/>
        </w:rPr>
        <w:t xml:space="preserve"> </w:t>
      </w:r>
      <w:r>
        <w:rPr>
          <w:spacing w:val="-3"/>
        </w:rPr>
        <w:t>colored</w:t>
      </w:r>
      <w:r>
        <w:rPr>
          <w:spacing w:val="-4"/>
        </w:rPr>
        <w:t xml:space="preserve"> </w:t>
      </w:r>
      <w:r>
        <w:t>ones</w:t>
      </w:r>
      <w:r>
        <w:rPr>
          <w:spacing w:val="-3"/>
        </w:rPr>
        <w:t xml:space="preserve"> </w:t>
      </w:r>
      <w:r>
        <w:t>can</w:t>
      </w:r>
      <w:r>
        <w:rPr>
          <w:spacing w:val="-4"/>
        </w:rPr>
        <w:t xml:space="preserve"> </w:t>
      </w:r>
      <w:r>
        <w:rPr>
          <w:spacing w:val="-3"/>
        </w:rPr>
        <w:t xml:space="preserve">serve for </w:t>
      </w:r>
      <w:r>
        <w:t xml:space="preserve">the </w:t>
      </w:r>
      <w:r>
        <w:rPr>
          <w:spacing w:val="-3"/>
        </w:rPr>
        <w:t xml:space="preserve">purpose </w:t>
      </w:r>
      <w:r>
        <w:t xml:space="preserve">in cold climate regions. </w:t>
      </w:r>
      <w:r>
        <w:rPr>
          <w:spacing w:val="-3"/>
        </w:rPr>
        <w:t xml:space="preserve">In </w:t>
      </w:r>
      <w:r>
        <w:t xml:space="preserve">existing </w:t>
      </w:r>
      <w:r>
        <w:rPr>
          <w:spacing w:val="-3"/>
        </w:rPr>
        <w:t xml:space="preserve">buildings, </w:t>
      </w:r>
      <w:r>
        <w:t xml:space="preserve">energy </w:t>
      </w:r>
      <w:r>
        <w:rPr>
          <w:spacing w:val="-3"/>
        </w:rPr>
        <w:t xml:space="preserve">retrofit applications provide </w:t>
      </w:r>
      <w:r>
        <w:t xml:space="preserve">data on where the energy </w:t>
      </w:r>
      <w:r>
        <w:rPr>
          <w:spacing w:val="-3"/>
        </w:rPr>
        <w:t xml:space="preserve">goes and </w:t>
      </w:r>
      <w:r>
        <w:t>what can be done to save energy or improve energy</w:t>
      </w:r>
      <w:r>
        <w:rPr>
          <w:spacing w:val="-10"/>
        </w:rPr>
        <w:t xml:space="preserve"> </w:t>
      </w:r>
      <w:r>
        <w:rPr>
          <w:spacing w:val="-3"/>
        </w:rPr>
        <w:t>efficiency.</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3"/>
        <w:jc w:val="both"/>
      </w:pPr>
      <w:r>
        <w:rPr>
          <w:spacing w:val="-3"/>
        </w:rPr>
        <w:lastRenderedPageBreak/>
        <w:t xml:space="preserve">Installing </w:t>
      </w:r>
      <w:r>
        <w:t xml:space="preserve">a more energy saving lighting system, </w:t>
      </w:r>
      <w:r>
        <w:rPr>
          <w:spacing w:val="-3"/>
        </w:rPr>
        <w:t xml:space="preserve">even </w:t>
      </w:r>
      <w:r>
        <w:t xml:space="preserve">only more </w:t>
      </w:r>
      <w:r>
        <w:rPr>
          <w:spacing w:val="-3"/>
        </w:rPr>
        <w:t xml:space="preserve">efficient </w:t>
      </w:r>
      <w:r>
        <w:t xml:space="preserve">light bulbs, </w:t>
      </w:r>
      <w:proofErr w:type="gramStart"/>
      <w:r>
        <w:rPr>
          <w:spacing w:val="-3"/>
        </w:rPr>
        <w:t>decreases</w:t>
      </w:r>
      <w:proofErr w:type="gramEnd"/>
      <w:r>
        <w:rPr>
          <w:spacing w:val="-3"/>
        </w:rPr>
        <w:t xml:space="preserve"> </w:t>
      </w:r>
      <w:r>
        <w:t xml:space="preserve">energy </w:t>
      </w:r>
      <w:r>
        <w:rPr>
          <w:spacing w:val="-3"/>
        </w:rPr>
        <w:t xml:space="preserve">expenditures </w:t>
      </w:r>
      <w:r>
        <w:t xml:space="preserve">in any type of building. For </w:t>
      </w:r>
      <w:r>
        <w:rPr>
          <w:spacing w:val="-3"/>
        </w:rPr>
        <w:t xml:space="preserve">instance, </w:t>
      </w:r>
      <w:r>
        <w:t xml:space="preserve">according to the </w:t>
      </w:r>
      <w:r>
        <w:rPr>
          <w:spacing w:val="-3"/>
        </w:rPr>
        <w:t xml:space="preserve">Qualified Light </w:t>
      </w:r>
      <w:r>
        <w:t xml:space="preserve">Bulbs 2009 Partner </w:t>
      </w:r>
      <w:r>
        <w:rPr>
          <w:spacing w:val="-3"/>
        </w:rPr>
        <w:t xml:space="preserve">Resource </w:t>
      </w:r>
      <w:r>
        <w:t xml:space="preserve">Guide of U.S. Department of Energy Star </w:t>
      </w:r>
      <w:r>
        <w:rPr>
          <w:spacing w:val="-3"/>
        </w:rPr>
        <w:t xml:space="preserve">(2009), </w:t>
      </w:r>
      <w:r>
        <w:t xml:space="preserve">a </w:t>
      </w:r>
      <w:r>
        <w:rPr>
          <w:spacing w:val="-3"/>
        </w:rPr>
        <w:t xml:space="preserve">compact fluorescent </w:t>
      </w:r>
      <w:r>
        <w:t xml:space="preserve">light bulb of 13W </w:t>
      </w:r>
      <w:r>
        <w:rPr>
          <w:spacing w:val="-3"/>
        </w:rPr>
        <w:t xml:space="preserve">produces </w:t>
      </w:r>
      <w:r>
        <w:t xml:space="preserve">enough lighting </w:t>
      </w:r>
      <w:r>
        <w:rPr>
          <w:spacing w:val="-3"/>
        </w:rPr>
        <w:t xml:space="preserve">equal </w:t>
      </w:r>
      <w:r>
        <w:t xml:space="preserve">to the lighting of a 60W </w:t>
      </w:r>
      <w:r>
        <w:rPr>
          <w:spacing w:val="-3"/>
        </w:rPr>
        <w:t xml:space="preserve">traditional (incandescent) </w:t>
      </w:r>
      <w:r>
        <w:t xml:space="preserve">light </w:t>
      </w:r>
      <w:r>
        <w:rPr>
          <w:spacing w:val="-3"/>
        </w:rPr>
        <w:t xml:space="preserve">bulb. Moreover, </w:t>
      </w:r>
      <w:r>
        <w:t xml:space="preserve">it spends as low as a </w:t>
      </w:r>
      <w:r>
        <w:rPr>
          <w:spacing w:val="-3"/>
        </w:rPr>
        <w:t xml:space="preserve">quarter </w:t>
      </w:r>
      <w:r>
        <w:t xml:space="preserve">of energy that an </w:t>
      </w:r>
      <w:r>
        <w:rPr>
          <w:spacing w:val="-3"/>
        </w:rPr>
        <w:t xml:space="preserve">incandescent </w:t>
      </w:r>
      <w:r>
        <w:t xml:space="preserve">light bulb </w:t>
      </w:r>
      <w:r>
        <w:rPr>
          <w:spacing w:val="-3"/>
        </w:rPr>
        <w:t xml:space="preserve">does. </w:t>
      </w:r>
      <w:r>
        <w:t xml:space="preserve">The same source counts the </w:t>
      </w:r>
      <w:r>
        <w:rPr>
          <w:spacing w:val="-3"/>
        </w:rPr>
        <w:t xml:space="preserve">advantages </w:t>
      </w:r>
      <w:r>
        <w:t xml:space="preserve">of </w:t>
      </w:r>
      <w:r>
        <w:rPr>
          <w:spacing w:val="-3"/>
        </w:rPr>
        <w:t xml:space="preserve">certified compact fluorescent </w:t>
      </w:r>
      <w:r>
        <w:t xml:space="preserve">light bulb </w:t>
      </w:r>
      <w:r>
        <w:rPr>
          <w:spacing w:val="-3"/>
        </w:rPr>
        <w:t xml:space="preserve">(CFL) </w:t>
      </w:r>
      <w:r>
        <w:t xml:space="preserve">as payback </w:t>
      </w:r>
      <w:r>
        <w:rPr>
          <w:spacing w:val="-3"/>
        </w:rPr>
        <w:t xml:space="preserve">period </w:t>
      </w:r>
      <w:r>
        <w:t xml:space="preserve">of </w:t>
      </w:r>
      <w:r>
        <w:rPr>
          <w:spacing w:val="-3"/>
        </w:rPr>
        <w:t xml:space="preserve">seven months and </w:t>
      </w:r>
      <w:r>
        <w:t xml:space="preserve">$30 energy </w:t>
      </w:r>
      <w:r>
        <w:rPr>
          <w:spacing w:val="-3"/>
        </w:rPr>
        <w:t xml:space="preserve">cost </w:t>
      </w:r>
      <w:r>
        <w:t xml:space="preserve">saving during lifetime. </w:t>
      </w:r>
      <w:r>
        <w:rPr>
          <w:spacing w:val="-3"/>
        </w:rPr>
        <w:t xml:space="preserve">Likewise, </w:t>
      </w:r>
      <w:r>
        <w:t xml:space="preserve">T-8 tubular </w:t>
      </w:r>
      <w:r>
        <w:rPr>
          <w:spacing w:val="-3"/>
        </w:rPr>
        <w:t xml:space="preserve">fluorescent bulbs </w:t>
      </w:r>
      <w:r>
        <w:t xml:space="preserve">use less energy than T-12 ones. However, </w:t>
      </w:r>
      <w:r>
        <w:rPr>
          <w:spacing w:val="-3"/>
        </w:rPr>
        <w:t xml:space="preserve">higher </w:t>
      </w:r>
      <w:r>
        <w:t xml:space="preserve">technologies </w:t>
      </w:r>
      <w:r>
        <w:rPr>
          <w:spacing w:val="-3"/>
        </w:rPr>
        <w:t xml:space="preserve">sometimes </w:t>
      </w:r>
      <w:r>
        <w:t xml:space="preserve">bring </w:t>
      </w:r>
      <w:r>
        <w:rPr>
          <w:spacing w:val="-3"/>
        </w:rPr>
        <w:t xml:space="preserve">higher risks </w:t>
      </w:r>
      <w:r>
        <w:t xml:space="preserve">as compact </w:t>
      </w:r>
      <w:r>
        <w:rPr>
          <w:spacing w:val="-3"/>
        </w:rPr>
        <w:t xml:space="preserve">fluorescent </w:t>
      </w:r>
      <w:r>
        <w:t xml:space="preserve">lamps are </w:t>
      </w:r>
      <w:r>
        <w:rPr>
          <w:spacing w:val="-3"/>
        </w:rPr>
        <w:t xml:space="preserve">made </w:t>
      </w:r>
      <w:r>
        <w:t xml:space="preserve">of toxic mercury </w:t>
      </w:r>
      <w:r>
        <w:rPr>
          <w:spacing w:val="-3"/>
        </w:rPr>
        <w:t>(</w:t>
      </w:r>
      <w:proofErr w:type="gramStart"/>
      <w:r>
        <w:rPr>
          <w:spacing w:val="-3"/>
        </w:rPr>
        <w:t xml:space="preserve">mother </w:t>
      </w:r>
      <w:r>
        <w:t>nature</w:t>
      </w:r>
      <w:proofErr w:type="gramEnd"/>
      <w:r>
        <w:t xml:space="preserve"> </w:t>
      </w:r>
      <w:r>
        <w:rPr>
          <w:spacing w:val="-3"/>
        </w:rPr>
        <w:t>network,</w:t>
      </w:r>
      <w:r>
        <w:rPr>
          <w:spacing w:val="-7"/>
        </w:rPr>
        <w:t xml:space="preserve"> </w:t>
      </w:r>
      <w:r>
        <w:rPr>
          <w:spacing w:val="-3"/>
        </w:rPr>
        <w:t>2011).</w:t>
      </w:r>
      <w:r>
        <w:rPr>
          <w:spacing w:val="-7"/>
        </w:rPr>
        <w:t xml:space="preserve"> </w:t>
      </w:r>
      <w:r>
        <w:t>Using</w:t>
      </w:r>
      <w:r>
        <w:rPr>
          <w:spacing w:val="-9"/>
        </w:rPr>
        <w:t xml:space="preserve"> </w:t>
      </w:r>
      <w:r>
        <w:t>solar</w:t>
      </w:r>
      <w:r>
        <w:rPr>
          <w:spacing w:val="-7"/>
        </w:rPr>
        <w:t xml:space="preserve"> </w:t>
      </w:r>
      <w:r>
        <w:rPr>
          <w:spacing w:val="-3"/>
        </w:rPr>
        <w:t>powered</w:t>
      </w:r>
      <w:r>
        <w:rPr>
          <w:spacing w:val="-7"/>
        </w:rPr>
        <w:t xml:space="preserve"> </w:t>
      </w:r>
      <w:r>
        <w:rPr>
          <w:spacing w:val="-3"/>
        </w:rPr>
        <w:t>lights,</w:t>
      </w:r>
      <w:r>
        <w:rPr>
          <w:spacing w:val="-4"/>
        </w:rPr>
        <w:t xml:space="preserve"> </w:t>
      </w:r>
      <w:r>
        <w:t>gaining</w:t>
      </w:r>
      <w:r>
        <w:rPr>
          <w:spacing w:val="-9"/>
        </w:rPr>
        <w:t xml:space="preserve"> </w:t>
      </w:r>
      <w:r>
        <w:t>advantage</w:t>
      </w:r>
      <w:r>
        <w:rPr>
          <w:spacing w:val="-8"/>
        </w:rPr>
        <w:t xml:space="preserve"> </w:t>
      </w:r>
      <w:r>
        <w:t>of</w:t>
      </w:r>
      <w:r>
        <w:rPr>
          <w:spacing w:val="-7"/>
        </w:rPr>
        <w:t xml:space="preserve"> </w:t>
      </w:r>
      <w:r>
        <w:t>solar</w:t>
      </w:r>
      <w:r>
        <w:rPr>
          <w:spacing w:val="-7"/>
        </w:rPr>
        <w:t xml:space="preserve"> </w:t>
      </w:r>
      <w:r>
        <w:t>lighting</w:t>
      </w:r>
      <w:r>
        <w:rPr>
          <w:spacing w:val="-9"/>
        </w:rPr>
        <w:t xml:space="preserve"> </w:t>
      </w:r>
      <w:r>
        <w:t>and</w:t>
      </w:r>
      <w:r>
        <w:rPr>
          <w:spacing w:val="-7"/>
        </w:rPr>
        <w:t xml:space="preserve"> </w:t>
      </w:r>
      <w:r>
        <w:t xml:space="preserve">smart </w:t>
      </w:r>
      <w:r>
        <w:rPr>
          <w:spacing w:val="-3"/>
        </w:rPr>
        <w:t xml:space="preserve">windows also contribute </w:t>
      </w:r>
      <w:r>
        <w:t xml:space="preserve">to better lighting </w:t>
      </w:r>
      <w:r>
        <w:rPr>
          <w:spacing w:val="-3"/>
        </w:rPr>
        <w:t xml:space="preserve">and thermal </w:t>
      </w:r>
      <w:r>
        <w:t xml:space="preserve">balance of the </w:t>
      </w:r>
      <w:r>
        <w:rPr>
          <w:spacing w:val="-3"/>
        </w:rPr>
        <w:t xml:space="preserve">environment, </w:t>
      </w:r>
      <w:r>
        <w:t>consequently</w:t>
      </w:r>
      <w:r>
        <w:rPr>
          <w:spacing w:val="-17"/>
        </w:rPr>
        <w:t xml:space="preserve"> </w:t>
      </w:r>
      <w:r>
        <w:t>to</w:t>
      </w:r>
      <w:r>
        <w:rPr>
          <w:spacing w:val="-11"/>
        </w:rPr>
        <w:t xml:space="preserve"> </w:t>
      </w:r>
      <w:r>
        <w:t>energy</w:t>
      </w:r>
      <w:r>
        <w:rPr>
          <w:spacing w:val="-18"/>
        </w:rPr>
        <w:t xml:space="preserve"> </w:t>
      </w:r>
      <w:r>
        <w:t>saving</w:t>
      </w:r>
      <w:r>
        <w:rPr>
          <w:spacing w:val="-13"/>
        </w:rPr>
        <w:t xml:space="preserve"> </w:t>
      </w:r>
      <w:r>
        <w:t>in</w:t>
      </w:r>
      <w:r>
        <w:rPr>
          <w:spacing w:val="-13"/>
        </w:rPr>
        <w:t xml:space="preserve"> </w:t>
      </w:r>
      <w:r>
        <w:rPr>
          <w:spacing w:val="-3"/>
        </w:rPr>
        <w:t>buildings.</w:t>
      </w:r>
    </w:p>
    <w:p w:rsidR="00F3177F" w:rsidRDefault="00F3177F">
      <w:pPr>
        <w:pStyle w:val="BodyText"/>
      </w:pPr>
    </w:p>
    <w:p w:rsidR="00F3177F" w:rsidRDefault="0089671D">
      <w:pPr>
        <w:pStyle w:val="BodyText"/>
        <w:spacing w:before="143" w:line="360" w:lineRule="auto"/>
        <w:ind w:left="584" w:right="116"/>
        <w:jc w:val="both"/>
      </w:pPr>
      <w:r>
        <w:t>Clean water delivery to residential and commercial customers and retreatment of wastewater that require electricity represent the largest energy expenditures by municipalities, and municipalities in U.S. annually spend 37 billion kWh energy meaning $3 billion a year to provide and treat water (Inner City Fund International, 2008). Thus, one of the effective and easy energy saving measures is saving water by fixing an optimum hot water temperature, using low-flow water taps and showers, installing low flush water closets and using washing (up) machines that spend less water. Additionally, smart thermostats allow users to adjust building temperature when</w:t>
      </w:r>
      <w:r w:rsidR="00556CE2">
        <w:t xml:space="preserve"> </w:t>
      </w:r>
      <w:r>
        <w:t>it is in</w:t>
      </w:r>
      <w:r>
        <w:rPr>
          <w:spacing w:val="-1"/>
        </w:rPr>
        <w:t xml:space="preserve"> </w:t>
      </w:r>
      <w:r>
        <w:t>use.</w:t>
      </w:r>
    </w:p>
    <w:p w:rsidR="00F3177F" w:rsidRDefault="00F3177F">
      <w:pPr>
        <w:pStyle w:val="BodyText"/>
      </w:pPr>
    </w:p>
    <w:p w:rsidR="00F3177F" w:rsidRDefault="0089671D">
      <w:pPr>
        <w:pStyle w:val="BodyText"/>
        <w:spacing w:before="143" w:line="360" w:lineRule="auto"/>
        <w:ind w:left="584" w:right="118"/>
        <w:jc w:val="both"/>
      </w:pPr>
      <w:r>
        <w:t>Energy dashboards with measuring units and internet connection enable all energy</w:t>
      </w:r>
      <w:r w:rsidR="00556CE2">
        <w:t xml:space="preserve"> </w:t>
      </w:r>
      <w:r>
        <w:t>users, for instance, in a school all administration, staff and all students, to monitor energy usage, to compete with others and build a commitment to save</w:t>
      </w:r>
      <w:r>
        <w:rPr>
          <w:spacing w:val="-14"/>
        </w:rPr>
        <w:t xml:space="preserve"> </w:t>
      </w:r>
      <w:r>
        <w:t>energy.</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3"/>
        <w:jc w:val="both"/>
      </w:pPr>
      <w:r>
        <w:lastRenderedPageBreak/>
        <w:t>Sustainable Energy Authority of Ireland’s (SEAI) advisory report  basically recommends insulating of hot water system and installing more advanced and energy efficient control systems (seai,</w:t>
      </w:r>
      <w:r>
        <w:rPr>
          <w:spacing w:val="-10"/>
        </w:rPr>
        <w:t xml:space="preserve"> </w:t>
      </w:r>
      <w:r>
        <w:t>n.d.a).</w:t>
      </w:r>
    </w:p>
    <w:p w:rsidR="00F3177F" w:rsidRDefault="00F3177F">
      <w:pPr>
        <w:pStyle w:val="BodyText"/>
      </w:pPr>
    </w:p>
    <w:p w:rsidR="00F3177F" w:rsidRDefault="0089671D">
      <w:pPr>
        <w:pStyle w:val="BodyText"/>
        <w:spacing w:before="143" w:line="360" w:lineRule="auto"/>
        <w:ind w:left="584" w:right="116"/>
        <w:jc w:val="both"/>
      </w:pPr>
      <w:r>
        <w:t xml:space="preserve">The following figures on building energy consumption are taken from The </w:t>
      </w:r>
      <w:r>
        <w:rPr>
          <w:spacing w:val="-3"/>
        </w:rPr>
        <w:t>European</w:t>
      </w:r>
      <w:r>
        <w:rPr>
          <w:spacing w:val="54"/>
        </w:rPr>
        <w:t xml:space="preserve"> </w:t>
      </w:r>
      <w:r>
        <w:rPr>
          <w:spacing w:val="-3"/>
        </w:rPr>
        <w:t>Commission’s official website:</w:t>
      </w:r>
    </w:p>
    <w:p w:rsidR="00F3177F" w:rsidRDefault="0089671D">
      <w:pPr>
        <w:pStyle w:val="ListParagraph"/>
        <w:numPr>
          <w:ilvl w:val="2"/>
          <w:numId w:val="39"/>
        </w:numPr>
        <w:tabs>
          <w:tab w:val="left" w:pos="1305"/>
        </w:tabs>
        <w:spacing w:before="6" w:line="352" w:lineRule="auto"/>
        <w:ind w:right="117"/>
        <w:jc w:val="both"/>
        <w:rPr>
          <w:sz w:val="24"/>
        </w:rPr>
      </w:pPr>
      <w:r>
        <w:rPr>
          <w:sz w:val="24"/>
        </w:rPr>
        <w:t>Buildings in European Union consume 40% of overall energy use and accounts for 36% CO</w:t>
      </w:r>
      <w:r>
        <w:rPr>
          <w:position w:val="-2"/>
          <w:sz w:val="16"/>
        </w:rPr>
        <w:t>2</w:t>
      </w:r>
      <w:r>
        <w:rPr>
          <w:spacing w:val="17"/>
          <w:position w:val="-2"/>
          <w:sz w:val="16"/>
        </w:rPr>
        <w:t xml:space="preserve"> </w:t>
      </w:r>
      <w:r>
        <w:rPr>
          <w:sz w:val="24"/>
        </w:rPr>
        <w:t>emissions.</w:t>
      </w:r>
    </w:p>
    <w:p w:rsidR="00F3177F" w:rsidRDefault="0089671D">
      <w:pPr>
        <w:pStyle w:val="ListParagraph"/>
        <w:numPr>
          <w:ilvl w:val="2"/>
          <w:numId w:val="39"/>
        </w:numPr>
        <w:tabs>
          <w:tab w:val="left" w:pos="1305"/>
        </w:tabs>
        <w:spacing w:before="0" w:line="355" w:lineRule="auto"/>
        <w:ind w:right="116"/>
        <w:jc w:val="both"/>
        <w:rPr>
          <w:sz w:val="24"/>
        </w:rPr>
      </w:pPr>
      <w:r>
        <w:rPr>
          <w:sz w:val="24"/>
        </w:rPr>
        <w:t>Buildings over 50 years old sum up 35% of all the buildings and old buildings use 25 liter oil on average in a year while the average of recently built ones is less than 5 liter of oil a year (European Commission,</w:t>
      </w:r>
      <w:r>
        <w:rPr>
          <w:spacing w:val="-10"/>
          <w:sz w:val="24"/>
        </w:rPr>
        <w:t xml:space="preserve"> </w:t>
      </w:r>
      <w:r>
        <w:rPr>
          <w:sz w:val="24"/>
        </w:rPr>
        <w:t>n.d.).</w:t>
      </w:r>
    </w:p>
    <w:p w:rsidR="00F3177F" w:rsidRDefault="00F3177F">
      <w:pPr>
        <w:pStyle w:val="BodyText"/>
      </w:pPr>
    </w:p>
    <w:p w:rsidR="00F3177F" w:rsidRDefault="0089671D">
      <w:pPr>
        <w:pStyle w:val="BodyText"/>
        <w:spacing w:before="148" w:line="360" w:lineRule="auto"/>
        <w:ind w:left="584" w:right="118"/>
        <w:jc w:val="both"/>
      </w:pPr>
      <w:r>
        <w:t>These figures show that energy conservation and environmental issues are significant enough to deal with international legislations while individual and organizational efforts are crucial as well.</w:t>
      </w:r>
    </w:p>
    <w:p w:rsidR="00F3177F" w:rsidRDefault="00F3177F">
      <w:pPr>
        <w:pStyle w:val="BodyText"/>
      </w:pPr>
    </w:p>
    <w:p w:rsidR="00F3177F" w:rsidRDefault="0089671D">
      <w:pPr>
        <w:pStyle w:val="BodyText"/>
        <w:spacing w:before="143" w:line="360" w:lineRule="auto"/>
        <w:ind w:left="584" w:right="115"/>
        <w:jc w:val="both"/>
      </w:pPr>
      <w:r>
        <w:t xml:space="preserve">The European Union set forward the 2010 </w:t>
      </w:r>
      <w:hyperlink r:id="rId30">
        <w:r>
          <w:t>Energy Performance of Buildings Directive</w:t>
        </w:r>
      </w:hyperlink>
      <w:r>
        <w:t xml:space="preserve"> as milestone legislation to lessen building energy consumption. The directive asks from the Union members to have all the new buildings to be nearly zero energy buildings by the end of 2018. Additionally, building rental and sale advertisements are to include energy performance certificates </w:t>
      </w:r>
      <w:hyperlink r:id="rId31">
        <w:r>
          <w:t>(European Commission, n.d.)</w:t>
        </w:r>
      </w:hyperlink>
      <w:r>
        <w:t xml:space="preserve">. Furthermore, the 2012 </w:t>
      </w:r>
      <w:hyperlink r:id="rId32">
        <w:r>
          <w:t>Energy Efficiency Directive</w:t>
        </w:r>
      </w:hyperlink>
      <w:r>
        <w:t xml:space="preserve"> demands only energy efficient buildings </w:t>
      </w:r>
      <w:proofErr w:type="gramStart"/>
      <w:r>
        <w:t xml:space="preserve">to </w:t>
      </w:r>
      <w:r w:rsidR="00FE18C5">
        <w:t xml:space="preserve"> </w:t>
      </w:r>
      <w:r>
        <w:t>be</w:t>
      </w:r>
      <w:proofErr w:type="gramEnd"/>
      <w:r>
        <w:t xml:space="preserve"> purchased by the governments </w:t>
      </w:r>
      <w:hyperlink r:id="rId33">
        <w:r>
          <w:t>(European Commission,</w:t>
        </w:r>
        <w:r>
          <w:rPr>
            <w:spacing w:val="-6"/>
          </w:rPr>
          <w:t xml:space="preserve"> </w:t>
        </w:r>
        <w:r>
          <w:t>n.d.)</w:t>
        </w:r>
      </w:hyperlink>
      <w:r>
        <w:t>.</w:t>
      </w:r>
    </w:p>
    <w:p w:rsidR="00F3177F" w:rsidRDefault="00F3177F">
      <w:pPr>
        <w:pStyle w:val="BodyText"/>
      </w:pPr>
    </w:p>
    <w:p w:rsidR="00F3177F" w:rsidRDefault="0089671D">
      <w:pPr>
        <w:pStyle w:val="BodyText"/>
        <w:spacing w:before="143" w:line="360" w:lineRule="auto"/>
        <w:ind w:left="584" w:right="115"/>
        <w:jc w:val="both"/>
      </w:pPr>
      <w:r>
        <w:t>The European Union aims to lessen its internal conservatory gas releases by 80% by the year 2050 (</w:t>
      </w:r>
      <w:hyperlink r:id="rId34">
        <w:r>
          <w:t>Szalay &amp; Z</w:t>
        </w:r>
      </w:hyperlink>
      <w:hyperlink r:id="rId35">
        <w:r>
          <w:t>öld</w:t>
        </w:r>
      </w:hyperlink>
      <w:r>
        <w:t>, 2014, p.511).</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Heading2"/>
        <w:numPr>
          <w:ilvl w:val="1"/>
          <w:numId w:val="37"/>
        </w:numPr>
        <w:tabs>
          <w:tab w:val="left" w:pos="1065"/>
        </w:tabs>
        <w:spacing w:before="39"/>
        <w:jc w:val="both"/>
      </w:pPr>
      <w:bookmarkStart w:id="24" w:name="_TOC_250008"/>
      <w:r>
        <w:lastRenderedPageBreak/>
        <w:t>Energy</w:t>
      </w:r>
      <w:r>
        <w:rPr>
          <w:spacing w:val="-6"/>
        </w:rPr>
        <w:t xml:space="preserve"> </w:t>
      </w:r>
      <w:bookmarkEnd w:id="24"/>
      <w:r>
        <w:t>Performance</w:t>
      </w:r>
    </w:p>
    <w:p w:rsidR="00F3177F" w:rsidRDefault="00F3177F">
      <w:pPr>
        <w:pStyle w:val="BodyText"/>
        <w:rPr>
          <w:b/>
        </w:rPr>
      </w:pPr>
    </w:p>
    <w:p w:rsidR="00F3177F" w:rsidRDefault="00F3177F">
      <w:pPr>
        <w:pStyle w:val="BodyText"/>
        <w:rPr>
          <w:b/>
        </w:rPr>
      </w:pPr>
    </w:p>
    <w:p w:rsidR="00F3177F" w:rsidRDefault="0089671D">
      <w:pPr>
        <w:pStyle w:val="Heading2"/>
        <w:ind w:left="584" w:firstLine="0"/>
      </w:pPr>
      <w:bookmarkStart w:id="25" w:name="_TOC_250007"/>
      <w:bookmarkEnd w:id="25"/>
      <w:r>
        <w:t>2.2.1   Building Energy Performance and Ratings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5"/>
        <w:jc w:val="both"/>
      </w:pPr>
      <w:r>
        <w:t>Official Journal of European Communities describes energy performance of a building as “the calculated or measured amount of energy needed to meet the energy demand associated with a typical use of the building, which includes, inter alia, energy used for heating, cooling, ventilation, hot water and lighting” (Official Journal of European Communities, 2010, p. 15). The same official journal referring to Directive 2002/91/EC of the European Parliament and of The Council provides demands this calculated amount of energy to be displayed in numeric indicators. The main factors to be included in the measurement can be counted as transparency and solar exposure, climate, insulation, design, location, nearby constructions, self-energy production and IAQ (Official Journal of European Communities, 2010). Furthermore, Hu et al. (2012) assume that it will be more cost-effective to review energy use of a group of buildings</w:t>
      </w:r>
      <w:r w:rsidR="00FE18C5">
        <w:t xml:space="preserve"> </w:t>
      </w:r>
      <w:r>
        <w:t>in comparison with a single</w:t>
      </w:r>
      <w:r>
        <w:rPr>
          <w:spacing w:val="-4"/>
        </w:rPr>
        <w:t xml:space="preserve"> </w:t>
      </w:r>
      <w:r>
        <w:t>one.</w:t>
      </w:r>
    </w:p>
    <w:p w:rsidR="00F3177F" w:rsidRDefault="00F3177F">
      <w:pPr>
        <w:pStyle w:val="BodyText"/>
      </w:pPr>
    </w:p>
    <w:p w:rsidR="00F3177F" w:rsidRDefault="0089671D">
      <w:pPr>
        <w:pStyle w:val="BodyText"/>
        <w:spacing w:before="143" w:line="360" w:lineRule="auto"/>
        <w:ind w:left="584" w:right="113"/>
        <w:jc w:val="both"/>
      </w:pPr>
      <w:r>
        <w:rPr>
          <w:spacing w:val="-3"/>
        </w:rPr>
        <w:t xml:space="preserve">Thus, </w:t>
      </w:r>
      <w:r>
        <w:t xml:space="preserve">building energy </w:t>
      </w:r>
      <w:r>
        <w:rPr>
          <w:spacing w:val="-3"/>
        </w:rPr>
        <w:t xml:space="preserve">performance </w:t>
      </w:r>
      <w:r>
        <w:t xml:space="preserve">must be </w:t>
      </w:r>
      <w:r>
        <w:rPr>
          <w:spacing w:val="-3"/>
        </w:rPr>
        <w:t xml:space="preserve">evaluated </w:t>
      </w:r>
      <w:r>
        <w:t xml:space="preserve">through some </w:t>
      </w:r>
      <w:r>
        <w:rPr>
          <w:spacing w:val="-3"/>
        </w:rPr>
        <w:t xml:space="preserve">calculation </w:t>
      </w:r>
      <w:r>
        <w:t xml:space="preserve">to build necessary indicators and </w:t>
      </w:r>
      <w:r>
        <w:rPr>
          <w:spacing w:val="-3"/>
        </w:rPr>
        <w:t xml:space="preserve">ratings. European </w:t>
      </w:r>
      <w:r>
        <w:t xml:space="preserve">Standard EN </w:t>
      </w:r>
      <w:r>
        <w:rPr>
          <w:spacing w:val="-3"/>
        </w:rPr>
        <w:t xml:space="preserve">15603 </w:t>
      </w:r>
      <w:r>
        <w:t>(European Committee</w:t>
      </w:r>
      <w:r>
        <w:rPr>
          <w:spacing w:val="-36"/>
        </w:rPr>
        <w:t xml:space="preserve"> </w:t>
      </w:r>
      <w:r>
        <w:t xml:space="preserve">for </w:t>
      </w:r>
      <w:r>
        <w:rPr>
          <w:spacing w:val="-3"/>
        </w:rPr>
        <w:t xml:space="preserve">Standardisation, </w:t>
      </w:r>
      <w:r>
        <w:t xml:space="preserve">2006, p.16) outlines the </w:t>
      </w:r>
      <w:r>
        <w:rPr>
          <w:spacing w:val="-3"/>
        </w:rPr>
        <w:t xml:space="preserve">criteria </w:t>
      </w:r>
      <w:r>
        <w:t xml:space="preserve">to </w:t>
      </w:r>
      <w:r>
        <w:rPr>
          <w:spacing w:val="-3"/>
        </w:rPr>
        <w:t xml:space="preserve">assess </w:t>
      </w:r>
      <w:r>
        <w:t xml:space="preserve">building energy use </w:t>
      </w:r>
      <w:r>
        <w:rPr>
          <w:spacing w:val="-3"/>
        </w:rPr>
        <w:t xml:space="preserve">and </w:t>
      </w:r>
      <w:r>
        <w:t xml:space="preserve">methodology to </w:t>
      </w:r>
      <w:r>
        <w:rPr>
          <w:spacing w:val="-3"/>
        </w:rPr>
        <w:t xml:space="preserve">estimate total </w:t>
      </w:r>
      <w:r>
        <w:t xml:space="preserve">energy rating of a building. Naturally a lot of </w:t>
      </w:r>
      <w:r>
        <w:rPr>
          <w:spacing w:val="-3"/>
        </w:rPr>
        <w:t>buildings</w:t>
      </w:r>
      <w:r>
        <w:rPr>
          <w:spacing w:val="-34"/>
        </w:rPr>
        <w:t xml:space="preserve"> </w:t>
      </w:r>
      <w:r>
        <w:t xml:space="preserve">use </w:t>
      </w:r>
      <w:r>
        <w:rPr>
          <w:spacing w:val="-3"/>
        </w:rPr>
        <w:t>different</w:t>
      </w:r>
      <w:r>
        <w:rPr>
          <w:spacing w:val="-5"/>
        </w:rPr>
        <w:t xml:space="preserve"> </w:t>
      </w:r>
      <w:r>
        <w:t>types</w:t>
      </w:r>
      <w:r>
        <w:rPr>
          <w:spacing w:val="-5"/>
        </w:rPr>
        <w:t xml:space="preserve"> </w:t>
      </w:r>
      <w:r>
        <w:t>of</w:t>
      </w:r>
      <w:r>
        <w:rPr>
          <w:spacing w:val="-6"/>
        </w:rPr>
        <w:t xml:space="preserve"> </w:t>
      </w:r>
      <w:r>
        <w:t>energy</w:t>
      </w:r>
      <w:r>
        <w:rPr>
          <w:spacing w:val="-9"/>
        </w:rPr>
        <w:t xml:space="preserve"> </w:t>
      </w:r>
      <w:r>
        <w:rPr>
          <w:spacing w:val="-3"/>
        </w:rPr>
        <w:t>sources</w:t>
      </w:r>
      <w:r>
        <w:rPr>
          <w:spacing w:val="-4"/>
        </w:rPr>
        <w:t xml:space="preserve"> </w:t>
      </w:r>
      <w:r>
        <w:rPr>
          <w:spacing w:val="-3"/>
        </w:rPr>
        <w:t>and</w:t>
      </w:r>
      <w:r>
        <w:rPr>
          <w:spacing w:val="-6"/>
        </w:rPr>
        <w:t xml:space="preserve"> </w:t>
      </w:r>
      <w:r>
        <w:t>the</w:t>
      </w:r>
      <w:r>
        <w:rPr>
          <w:spacing w:val="-5"/>
        </w:rPr>
        <w:t xml:space="preserve"> </w:t>
      </w:r>
      <w:r>
        <w:t>cumulative</w:t>
      </w:r>
      <w:r>
        <w:rPr>
          <w:spacing w:val="-7"/>
        </w:rPr>
        <w:t xml:space="preserve"> </w:t>
      </w:r>
      <w:r>
        <w:t>energy</w:t>
      </w:r>
      <w:r>
        <w:rPr>
          <w:spacing w:val="-11"/>
        </w:rPr>
        <w:t xml:space="preserve"> </w:t>
      </w:r>
      <w:r>
        <w:t>use</w:t>
      </w:r>
      <w:r>
        <w:rPr>
          <w:spacing w:val="-6"/>
        </w:rPr>
        <w:t xml:space="preserve"> </w:t>
      </w:r>
      <w:r>
        <w:t>is</w:t>
      </w:r>
      <w:r>
        <w:rPr>
          <w:spacing w:val="-4"/>
        </w:rPr>
        <w:t xml:space="preserve"> </w:t>
      </w:r>
      <w:r>
        <w:t>calculated</w:t>
      </w:r>
      <w:r>
        <w:rPr>
          <w:spacing w:val="-6"/>
        </w:rPr>
        <w:t xml:space="preserve"> </w:t>
      </w:r>
      <w:r>
        <w:t>in</w:t>
      </w:r>
      <w:r>
        <w:rPr>
          <w:spacing w:val="-6"/>
        </w:rPr>
        <w:t xml:space="preserve"> </w:t>
      </w:r>
      <w:r>
        <w:t>variety</w:t>
      </w:r>
      <w:r>
        <w:rPr>
          <w:spacing w:val="-8"/>
        </w:rPr>
        <w:t xml:space="preserve"> </w:t>
      </w:r>
      <w:r>
        <w:t xml:space="preserve">of energy </w:t>
      </w:r>
      <w:r>
        <w:rPr>
          <w:spacing w:val="-3"/>
        </w:rPr>
        <w:t xml:space="preserve">units. </w:t>
      </w:r>
      <w:r>
        <w:t xml:space="preserve">While calculating </w:t>
      </w:r>
      <w:r>
        <w:rPr>
          <w:spacing w:val="-3"/>
        </w:rPr>
        <w:t xml:space="preserve">overall/cumulative </w:t>
      </w:r>
      <w:r>
        <w:t>energy use, three impacts of energy use</w:t>
      </w:r>
      <w:r>
        <w:rPr>
          <w:spacing w:val="-6"/>
        </w:rPr>
        <w:t xml:space="preserve"> </w:t>
      </w:r>
      <w:r>
        <w:t>as</w:t>
      </w:r>
      <w:r>
        <w:rPr>
          <w:spacing w:val="-5"/>
        </w:rPr>
        <w:t xml:space="preserve"> </w:t>
      </w:r>
      <w:r>
        <w:t>primary</w:t>
      </w:r>
      <w:r>
        <w:rPr>
          <w:spacing w:val="-8"/>
        </w:rPr>
        <w:t xml:space="preserve"> </w:t>
      </w:r>
      <w:r>
        <w:t>energy</w:t>
      </w:r>
      <w:r>
        <w:rPr>
          <w:spacing w:val="-10"/>
        </w:rPr>
        <w:t xml:space="preserve"> </w:t>
      </w:r>
      <w:r>
        <w:t>use,</w:t>
      </w:r>
      <w:r>
        <w:rPr>
          <w:spacing w:val="-5"/>
        </w:rPr>
        <w:t xml:space="preserve"> </w:t>
      </w:r>
      <w:r>
        <w:t>carbon</w:t>
      </w:r>
      <w:r>
        <w:rPr>
          <w:spacing w:val="-5"/>
        </w:rPr>
        <w:t xml:space="preserve"> </w:t>
      </w:r>
      <w:r>
        <w:t>dioxide</w:t>
      </w:r>
      <w:r>
        <w:rPr>
          <w:spacing w:val="-6"/>
        </w:rPr>
        <w:t xml:space="preserve"> </w:t>
      </w:r>
      <w:r>
        <w:t>emission</w:t>
      </w:r>
      <w:r>
        <w:rPr>
          <w:spacing w:val="-5"/>
        </w:rPr>
        <w:t xml:space="preserve"> </w:t>
      </w:r>
      <w:r>
        <w:rPr>
          <w:spacing w:val="-3"/>
        </w:rPr>
        <w:t>and</w:t>
      </w:r>
      <w:r>
        <w:rPr>
          <w:spacing w:val="-5"/>
        </w:rPr>
        <w:t xml:space="preserve"> </w:t>
      </w:r>
      <w:r>
        <w:rPr>
          <w:spacing w:val="-3"/>
        </w:rPr>
        <w:t>national</w:t>
      </w:r>
      <w:r>
        <w:rPr>
          <w:spacing w:val="-2"/>
        </w:rPr>
        <w:t xml:space="preserve"> </w:t>
      </w:r>
      <w:r>
        <w:t>energy</w:t>
      </w:r>
      <w:r>
        <w:rPr>
          <w:spacing w:val="-8"/>
        </w:rPr>
        <w:t xml:space="preserve"> </w:t>
      </w:r>
      <w:r>
        <w:t>policy</w:t>
      </w:r>
      <w:r>
        <w:rPr>
          <w:spacing w:val="-9"/>
        </w:rPr>
        <w:t xml:space="preserve"> </w:t>
      </w:r>
      <w:r>
        <w:rPr>
          <w:spacing w:val="-2"/>
        </w:rPr>
        <w:t xml:space="preserve">parameter </w:t>
      </w:r>
      <w:r>
        <w:t xml:space="preserve">are taken into </w:t>
      </w:r>
      <w:r>
        <w:rPr>
          <w:spacing w:val="-3"/>
        </w:rPr>
        <w:t xml:space="preserve">consideration. In </w:t>
      </w:r>
      <w:r>
        <w:t xml:space="preserve">some </w:t>
      </w:r>
      <w:r>
        <w:rPr>
          <w:spacing w:val="-3"/>
        </w:rPr>
        <w:t xml:space="preserve">cases, </w:t>
      </w:r>
      <w:r>
        <w:t xml:space="preserve">energy cost is </w:t>
      </w:r>
      <w:r>
        <w:rPr>
          <w:spacing w:val="-3"/>
        </w:rPr>
        <w:t xml:space="preserve">also </w:t>
      </w:r>
      <w:r>
        <w:t xml:space="preserve">used as a display value. </w:t>
      </w:r>
      <w:r>
        <w:rPr>
          <w:spacing w:val="-3"/>
        </w:rPr>
        <w:t xml:space="preserve">Corgnati </w:t>
      </w:r>
      <w:r>
        <w:t xml:space="preserve">et </w:t>
      </w:r>
      <w:r>
        <w:rPr>
          <w:spacing w:val="-2"/>
        </w:rPr>
        <w:t xml:space="preserve">al. </w:t>
      </w:r>
      <w:r>
        <w:rPr>
          <w:spacing w:val="-3"/>
        </w:rPr>
        <w:t xml:space="preserve">(2008) depicts </w:t>
      </w:r>
      <w:r>
        <w:t xml:space="preserve">building energy </w:t>
      </w:r>
      <w:r>
        <w:rPr>
          <w:spacing w:val="-3"/>
        </w:rPr>
        <w:t xml:space="preserve">ratings </w:t>
      </w:r>
      <w:r>
        <w:t xml:space="preserve">(BER) as </w:t>
      </w:r>
      <w:r>
        <w:rPr>
          <w:spacing w:val="-3"/>
        </w:rPr>
        <w:t xml:space="preserve">“the evaluation </w:t>
      </w:r>
      <w:r>
        <w:t xml:space="preserve">of the energy </w:t>
      </w:r>
      <w:r>
        <w:rPr>
          <w:spacing w:val="-3"/>
        </w:rPr>
        <w:t xml:space="preserve">performance </w:t>
      </w:r>
      <w:r>
        <w:t xml:space="preserve">of the building based on the weighted sum of the </w:t>
      </w:r>
      <w:r>
        <w:rPr>
          <w:spacing w:val="-3"/>
        </w:rPr>
        <w:t xml:space="preserve">calculated </w:t>
      </w:r>
      <w:r>
        <w:t xml:space="preserve">or </w:t>
      </w:r>
      <w:r>
        <w:rPr>
          <w:spacing w:val="-3"/>
        </w:rPr>
        <w:t xml:space="preserve">metered </w:t>
      </w:r>
      <w:r>
        <w:t>use of energy</w:t>
      </w:r>
      <w:r>
        <w:rPr>
          <w:spacing w:val="-44"/>
        </w:rPr>
        <w:t xml:space="preserve"> </w:t>
      </w:r>
      <w:r>
        <w:t xml:space="preserve">carriers” </w:t>
      </w:r>
      <w:r>
        <w:rPr>
          <w:spacing w:val="-3"/>
        </w:rPr>
        <w:t>(p.801-809).</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ind w:left="584"/>
        <w:jc w:val="both"/>
      </w:pPr>
      <w:r>
        <w:lastRenderedPageBreak/>
        <w:t>Basically there are two types of building energy ratings;</w:t>
      </w:r>
    </w:p>
    <w:p w:rsidR="00F3177F" w:rsidRDefault="0089671D" w:rsidP="00FE18C5">
      <w:pPr>
        <w:pStyle w:val="ListParagraph"/>
        <w:numPr>
          <w:ilvl w:val="2"/>
          <w:numId w:val="37"/>
        </w:numPr>
        <w:tabs>
          <w:tab w:val="left" w:pos="1304"/>
          <w:tab w:val="left" w:pos="1305"/>
        </w:tabs>
        <w:spacing w:before="136" w:line="352" w:lineRule="auto"/>
        <w:ind w:right="123"/>
        <w:jc w:val="both"/>
        <w:rPr>
          <w:sz w:val="24"/>
        </w:rPr>
      </w:pPr>
      <w:r>
        <w:rPr>
          <w:sz w:val="24"/>
        </w:rPr>
        <w:t>The Calculated Rating: It is achieved through calculation and estimation of all energy sources</w:t>
      </w:r>
      <w:r>
        <w:rPr>
          <w:spacing w:val="-7"/>
          <w:sz w:val="24"/>
        </w:rPr>
        <w:t xml:space="preserve"> </w:t>
      </w:r>
      <w:r>
        <w:rPr>
          <w:sz w:val="24"/>
        </w:rPr>
        <w:t>delivered.</w:t>
      </w:r>
    </w:p>
    <w:p w:rsidR="00F3177F" w:rsidRDefault="0089671D" w:rsidP="00FE18C5">
      <w:pPr>
        <w:pStyle w:val="ListParagraph"/>
        <w:numPr>
          <w:ilvl w:val="2"/>
          <w:numId w:val="37"/>
        </w:numPr>
        <w:tabs>
          <w:tab w:val="left" w:pos="1304"/>
          <w:tab w:val="left" w:pos="1305"/>
        </w:tabs>
        <w:spacing w:before="14" w:line="350" w:lineRule="auto"/>
        <w:ind w:right="116"/>
        <w:jc w:val="both"/>
        <w:rPr>
          <w:sz w:val="24"/>
        </w:rPr>
      </w:pPr>
      <w:r>
        <w:rPr>
          <w:sz w:val="24"/>
        </w:rPr>
        <w:t>The Measured/Operational Rating: It is achieved through measurement and estimation of all energy sources</w:t>
      </w:r>
      <w:r>
        <w:rPr>
          <w:spacing w:val="-10"/>
          <w:sz w:val="24"/>
        </w:rPr>
        <w:t xml:space="preserve"> </w:t>
      </w:r>
      <w:r>
        <w:rPr>
          <w:sz w:val="24"/>
        </w:rPr>
        <w:t>delivered.</w:t>
      </w:r>
    </w:p>
    <w:p w:rsidR="00F3177F" w:rsidRDefault="00F3177F">
      <w:pPr>
        <w:pStyle w:val="BodyText"/>
      </w:pPr>
    </w:p>
    <w:p w:rsidR="00F3177F" w:rsidRDefault="0089671D">
      <w:pPr>
        <w:pStyle w:val="BodyText"/>
        <w:spacing w:before="153" w:line="360" w:lineRule="auto"/>
        <w:ind w:left="584" w:right="112"/>
        <w:jc w:val="both"/>
      </w:pPr>
      <w:r>
        <w:t xml:space="preserve">Because it is achieved through calculation, the calculated rating can vary depending on calculation methods, occupancy and climate zone. Three basic calculated rating types are design rating, asset rating and tailored rating. The design rating calculates </w:t>
      </w:r>
      <w:proofErr w:type="gramStart"/>
      <w:r>
        <w:t>the</w:t>
      </w:r>
      <w:r w:rsidR="00FE18C5">
        <w:t xml:space="preserve">  </w:t>
      </w:r>
      <w:r>
        <w:t>energy</w:t>
      </w:r>
      <w:proofErr w:type="gramEnd"/>
      <w:r>
        <w:t xml:space="preserve"> rating of a building at the designing stage. The asset rating and the tailored</w:t>
      </w:r>
      <w:r w:rsidR="00FE18C5">
        <w:t xml:space="preserve"> </w:t>
      </w:r>
      <w:r>
        <w:t xml:space="preserve">rating are similar and both calculate the energy rating of a building after construction. The difference between them is while asset rating calculates BERs after construction with standard occupancy and climate data, tailored rating does so with actual occupancy and climate data. Calculated ratings can be most beneficial when the building is new, big or/and multi-faceted, and when occupants of the building change often. This type energy rating can be achieved according to primary energy consumption or on-site energy use. Most European countries use calculated energy rating for new, small and private buildings while they use operational rating for big and multifaceted non- </w:t>
      </w:r>
      <w:proofErr w:type="gramStart"/>
      <w:r>
        <w:t>residential  constructions</w:t>
      </w:r>
      <w:proofErr w:type="gramEnd"/>
      <w:r>
        <w:t>,  and  for  the  systematic  assessment  of  public</w:t>
      </w:r>
      <w:r>
        <w:rPr>
          <w:spacing w:val="48"/>
        </w:rPr>
        <w:t xml:space="preserve"> </w:t>
      </w:r>
      <w:r>
        <w:t>constructions</w:t>
      </w:r>
    </w:p>
    <w:p w:rsidR="00F3177F" w:rsidRDefault="0089671D">
      <w:pPr>
        <w:pStyle w:val="BodyText"/>
        <w:spacing w:before="6" w:line="345" w:lineRule="auto"/>
        <w:ind w:left="584" w:right="118"/>
        <w:jc w:val="both"/>
      </w:pPr>
      <w:r>
        <w:t>(IEA, 2010, p.12). Calculated energy rating states how primary energy is used for each unit surface space annually (kWh/m</w:t>
      </w:r>
      <w:r>
        <w:rPr>
          <w:position w:val="11"/>
          <w:sz w:val="16"/>
        </w:rPr>
        <w:t>2</w:t>
      </w:r>
      <w:r>
        <w:t>/yr). A sample Building Energy Rating (BER)</w:t>
      </w:r>
      <w:r w:rsidR="00D90D3C">
        <w:t xml:space="preserve"> </w:t>
      </w:r>
      <w:r>
        <w:t>chart is given below in Figure</w:t>
      </w:r>
      <w:r>
        <w:rPr>
          <w:spacing w:val="-9"/>
        </w:rPr>
        <w:t xml:space="preserve"> </w:t>
      </w:r>
      <w:r>
        <w:t>1.</w:t>
      </w:r>
    </w:p>
    <w:p w:rsidR="00F3177F" w:rsidRDefault="00F3177F">
      <w:pPr>
        <w:spacing w:line="345" w:lineRule="auto"/>
        <w:jc w:val="both"/>
        <w:sectPr w:rsidR="00F3177F">
          <w:pgSz w:w="12240" w:h="15840"/>
          <w:pgMar w:top="1380" w:right="1320" w:bottom="2320" w:left="1720" w:header="0" w:footer="2095" w:gutter="0"/>
          <w:cols w:space="720"/>
        </w:sectPr>
      </w:pPr>
    </w:p>
    <w:p w:rsidR="00F3177F" w:rsidRDefault="0089671D">
      <w:pPr>
        <w:pStyle w:val="BodyText"/>
        <w:ind w:left="647"/>
        <w:rPr>
          <w:sz w:val="20"/>
        </w:rPr>
      </w:pPr>
      <w:r>
        <w:rPr>
          <w:noProof/>
          <w:sz w:val="20"/>
        </w:rPr>
        <w:lastRenderedPageBreak/>
        <w:drawing>
          <wp:inline distT="0" distB="0" distL="0" distR="0">
            <wp:extent cx="5309498" cy="54620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5309498" cy="5462016"/>
                    </a:xfrm>
                    <a:prstGeom prst="rect">
                      <a:avLst/>
                    </a:prstGeom>
                  </pic:spPr>
                </pic:pic>
              </a:graphicData>
            </a:graphic>
          </wp:inline>
        </w:drawing>
      </w:r>
    </w:p>
    <w:p w:rsidR="00F3177F" w:rsidRDefault="00F3177F">
      <w:pPr>
        <w:pStyle w:val="BodyText"/>
        <w:rPr>
          <w:sz w:val="18"/>
        </w:rPr>
      </w:pPr>
    </w:p>
    <w:p w:rsidR="00F3177F" w:rsidRDefault="0089671D">
      <w:pPr>
        <w:pStyle w:val="BodyText"/>
        <w:spacing w:before="69"/>
        <w:ind w:left="584"/>
        <w:jc w:val="both"/>
      </w:pPr>
      <w:r>
        <w:t>Figure 1. A sample Non-Domestic Building Energy Rating (BER) chart</w:t>
      </w:r>
    </w:p>
    <w:p w:rsidR="00F3177F" w:rsidRDefault="0089671D">
      <w:pPr>
        <w:pStyle w:val="BodyText"/>
        <w:ind w:left="584"/>
        <w:jc w:val="both"/>
      </w:pPr>
      <w:r>
        <w:t>(Source:    seai    (n.d.b)       http://www.seai.ie/showImage.aspx?imgUrl=/uploadedfiles</w:t>
      </w:r>
    </w:p>
    <w:p w:rsidR="00F3177F" w:rsidRDefault="0089671D">
      <w:pPr>
        <w:pStyle w:val="BodyText"/>
        <w:ind w:left="584"/>
        <w:jc w:val="both"/>
      </w:pPr>
      <w:r>
        <w:t>/EPBD/ Non%20domestic%20BER%20web.jpg)</w:t>
      </w:r>
    </w:p>
    <w:p w:rsidR="00F3177F" w:rsidRDefault="00F3177F">
      <w:pPr>
        <w:pStyle w:val="BodyText"/>
      </w:pPr>
    </w:p>
    <w:p w:rsidR="00F3177F" w:rsidRDefault="0089671D">
      <w:pPr>
        <w:pStyle w:val="BodyText"/>
        <w:spacing w:before="142" w:line="360" w:lineRule="auto"/>
        <w:ind w:left="584" w:right="117"/>
        <w:jc w:val="both"/>
      </w:pPr>
      <w:r>
        <w:t>The measured rating can provide better data on a BER as it is not based on calculation but measurement of the energy used in a building. Measured ratings are also more applicable for building energy certificates.</w:t>
      </w:r>
    </w:p>
    <w:p w:rsidR="00F3177F" w:rsidRDefault="00F3177F">
      <w:pPr>
        <w:spacing w:line="360" w:lineRule="auto"/>
        <w:jc w:val="both"/>
        <w:sectPr w:rsidR="00F3177F">
          <w:pgSz w:w="12240" w:h="15840"/>
          <w:pgMar w:top="1440" w:right="1320" w:bottom="2320" w:left="1720" w:header="0" w:footer="2095" w:gutter="0"/>
          <w:cols w:space="720"/>
        </w:sectPr>
      </w:pPr>
    </w:p>
    <w:p w:rsidR="00F3177F" w:rsidRDefault="0089671D">
      <w:pPr>
        <w:pStyle w:val="BodyText"/>
        <w:spacing w:before="54" w:line="360" w:lineRule="auto"/>
        <w:ind w:left="584" w:right="115"/>
        <w:jc w:val="both"/>
      </w:pPr>
      <w:r>
        <w:lastRenderedPageBreak/>
        <w:t>The Ratings can be used while selling, renting, comparing, regulating or retrofitting, certificating or/and optimizing. It is clear that these two ratings cannot be matched because of the methods they are achieved. Yet, the difference between them can throw lights into the differences between calculated and operational energy usage of buildings.</w:t>
      </w:r>
    </w:p>
    <w:p w:rsidR="00F3177F" w:rsidRDefault="00F3177F">
      <w:pPr>
        <w:pStyle w:val="BodyText"/>
      </w:pPr>
    </w:p>
    <w:p w:rsidR="00F3177F" w:rsidRDefault="0089671D">
      <w:pPr>
        <w:pStyle w:val="BodyText"/>
        <w:spacing w:before="143" w:line="357" w:lineRule="auto"/>
        <w:ind w:left="584" w:right="114"/>
        <w:jc w:val="both"/>
      </w:pPr>
      <w:r>
        <w:t>Although it is not the concern of this thesis, energy efficiency rating and environmental impact rating are also worth mentioning. Energy efficiency rating is calculated according to the cost of energy use for each square meter floor area where environmental impact rating is calculated according to the carbon dioxide emission for the same unit area. However, it should be noted that Although, CO</w:t>
      </w:r>
      <w:r>
        <w:rPr>
          <w:position w:val="-2"/>
          <w:sz w:val="16"/>
        </w:rPr>
        <w:t xml:space="preserve">2 </w:t>
      </w:r>
      <w:r>
        <w:t>emission performances in OECD countries are better than in non-OECD ones, there is no substantial variance in energy performance (Zhou et al., 2012). Figures 2 and 3 below show samples of energy efficiency and environmental impact ratings for England and Wales.</w:t>
      </w:r>
    </w:p>
    <w:p w:rsidR="00F3177F" w:rsidRDefault="00F3177F">
      <w:pPr>
        <w:pStyle w:val="BodyText"/>
        <w:rPr>
          <w:sz w:val="20"/>
        </w:rPr>
      </w:pPr>
    </w:p>
    <w:p w:rsidR="00F3177F" w:rsidRDefault="0089671D">
      <w:pPr>
        <w:pStyle w:val="BodyText"/>
        <w:spacing w:before="8"/>
        <w:rPr>
          <w:sz w:val="13"/>
        </w:rPr>
      </w:pPr>
      <w:r>
        <w:rPr>
          <w:noProof/>
        </w:rPr>
        <w:drawing>
          <wp:anchor distT="0" distB="0" distL="0" distR="0" simplePos="0" relativeHeight="251658240" behindDoc="0" locked="0" layoutInCell="1" allowOverlap="1">
            <wp:simplePos x="0" y="0"/>
            <wp:positionH relativeFrom="page">
              <wp:posOffset>1550669</wp:posOffset>
            </wp:positionH>
            <wp:positionV relativeFrom="paragraph">
              <wp:posOffset>125141</wp:posOffset>
            </wp:positionV>
            <wp:extent cx="5224964" cy="301075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7" cstate="print"/>
                    <a:stretch>
                      <a:fillRect/>
                    </a:stretch>
                  </pic:blipFill>
                  <pic:spPr>
                    <a:xfrm>
                      <a:off x="0" y="0"/>
                      <a:ext cx="5224964" cy="3010757"/>
                    </a:xfrm>
                    <a:prstGeom prst="rect">
                      <a:avLst/>
                    </a:prstGeom>
                  </pic:spPr>
                </pic:pic>
              </a:graphicData>
            </a:graphic>
          </wp:anchor>
        </w:drawing>
      </w:r>
    </w:p>
    <w:p w:rsidR="00F3177F" w:rsidRDefault="0089671D">
      <w:pPr>
        <w:pStyle w:val="BodyText"/>
        <w:spacing w:before="102"/>
        <w:ind w:left="584"/>
        <w:jc w:val="both"/>
      </w:pPr>
      <w:r>
        <w:t>Figure 2: Energy Efficiency Rating</w:t>
      </w:r>
    </w:p>
    <w:p w:rsidR="00F3177F" w:rsidRDefault="0089671D">
      <w:pPr>
        <w:pStyle w:val="BodyText"/>
        <w:ind w:left="584" w:right="1451"/>
      </w:pPr>
      <w:r>
        <w:rPr>
          <w:spacing w:val="-3"/>
        </w:rPr>
        <w:t xml:space="preserve">(Source: Department for Business, </w:t>
      </w:r>
      <w:r>
        <w:t xml:space="preserve">Energy &amp; </w:t>
      </w:r>
      <w:r>
        <w:rPr>
          <w:spacing w:val="-3"/>
        </w:rPr>
        <w:t xml:space="preserve">Industrial </w:t>
      </w:r>
      <w:r>
        <w:rPr>
          <w:spacing w:val="-2"/>
        </w:rPr>
        <w:t xml:space="preserve">Strategy, </w:t>
      </w:r>
      <w:r>
        <w:t xml:space="preserve">2005. p. 1. </w:t>
      </w:r>
      <w:hyperlink r:id="rId38">
        <w:r>
          <w:rPr>
            <w:spacing w:val="-3"/>
          </w:rPr>
          <w:t>http://www.energykey.co.uk/epcsample.pdf</w:t>
        </w:r>
      </w:hyperlink>
      <w:r>
        <w:rPr>
          <w:spacing w:val="-3"/>
        </w:rPr>
        <w:t>)</w:t>
      </w:r>
    </w:p>
    <w:p w:rsidR="00F3177F" w:rsidRDefault="00F3177F">
      <w:pPr>
        <w:sectPr w:rsidR="00F3177F">
          <w:pgSz w:w="12240" w:h="15840"/>
          <w:pgMar w:top="1380" w:right="1320" w:bottom="2320" w:left="1720" w:header="0" w:footer="2095" w:gutter="0"/>
          <w:cols w:space="720"/>
        </w:sectPr>
      </w:pPr>
    </w:p>
    <w:p w:rsidR="00F3177F" w:rsidRDefault="0089671D">
      <w:pPr>
        <w:pStyle w:val="BodyText"/>
        <w:ind w:left="752"/>
        <w:rPr>
          <w:sz w:val="20"/>
        </w:rPr>
      </w:pPr>
      <w:r>
        <w:rPr>
          <w:noProof/>
          <w:sz w:val="20"/>
        </w:rPr>
        <w:lastRenderedPageBreak/>
        <w:drawing>
          <wp:inline distT="0" distB="0" distL="0" distR="0">
            <wp:extent cx="5179160" cy="348138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9" cstate="print"/>
                    <a:stretch>
                      <a:fillRect/>
                    </a:stretch>
                  </pic:blipFill>
                  <pic:spPr>
                    <a:xfrm>
                      <a:off x="0" y="0"/>
                      <a:ext cx="5179160" cy="3481387"/>
                    </a:xfrm>
                    <a:prstGeom prst="rect">
                      <a:avLst/>
                    </a:prstGeom>
                  </pic:spPr>
                </pic:pic>
              </a:graphicData>
            </a:graphic>
          </wp:inline>
        </w:drawing>
      </w:r>
    </w:p>
    <w:p w:rsidR="00F3177F" w:rsidRDefault="0089671D">
      <w:pPr>
        <w:pStyle w:val="BodyText"/>
        <w:spacing w:before="138"/>
        <w:ind w:left="584"/>
        <w:jc w:val="both"/>
      </w:pPr>
      <w:r>
        <w:t>Figure 3. Environmental Impact Rating</w:t>
      </w:r>
    </w:p>
    <w:p w:rsidR="00F3177F" w:rsidRDefault="0089671D">
      <w:pPr>
        <w:pStyle w:val="BodyText"/>
        <w:ind w:left="584" w:right="1297"/>
      </w:pPr>
      <w:r>
        <w:t xml:space="preserve">(Source: Department for Business, Energy &amp; Industrial Strategy, 2005. p. 1. </w:t>
      </w:r>
      <w:hyperlink r:id="rId40">
        <w:r>
          <w:t>http://www.energykey.co.uk/epcsample.pdf</w:t>
        </w:r>
      </w:hyperlink>
      <w:r>
        <w:t>)</w:t>
      </w:r>
    </w:p>
    <w:p w:rsidR="00F3177F" w:rsidRDefault="00F3177F">
      <w:pPr>
        <w:pStyle w:val="BodyText"/>
      </w:pPr>
    </w:p>
    <w:p w:rsidR="00F3177F" w:rsidRDefault="00F3177F">
      <w:pPr>
        <w:pStyle w:val="BodyText"/>
        <w:spacing w:before="7"/>
      </w:pPr>
    </w:p>
    <w:p w:rsidR="00F3177F" w:rsidRDefault="0089671D">
      <w:pPr>
        <w:pStyle w:val="Heading2"/>
        <w:numPr>
          <w:ilvl w:val="2"/>
          <w:numId w:val="36"/>
        </w:numPr>
        <w:tabs>
          <w:tab w:val="left" w:pos="1245"/>
        </w:tabs>
        <w:jc w:val="both"/>
      </w:pPr>
      <w:bookmarkStart w:id="26" w:name="_TOC_250006"/>
      <w:r>
        <w:t>Building Energy (Performance)</w:t>
      </w:r>
      <w:r>
        <w:rPr>
          <w:spacing w:val="-15"/>
        </w:rPr>
        <w:t xml:space="preserve"> </w:t>
      </w:r>
      <w:bookmarkEnd w:id="26"/>
      <w:r>
        <w:t>Certificates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52" w:lineRule="auto"/>
        <w:ind w:left="584" w:right="111"/>
        <w:jc w:val="both"/>
      </w:pPr>
      <w:r>
        <w:t>The Energy Performance of Buildings Directive (EPBD) through the Directive 2002/91/EC built the basics for energy efficiency in Europe. The European Parliament and of the Council of December 16</w:t>
      </w:r>
      <w:r>
        <w:rPr>
          <w:position w:val="11"/>
          <w:sz w:val="16"/>
        </w:rPr>
        <w:t>th</w:t>
      </w:r>
      <w:r>
        <w:t xml:space="preserve">, 2002, declared all the existing and new buildings as the subject to building energy certification based on the Directive 2002/91/EC approved in 2003 (Official Journal of the European Communities, 2003). Dijk (2009) </w:t>
      </w:r>
      <w:proofErr w:type="gramStart"/>
      <w:r>
        <w:t>summarizes  the</w:t>
      </w:r>
      <w:proofErr w:type="gramEnd"/>
      <w:r>
        <w:t xml:space="preserve">  targets  of  the  directory  to  increase  energy  efficiency, consequently</w:t>
      </w:r>
    </w:p>
    <w:p w:rsidR="00F3177F" w:rsidRDefault="0089671D">
      <w:pPr>
        <w:pStyle w:val="BodyText"/>
        <w:spacing w:before="15"/>
        <w:ind w:left="584"/>
        <w:jc w:val="both"/>
      </w:pPr>
      <w:proofErr w:type="gramStart"/>
      <w:r>
        <w:t>performance</w:t>
      </w:r>
      <w:proofErr w:type="gramEnd"/>
      <w:r>
        <w:t>, of buildings in Europe as:</w:t>
      </w:r>
    </w:p>
    <w:p w:rsidR="00F3177F" w:rsidRDefault="0089671D" w:rsidP="00D90D3C">
      <w:pPr>
        <w:pStyle w:val="ListParagraph"/>
        <w:numPr>
          <w:ilvl w:val="2"/>
          <w:numId w:val="37"/>
        </w:numPr>
        <w:tabs>
          <w:tab w:val="left" w:pos="1304"/>
          <w:tab w:val="left" w:pos="1305"/>
        </w:tabs>
        <w:spacing w:before="136" w:line="352" w:lineRule="auto"/>
        <w:ind w:right="114"/>
        <w:jc w:val="both"/>
        <w:rPr>
          <w:sz w:val="24"/>
        </w:rPr>
      </w:pPr>
      <w:r>
        <w:rPr>
          <w:sz w:val="24"/>
        </w:rPr>
        <w:t>Building a calculation methodology framework for the building energy performance</w:t>
      </w:r>
    </w:p>
    <w:p w:rsidR="00F3177F" w:rsidRDefault="0089671D" w:rsidP="00D90D3C">
      <w:pPr>
        <w:pStyle w:val="ListParagraph"/>
        <w:numPr>
          <w:ilvl w:val="2"/>
          <w:numId w:val="37"/>
        </w:numPr>
        <w:tabs>
          <w:tab w:val="left" w:pos="1304"/>
          <w:tab w:val="left" w:pos="1305"/>
        </w:tabs>
        <w:spacing w:before="11"/>
        <w:jc w:val="both"/>
        <w:rPr>
          <w:sz w:val="24"/>
        </w:rPr>
      </w:pPr>
      <w:r>
        <w:rPr>
          <w:sz w:val="24"/>
        </w:rPr>
        <w:t>Applying bottom energy performance prerequisites for new</w:t>
      </w:r>
      <w:r>
        <w:rPr>
          <w:spacing w:val="-15"/>
          <w:sz w:val="24"/>
        </w:rPr>
        <w:t xml:space="preserve"> </w:t>
      </w:r>
      <w:r>
        <w:rPr>
          <w:sz w:val="24"/>
        </w:rPr>
        <w:t>constructions</w:t>
      </w:r>
    </w:p>
    <w:p w:rsidR="00F3177F" w:rsidRDefault="00F3177F" w:rsidP="00D90D3C">
      <w:pPr>
        <w:jc w:val="both"/>
        <w:rPr>
          <w:sz w:val="24"/>
        </w:rPr>
        <w:sectPr w:rsidR="00F3177F">
          <w:pgSz w:w="12240" w:h="15840"/>
          <w:pgMar w:top="1440" w:right="1320" w:bottom="2320" w:left="1720" w:header="0" w:footer="2095" w:gutter="0"/>
          <w:cols w:space="720"/>
        </w:sectPr>
      </w:pPr>
    </w:p>
    <w:p w:rsidR="00F3177F" w:rsidRDefault="0089671D">
      <w:pPr>
        <w:pStyle w:val="ListParagraph"/>
        <w:numPr>
          <w:ilvl w:val="2"/>
          <w:numId w:val="37"/>
        </w:numPr>
        <w:tabs>
          <w:tab w:val="left" w:pos="1304"/>
          <w:tab w:val="left" w:pos="1305"/>
        </w:tabs>
        <w:spacing w:before="34"/>
        <w:rPr>
          <w:sz w:val="24"/>
        </w:rPr>
      </w:pPr>
      <w:r>
        <w:rPr>
          <w:sz w:val="24"/>
        </w:rPr>
        <w:lastRenderedPageBreak/>
        <w:t>Providing building energy performance</w:t>
      </w:r>
      <w:r>
        <w:rPr>
          <w:spacing w:val="-10"/>
          <w:sz w:val="24"/>
        </w:rPr>
        <w:t xml:space="preserve"> </w:t>
      </w:r>
      <w:r>
        <w:rPr>
          <w:sz w:val="24"/>
        </w:rPr>
        <w:t>certificates</w:t>
      </w:r>
    </w:p>
    <w:p w:rsidR="00F3177F" w:rsidRDefault="0089671D">
      <w:pPr>
        <w:pStyle w:val="ListParagraph"/>
        <w:numPr>
          <w:ilvl w:val="2"/>
          <w:numId w:val="37"/>
        </w:numPr>
        <w:tabs>
          <w:tab w:val="left" w:pos="1304"/>
          <w:tab w:val="left" w:pos="1305"/>
        </w:tabs>
        <w:rPr>
          <w:sz w:val="24"/>
        </w:rPr>
      </w:pPr>
      <w:r>
        <w:rPr>
          <w:sz w:val="24"/>
        </w:rPr>
        <w:t>Checking air-conditioning and boiler system</w:t>
      </w:r>
      <w:r>
        <w:rPr>
          <w:spacing w:val="-8"/>
          <w:sz w:val="24"/>
        </w:rPr>
        <w:t xml:space="preserve"> </w:t>
      </w:r>
      <w:r>
        <w:rPr>
          <w:sz w:val="24"/>
        </w:rPr>
        <w:t>systematically</w:t>
      </w:r>
    </w:p>
    <w:p w:rsidR="00F3177F" w:rsidRDefault="0089671D">
      <w:pPr>
        <w:pStyle w:val="ListParagraph"/>
        <w:numPr>
          <w:ilvl w:val="2"/>
          <w:numId w:val="37"/>
        </w:numPr>
        <w:tabs>
          <w:tab w:val="left" w:pos="1304"/>
          <w:tab w:val="left" w:pos="1305"/>
        </w:tabs>
        <w:spacing w:before="135"/>
        <w:rPr>
          <w:sz w:val="24"/>
        </w:rPr>
      </w:pPr>
      <w:r>
        <w:rPr>
          <w:sz w:val="24"/>
        </w:rPr>
        <w:t>Setting standards for certification specialists and</w:t>
      </w:r>
      <w:r>
        <w:rPr>
          <w:spacing w:val="-12"/>
          <w:sz w:val="24"/>
        </w:rPr>
        <w:t xml:space="preserve"> </w:t>
      </w:r>
      <w:r>
        <w:rPr>
          <w:sz w:val="24"/>
        </w:rPr>
        <w:t>inspectors.</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15"/>
        <w:jc w:val="both"/>
      </w:pPr>
      <w:r>
        <w:t>Although the EPBD provides a mandatory certification, members of the Union are free to choose the most appropriate procedures that fit themselves (Dijk, 2009). On the other side, energy performance certificates are not mandatory for some buildings such as places of worship or buildings that will be used for less than two years (GOV.UK, 2016).</w:t>
      </w:r>
    </w:p>
    <w:p w:rsidR="00F3177F" w:rsidRDefault="00F3177F">
      <w:pPr>
        <w:pStyle w:val="BodyText"/>
      </w:pPr>
    </w:p>
    <w:p w:rsidR="00F3177F" w:rsidRDefault="0089671D">
      <w:pPr>
        <w:pStyle w:val="BodyText"/>
        <w:spacing w:before="143" w:line="360" w:lineRule="auto"/>
        <w:ind w:left="584" w:right="115"/>
        <w:jc w:val="both"/>
      </w:pPr>
      <w:r>
        <w:t xml:space="preserve">Energy </w:t>
      </w:r>
      <w:r>
        <w:rPr>
          <w:spacing w:val="-3"/>
        </w:rPr>
        <w:t xml:space="preserve">performance certificates </w:t>
      </w:r>
      <w:r>
        <w:t xml:space="preserve">are used to rate </w:t>
      </w:r>
      <w:r>
        <w:rPr>
          <w:spacing w:val="-2"/>
        </w:rPr>
        <w:t xml:space="preserve">all </w:t>
      </w:r>
      <w:r>
        <w:rPr>
          <w:spacing w:val="-3"/>
        </w:rPr>
        <w:t xml:space="preserve">types and </w:t>
      </w:r>
      <w:r>
        <w:t xml:space="preserve">sizes of </w:t>
      </w:r>
      <w:r>
        <w:rPr>
          <w:spacing w:val="-3"/>
        </w:rPr>
        <w:t xml:space="preserve">buildings from </w:t>
      </w:r>
      <w:r>
        <w:t xml:space="preserve">the </w:t>
      </w:r>
      <w:r>
        <w:rPr>
          <w:spacing w:val="-3"/>
        </w:rPr>
        <w:t xml:space="preserve">point </w:t>
      </w:r>
      <w:r>
        <w:t xml:space="preserve">of </w:t>
      </w:r>
      <w:r>
        <w:rPr>
          <w:spacing w:val="-3"/>
        </w:rPr>
        <w:t xml:space="preserve">their </w:t>
      </w:r>
      <w:r>
        <w:t xml:space="preserve">energy </w:t>
      </w:r>
      <w:r>
        <w:rPr>
          <w:spacing w:val="-3"/>
        </w:rPr>
        <w:t xml:space="preserve">performance/efficiency </w:t>
      </w:r>
      <w:r>
        <w:t xml:space="preserve">within </w:t>
      </w:r>
      <w:r>
        <w:rPr>
          <w:spacing w:val="-3"/>
        </w:rPr>
        <w:t xml:space="preserve">proper users’ </w:t>
      </w:r>
      <w:r>
        <w:t xml:space="preserve">comfort and </w:t>
      </w:r>
      <w:r>
        <w:rPr>
          <w:spacing w:val="-3"/>
        </w:rPr>
        <w:t xml:space="preserve">buildings’ </w:t>
      </w:r>
      <w:r>
        <w:t xml:space="preserve">ability to </w:t>
      </w:r>
      <w:r>
        <w:rPr>
          <w:spacing w:val="-3"/>
        </w:rPr>
        <w:t xml:space="preserve">function. </w:t>
      </w:r>
      <w:r>
        <w:t xml:space="preserve">According to an </w:t>
      </w:r>
      <w:r>
        <w:rPr>
          <w:spacing w:val="-3"/>
        </w:rPr>
        <w:t xml:space="preserve">official </w:t>
      </w:r>
      <w:r>
        <w:t xml:space="preserve">website by the United Kingdom </w:t>
      </w:r>
      <w:r>
        <w:rPr>
          <w:spacing w:val="-3"/>
        </w:rPr>
        <w:t xml:space="preserve">(GOV.UK, 2016), </w:t>
      </w:r>
      <w:r>
        <w:t xml:space="preserve">an energy </w:t>
      </w:r>
      <w:r>
        <w:rPr>
          <w:spacing w:val="-3"/>
        </w:rPr>
        <w:t>performance certificate covers:</w:t>
      </w:r>
    </w:p>
    <w:p w:rsidR="00F3177F" w:rsidRDefault="0089671D">
      <w:pPr>
        <w:pStyle w:val="ListParagraph"/>
        <w:numPr>
          <w:ilvl w:val="2"/>
          <w:numId w:val="37"/>
        </w:numPr>
        <w:tabs>
          <w:tab w:val="left" w:pos="1304"/>
          <w:tab w:val="left" w:pos="1305"/>
        </w:tabs>
        <w:spacing w:before="3"/>
        <w:rPr>
          <w:sz w:val="24"/>
        </w:rPr>
      </w:pPr>
      <w:r>
        <w:rPr>
          <w:spacing w:val="-3"/>
          <w:sz w:val="24"/>
        </w:rPr>
        <w:t xml:space="preserve">data </w:t>
      </w:r>
      <w:r>
        <w:rPr>
          <w:sz w:val="24"/>
        </w:rPr>
        <w:t xml:space="preserve">on the </w:t>
      </w:r>
      <w:r>
        <w:rPr>
          <w:spacing w:val="-3"/>
          <w:sz w:val="24"/>
        </w:rPr>
        <w:t xml:space="preserve">assets </w:t>
      </w:r>
      <w:r>
        <w:rPr>
          <w:sz w:val="24"/>
        </w:rPr>
        <w:t xml:space="preserve">energy </w:t>
      </w:r>
      <w:r>
        <w:rPr>
          <w:spacing w:val="-3"/>
          <w:sz w:val="24"/>
        </w:rPr>
        <w:t xml:space="preserve">performance and characteristic </w:t>
      </w:r>
      <w:r>
        <w:rPr>
          <w:sz w:val="24"/>
        </w:rPr>
        <w:t>energy</w:t>
      </w:r>
      <w:r>
        <w:rPr>
          <w:spacing w:val="-14"/>
          <w:sz w:val="24"/>
        </w:rPr>
        <w:t xml:space="preserve"> </w:t>
      </w:r>
      <w:r>
        <w:rPr>
          <w:spacing w:val="-3"/>
          <w:sz w:val="24"/>
        </w:rPr>
        <w:t>expenditures</w:t>
      </w:r>
    </w:p>
    <w:p w:rsidR="00F3177F" w:rsidRDefault="0089671D">
      <w:pPr>
        <w:pStyle w:val="ListParagraph"/>
        <w:numPr>
          <w:ilvl w:val="2"/>
          <w:numId w:val="37"/>
        </w:numPr>
        <w:tabs>
          <w:tab w:val="left" w:pos="1304"/>
          <w:tab w:val="left" w:pos="1305"/>
        </w:tabs>
        <w:rPr>
          <w:sz w:val="24"/>
        </w:rPr>
      </w:pPr>
      <w:r>
        <w:rPr>
          <w:spacing w:val="-3"/>
          <w:sz w:val="24"/>
        </w:rPr>
        <w:t xml:space="preserve">recommendations </w:t>
      </w:r>
      <w:r>
        <w:rPr>
          <w:sz w:val="24"/>
        </w:rPr>
        <w:t xml:space="preserve">to lessen energy use </w:t>
      </w:r>
      <w:r>
        <w:rPr>
          <w:spacing w:val="-3"/>
          <w:sz w:val="24"/>
        </w:rPr>
        <w:t>and</w:t>
      </w:r>
      <w:r>
        <w:rPr>
          <w:spacing w:val="-32"/>
          <w:sz w:val="24"/>
        </w:rPr>
        <w:t xml:space="preserve"> </w:t>
      </w:r>
      <w:r>
        <w:rPr>
          <w:spacing w:val="-3"/>
          <w:sz w:val="24"/>
        </w:rPr>
        <w:t>expenditures</w:t>
      </w:r>
    </w:p>
    <w:p w:rsidR="00F3177F" w:rsidRDefault="00F3177F">
      <w:pPr>
        <w:pStyle w:val="BodyText"/>
      </w:pPr>
    </w:p>
    <w:p w:rsidR="00F3177F" w:rsidRDefault="00F3177F">
      <w:pPr>
        <w:pStyle w:val="BodyText"/>
        <w:spacing w:before="11"/>
        <w:rPr>
          <w:sz w:val="23"/>
        </w:rPr>
      </w:pPr>
    </w:p>
    <w:p w:rsidR="00F3177F" w:rsidRDefault="0089671D">
      <w:pPr>
        <w:pStyle w:val="BodyText"/>
        <w:spacing w:line="360" w:lineRule="auto"/>
        <w:ind w:left="584" w:right="109"/>
        <w:jc w:val="both"/>
      </w:pPr>
      <w:r>
        <w:rPr>
          <w:spacing w:val="-3"/>
        </w:rPr>
        <w:t xml:space="preserve">Except </w:t>
      </w:r>
      <w:r>
        <w:t xml:space="preserve">for the mentioned primary </w:t>
      </w:r>
      <w:r>
        <w:rPr>
          <w:spacing w:val="-3"/>
        </w:rPr>
        <w:t xml:space="preserve">function, </w:t>
      </w:r>
      <w:r>
        <w:t xml:space="preserve">they can be also used </w:t>
      </w:r>
      <w:r>
        <w:rPr>
          <w:spacing w:val="-3"/>
        </w:rPr>
        <w:t xml:space="preserve">for recommendation purposes </w:t>
      </w:r>
      <w:r>
        <w:t xml:space="preserve">on upgrading buildings </w:t>
      </w:r>
      <w:r>
        <w:rPr>
          <w:spacing w:val="-3"/>
        </w:rPr>
        <w:t xml:space="preserve">and </w:t>
      </w:r>
      <w:r>
        <w:t xml:space="preserve">their </w:t>
      </w:r>
      <w:r>
        <w:rPr>
          <w:spacing w:val="-3"/>
        </w:rPr>
        <w:t xml:space="preserve">payback </w:t>
      </w:r>
      <w:r>
        <w:t xml:space="preserve">while improving </w:t>
      </w:r>
      <w:r>
        <w:rPr>
          <w:spacing w:val="-3"/>
        </w:rPr>
        <w:t xml:space="preserve">efficiency, </w:t>
      </w:r>
      <w:r>
        <w:t xml:space="preserve">users’ </w:t>
      </w:r>
      <w:r>
        <w:rPr>
          <w:spacing w:val="-3"/>
        </w:rPr>
        <w:t xml:space="preserve">comfort, and </w:t>
      </w:r>
      <w:r>
        <w:t xml:space="preserve">saving money and </w:t>
      </w:r>
      <w:r>
        <w:rPr>
          <w:spacing w:val="-3"/>
        </w:rPr>
        <w:t xml:space="preserve">environment. </w:t>
      </w:r>
      <w:r>
        <w:t xml:space="preserve">Energy performance </w:t>
      </w:r>
      <w:r>
        <w:rPr>
          <w:spacing w:val="-3"/>
        </w:rPr>
        <w:t xml:space="preserve">certificates </w:t>
      </w:r>
      <w:r>
        <w:t xml:space="preserve">are </w:t>
      </w:r>
      <w:r>
        <w:rPr>
          <w:spacing w:val="-3"/>
        </w:rPr>
        <w:t xml:space="preserve">given </w:t>
      </w:r>
      <w:r>
        <w:t xml:space="preserve">by </w:t>
      </w:r>
      <w:r>
        <w:rPr>
          <w:spacing w:val="-3"/>
        </w:rPr>
        <w:t xml:space="preserve">accredited assessors that perform </w:t>
      </w:r>
      <w:r>
        <w:t xml:space="preserve">an </w:t>
      </w:r>
      <w:r>
        <w:rPr>
          <w:spacing w:val="-3"/>
        </w:rPr>
        <w:t xml:space="preserve">on-the-spot </w:t>
      </w:r>
      <w:r>
        <w:t xml:space="preserve">energy survey in </w:t>
      </w:r>
      <w:r>
        <w:rPr>
          <w:spacing w:val="-3"/>
        </w:rPr>
        <w:t xml:space="preserve">properties. Information gathered after </w:t>
      </w:r>
      <w:r>
        <w:t xml:space="preserve">the </w:t>
      </w:r>
      <w:r>
        <w:rPr>
          <w:spacing w:val="-3"/>
        </w:rPr>
        <w:t xml:space="preserve">investigation </w:t>
      </w:r>
      <w:r>
        <w:t xml:space="preserve">is </w:t>
      </w:r>
      <w:r>
        <w:rPr>
          <w:spacing w:val="-3"/>
        </w:rPr>
        <w:t xml:space="preserve">analyzed </w:t>
      </w:r>
      <w:r>
        <w:t xml:space="preserve">with the help of energy </w:t>
      </w:r>
      <w:r>
        <w:rPr>
          <w:spacing w:val="-3"/>
        </w:rPr>
        <w:t xml:space="preserve">assessment software and </w:t>
      </w:r>
      <w:r>
        <w:t xml:space="preserve">the property is </w:t>
      </w:r>
      <w:r>
        <w:rPr>
          <w:spacing w:val="-3"/>
        </w:rPr>
        <w:t xml:space="preserve">given </w:t>
      </w:r>
      <w:r>
        <w:t xml:space="preserve">an energy efficiency rating </w:t>
      </w:r>
      <w:r>
        <w:rPr>
          <w:spacing w:val="-3"/>
        </w:rPr>
        <w:t xml:space="preserve">number and </w:t>
      </w:r>
      <w:r>
        <w:t xml:space="preserve">a </w:t>
      </w:r>
      <w:r>
        <w:rPr>
          <w:spacing w:val="-3"/>
        </w:rPr>
        <w:t xml:space="preserve">value </w:t>
      </w:r>
      <w:r>
        <w:t xml:space="preserve">for </w:t>
      </w:r>
      <w:r>
        <w:rPr>
          <w:spacing w:val="-3"/>
        </w:rPr>
        <w:t xml:space="preserve">prospective </w:t>
      </w:r>
      <w:r>
        <w:rPr>
          <w:spacing w:val="-2"/>
        </w:rPr>
        <w:t xml:space="preserve">development. </w:t>
      </w:r>
      <w:r>
        <w:t xml:space="preserve">As </w:t>
      </w:r>
      <w:r>
        <w:rPr>
          <w:spacing w:val="-3"/>
        </w:rPr>
        <w:t xml:space="preserve">schools </w:t>
      </w:r>
      <w:r>
        <w:t xml:space="preserve">are </w:t>
      </w:r>
      <w:r>
        <w:rPr>
          <w:spacing w:val="-3"/>
        </w:rPr>
        <w:t xml:space="preserve">educational </w:t>
      </w:r>
      <w:r>
        <w:t xml:space="preserve">institutions </w:t>
      </w:r>
      <w:r>
        <w:rPr>
          <w:spacing w:val="-3"/>
        </w:rPr>
        <w:t xml:space="preserve">and </w:t>
      </w:r>
      <w:r>
        <w:t xml:space="preserve">they are </w:t>
      </w:r>
      <w:r>
        <w:rPr>
          <w:spacing w:val="-3"/>
        </w:rPr>
        <w:t xml:space="preserve">great </w:t>
      </w:r>
      <w:r>
        <w:t xml:space="preserve">in numbers, their energy </w:t>
      </w:r>
      <w:r>
        <w:rPr>
          <w:spacing w:val="-3"/>
        </w:rPr>
        <w:t xml:space="preserve">performances </w:t>
      </w:r>
      <w:r>
        <w:t xml:space="preserve">are </w:t>
      </w:r>
      <w:r>
        <w:rPr>
          <w:spacing w:val="-3"/>
        </w:rPr>
        <w:t xml:space="preserve">important factors </w:t>
      </w:r>
      <w:r>
        <w:t xml:space="preserve">for energy </w:t>
      </w:r>
      <w:r>
        <w:rPr>
          <w:spacing w:val="-3"/>
        </w:rPr>
        <w:t>education and</w:t>
      </w:r>
      <w:r>
        <w:rPr>
          <w:spacing w:val="5"/>
        </w:rPr>
        <w:t xml:space="preserve"> </w:t>
      </w:r>
      <w:r>
        <w:rPr>
          <w:spacing w:val="-3"/>
        </w:rPr>
        <w:t>efficiency.</w:t>
      </w:r>
    </w:p>
    <w:p w:rsidR="00F3177F" w:rsidRDefault="00F3177F">
      <w:pPr>
        <w:pStyle w:val="BodyText"/>
      </w:pPr>
    </w:p>
    <w:p w:rsidR="00F3177F" w:rsidRDefault="0089671D">
      <w:pPr>
        <w:pStyle w:val="BodyText"/>
        <w:spacing w:before="143" w:line="360" w:lineRule="auto"/>
        <w:ind w:left="584" w:right="122"/>
        <w:jc w:val="both"/>
      </w:pPr>
      <w:r>
        <w:t>Since different variables such as equipment, climate, building design and construction, energy and water systems are used in certification process, building energy performance</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5"/>
        <w:jc w:val="both"/>
      </w:pPr>
      <w:proofErr w:type="gramStart"/>
      <w:r>
        <w:lastRenderedPageBreak/>
        <w:t>assessment</w:t>
      </w:r>
      <w:proofErr w:type="gramEnd"/>
      <w:r>
        <w:t xml:space="preserve"> should be carried out - taking building codes that refer to standards into account by a proficient evaluator/assessor. For the new buildings under construction, certification is done to see whether the building meets the requirements of building codes while used to compare with similar buildings and assess energy saving opportunities as Home Energy Rating System (HERS) Index does in USA for the already existing buildings. Energy performance certificates for existing buildings can be demanded while purchasing or renting. The European Union Energy Performance of Buildings Directory (EPBD) requires it even when advertising buildings and energy performance certificates cannot cover a longer period than ten years (IEA, 2010). Another use of certificates is to allow building owners and prospective buyers to estimate the functionality of the building in comparison with others by using building energy codes from the point of energy efficiency. Similar to electrical gadgets, energy certificates also use A to G labelling system in the European Union while HERS is used in USA (IEA, 2010). For instance, a C-label building which can be an average building means that there is still a lot of progress to be carried out while labelling moves from A! </w:t>
      </w:r>
      <w:proofErr w:type="gramStart"/>
      <w:r>
        <w:t>to</w:t>
      </w:r>
      <w:proofErr w:type="gramEnd"/>
      <w:r>
        <w:t xml:space="preserve"> A++ to describe highly efficient buildings. However, mostly affirmative/positive labels demand to meet the bottom prerequisites of standards. For instance, average rating is in the range of D or E in most European countries (Department of Energy and Climate Change,</w:t>
      </w:r>
      <w:r>
        <w:rPr>
          <w:spacing w:val="-7"/>
        </w:rPr>
        <w:t xml:space="preserve"> </w:t>
      </w:r>
      <w:r>
        <w:t>2013).</w:t>
      </w:r>
    </w:p>
    <w:p w:rsidR="00F3177F" w:rsidRDefault="00F3177F">
      <w:pPr>
        <w:pStyle w:val="BodyText"/>
      </w:pPr>
    </w:p>
    <w:p w:rsidR="00F3177F" w:rsidRDefault="0089671D" w:rsidP="007936A5">
      <w:pPr>
        <w:pStyle w:val="BodyText"/>
        <w:spacing w:before="143" w:line="357" w:lineRule="auto"/>
        <w:ind w:left="584" w:right="114"/>
        <w:jc w:val="both"/>
      </w:pPr>
      <w:r>
        <w:t>Building certificates can be obligatory as in EPBD in European Union or voluntary as in EnergyStar in USA. While voluntary certification is mostly applied by owners of highly energy efficient buildings, mandatory ones are used to find the least energy efficient buildings among many others to recommend energy efficiency measurements. Because they are applied to a large number of buildings, mandatory certifications provide more information on buildings in general although they are more difficult to apply and consequently cost more. Yet, mandatory energy certificates may help governments to imply more realistic energy policies and lessen energy consumption and CO</w:t>
      </w:r>
      <w:r>
        <w:rPr>
          <w:position w:val="-2"/>
          <w:sz w:val="16"/>
        </w:rPr>
        <w:t xml:space="preserve">2 </w:t>
      </w:r>
      <w:r>
        <w:t>emission. The success of certification does not only depend on providing it but also procedures</w:t>
      </w:r>
      <w:r w:rsidR="007936A5">
        <w:t xml:space="preserve"> </w:t>
      </w:r>
      <w:r>
        <w:lastRenderedPageBreak/>
        <w:t>taken afterwards such as empowering procedures and proper systems, training responsible people and sustaining the required functions and qualities.</w:t>
      </w:r>
    </w:p>
    <w:p w:rsidR="00F3177F" w:rsidRDefault="00F3177F">
      <w:pPr>
        <w:pStyle w:val="BodyText"/>
      </w:pPr>
    </w:p>
    <w:p w:rsidR="00F3177F" w:rsidRDefault="0089671D">
      <w:pPr>
        <w:pStyle w:val="BodyText"/>
        <w:spacing w:before="143" w:line="360" w:lineRule="auto"/>
        <w:ind w:left="584" w:right="114"/>
        <w:jc w:val="both"/>
      </w:pPr>
      <w:r>
        <w:t>In spite of all the efforts for efficiency, standards and certifications of energy ratings, efficiency and certification, there are still other concerns to build the best practice. One of them is insufficient number of buildings that follow the directory. A research in England and Walles showed that only 1/3 of the inspected buildings meet the requirements of the directory (</w:t>
      </w:r>
      <w:proofErr w:type="gramStart"/>
      <w:r>
        <w:t>Pan &amp;</w:t>
      </w:r>
      <w:proofErr w:type="gramEnd"/>
      <w:r>
        <w:t xml:space="preserve"> Garmston, 2012). Furthermore, the English House Condition Survey (EHCS) showed that better energy rated houses frequently devour more energy than lower rated ones (Burman et al., 2014). Kelly (2001) recommends</w:t>
      </w:r>
      <w:r w:rsidR="007936A5">
        <w:t xml:space="preserve"> </w:t>
      </w:r>
      <w:r>
        <w:t>that financial inducements and behavioral approaches be employed to close energy performance gap that is the gap between optimum and real energy use. Following an energy policy as another measurement to close that gap will be imposed for all new buildings by the end of 2020 (The European Parliament and the Council of the EU, 2010). Some reasons behind this gap might</w:t>
      </w:r>
      <w:r>
        <w:rPr>
          <w:spacing w:val="-12"/>
        </w:rPr>
        <w:t xml:space="preserve"> </w:t>
      </w:r>
      <w:r>
        <w:t>be:</w:t>
      </w:r>
    </w:p>
    <w:p w:rsidR="00F3177F" w:rsidRDefault="0089671D">
      <w:pPr>
        <w:pStyle w:val="ListParagraph"/>
        <w:numPr>
          <w:ilvl w:val="2"/>
          <w:numId w:val="37"/>
        </w:numPr>
        <w:tabs>
          <w:tab w:val="left" w:pos="1304"/>
          <w:tab w:val="left" w:pos="1305"/>
        </w:tabs>
        <w:spacing w:before="3"/>
        <w:rPr>
          <w:sz w:val="24"/>
        </w:rPr>
      </w:pPr>
      <w:r>
        <w:rPr>
          <w:sz w:val="24"/>
        </w:rPr>
        <w:t>The directory itself, possibly more notional than</w:t>
      </w:r>
      <w:r>
        <w:rPr>
          <w:spacing w:val="-12"/>
          <w:sz w:val="24"/>
        </w:rPr>
        <w:t xml:space="preserve"> </w:t>
      </w:r>
      <w:r>
        <w:rPr>
          <w:sz w:val="24"/>
        </w:rPr>
        <w:t>practical</w:t>
      </w:r>
    </w:p>
    <w:p w:rsidR="00F3177F" w:rsidRDefault="0089671D">
      <w:pPr>
        <w:pStyle w:val="ListParagraph"/>
        <w:numPr>
          <w:ilvl w:val="2"/>
          <w:numId w:val="37"/>
        </w:numPr>
        <w:tabs>
          <w:tab w:val="left" w:pos="1304"/>
          <w:tab w:val="left" w:pos="1305"/>
        </w:tabs>
        <w:spacing w:line="352" w:lineRule="auto"/>
        <w:ind w:right="121"/>
        <w:rPr>
          <w:sz w:val="24"/>
        </w:rPr>
      </w:pPr>
      <w:r>
        <w:rPr>
          <w:sz w:val="24"/>
        </w:rPr>
        <w:t>The updates in directory as already existing buildings cannot follow updates easily</w:t>
      </w:r>
    </w:p>
    <w:p w:rsidR="00F3177F" w:rsidRDefault="0089671D">
      <w:pPr>
        <w:pStyle w:val="ListParagraph"/>
        <w:numPr>
          <w:ilvl w:val="2"/>
          <w:numId w:val="37"/>
        </w:numPr>
        <w:tabs>
          <w:tab w:val="left" w:pos="1304"/>
          <w:tab w:val="left" w:pos="1305"/>
        </w:tabs>
        <w:spacing w:before="11"/>
        <w:rPr>
          <w:sz w:val="24"/>
        </w:rPr>
      </w:pPr>
      <w:r>
        <w:rPr>
          <w:sz w:val="24"/>
        </w:rPr>
        <w:t>Problems caused by building design, construction and</w:t>
      </w:r>
      <w:r>
        <w:rPr>
          <w:spacing w:val="-15"/>
          <w:sz w:val="24"/>
        </w:rPr>
        <w:t xml:space="preserve"> </w:t>
      </w:r>
      <w:r>
        <w:rPr>
          <w:sz w:val="24"/>
        </w:rPr>
        <w:t>material</w:t>
      </w:r>
    </w:p>
    <w:p w:rsidR="00F3177F" w:rsidRDefault="0089671D">
      <w:pPr>
        <w:pStyle w:val="ListParagraph"/>
        <w:numPr>
          <w:ilvl w:val="2"/>
          <w:numId w:val="37"/>
        </w:numPr>
        <w:tabs>
          <w:tab w:val="left" w:pos="1304"/>
          <w:tab w:val="left" w:pos="1305"/>
        </w:tabs>
        <w:rPr>
          <w:sz w:val="24"/>
        </w:rPr>
      </w:pPr>
      <w:r>
        <w:rPr>
          <w:sz w:val="24"/>
        </w:rPr>
        <w:t>Lack of qualified assessors and</w:t>
      </w:r>
      <w:r>
        <w:rPr>
          <w:spacing w:val="-9"/>
          <w:sz w:val="24"/>
        </w:rPr>
        <w:t xml:space="preserve"> </w:t>
      </w:r>
      <w:r>
        <w:rPr>
          <w:sz w:val="24"/>
        </w:rPr>
        <w:t>appliers</w:t>
      </w:r>
    </w:p>
    <w:p w:rsidR="00F3177F" w:rsidRDefault="0089671D">
      <w:pPr>
        <w:pStyle w:val="ListParagraph"/>
        <w:numPr>
          <w:ilvl w:val="2"/>
          <w:numId w:val="37"/>
        </w:numPr>
        <w:tabs>
          <w:tab w:val="left" w:pos="1304"/>
          <w:tab w:val="left" w:pos="1305"/>
        </w:tabs>
        <w:spacing w:before="135"/>
        <w:rPr>
          <w:sz w:val="24"/>
        </w:rPr>
      </w:pPr>
      <w:r>
        <w:rPr>
          <w:sz w:val="24"/>
        </w:rPr>
        <w:t>Issues concerning modelling and</w:t>
      </w:r>
      <w:r>
        <w:rPr>
          <w:spacing w:val="-11"/>
          <w:sz w:val="24"/>
        </w:rPr>
        <w:t xml:space="preserve"> </w:t>
      </w:r>
      <w:r>
        <w:rPr>
          <w:sz w:val="24"/>
        </w:rPr>
        <w:t>methods</w:t>
      </w:r>
    </w:p>
    <w:p w:rsidR="00F3177F" w:rsidRDefault="0089671D">
      <w:pPr>
        <w:pStyle w:val="ListParagraph"/>
        <w:numPr>
          <w:ilvl w:val="2"/>
          <w:numId w:val="37"/>
        </w:numPr>
        <w:tabs>
          <w:tab w:val="left" w:pos="1304"/>
          <w:tab w:val="left" w:pos="1305"/>
        </w:tabs>
        <w:rPr>
          <w:sz w:val="24"/>
        </w:rPr>
      </w:pPr>
      <w:r>
        <w:rPr>
          <w:sz w:val="24"/>
        </w:rPr>
        <w:t>Lack of effective energy</w:t>
      </w:r>
      <w:r>
        <w:rPr>
          <w:spacing w:val="-7"/>
          <w:sz w:val="24"/>
        </w:rPr>
        <w:t xml:space="preserve"> </w:t>
      </w:r>
      <w:r>
        <w:rPr>
          <w:sz w:val="24"/>
        </w:rPr>
        <w:t>policies</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22"/>
        <w:jc w:val="both"/>
      </w:pPr>
      <w:r>
        <w:t>In addition, historical buildings present difficulties for building energy certificates due to barriers to investigate their insulation quality and building renovation restrictions for historical</w:t>
      </w:r>
      <w:r>
        <w:rPr>
          <w:spacing w:val="-6"/>
        </w:rPr>
        <w:t xml:space="preserve"> </w:t>
      </w:r>
      <w:r>
        <w:t>buildings.</w:t>
      </w:r>
    </w:p>
    <w:p w:rsidR="00F3177F" w:rsidRDefault="00F3177F">
      <w:pPr>
        <w:pStyle w:val="BodyText"/>
        <w:spacing w:before="9"/>
      </w:pPr>
    </w:p>
    <w:p w:rsidR="00F3177F" w:rsidRDefault="0089671D" w:rsidP="00C36C1B">
      <w:pPr>
        <w:pStyle w:val="BodyText"/>
        <w:spacing w:line="410" w:lineRule="atLeast"/>
        <w:ind w:left="584" w:right="116"/>
        <w:jc w:val="both"/>
      </w:pPr>
      <w:r>
        <w:t xml:space="preserve">Display Energy Certificates (DECs) as an indicator </w:t>
      </w:r>
      <w:r>
        <w:rPr>
          <w:spacing w:val="-3"/>
        </w:rPr>
        <w:t xml:space="preserve">for </w:t>
      </w:r>
      <w:r>
        <w:t xml:space="preserve">the </w:t>
      </w:r>
      <w:r>
        <w:rPr>
          <w:spacing w:val="-3"/>
        </w:rPr>
        <w:t xml:space="preserve">actual </w:t>
      </w:r>
      <w:r>
        <w:t xml:space="preserve">energy usage of a building are </w:t>
      </w:r>
      <w:proofErr w:type="gramStart"/>
      <w:r>
        <w:rPr>
          <w:spacing w:val="-3"/>
        </w:rPr>
        <w:t>also  worth</w:t>
      </w:r>
      <w:proofErr w:type="gramEnd"/>
      <w:r>
        <w:rPr>
          <w:spacing w:val="-3"/>
        </w:rPr>
        <w:t xml:space="preserve">  mentioning.  They, </w:t>
      </w:r>
      <w:r>
        <w:t>complemented by an Advisory Report, are</w:t>
      </w:r>
      <w:r w:rsidR="00C36C1B">
        <w:t xml:space="preserve"> </w:t>
      </w:r>
      <w:r>
        <w:rPr>
          <w:spacing w:val="-3"/>
        </w:rPr>
        <w:lastRenderedPageBreak/>
        <w:t xml:space="preserve">grounded </w:t>
      </w:r>
      <w:r>
        <w:t xml:space="preserve">on </w:t>
      </w:r>
      <w:r>
        <w:rPr>
          <w:spacing w:val="-2"/>
        </w:rPr>
        <w:t xml:space="preserve">all </w:t>
      </w:r>
      <w:r>
        <w:t xml:space="preserve">the </w:t>
      </w:r>
      <w:r>
        <w:rPr>
          <w:spacing w:val="-3"/>
        </w:rPr>
        <w:t xml:space="preserve">recorded </w:t>
      </w:r>
      <w:r>
        <w:t xml:space="preserve">energy </w:t>
      </w:r>
      <w:r>
        <w:rPr>
          <w:spacing w:val="-3"/>
        </w:rPr>
        <w:t xml:space="preserve">consumption </w:t>
      </w:r>
      <w:r>
        <w:t xml:space="preserve">of a </w:t>
      </w:r>
      <w:r>
        <w:rPr>
          <w:spacing w:val="-3"/>
        </w:rPr>
        <w:t xml:space="preserve">construction </w:t>
      </w:r>
      <w:r>
        <w:t xml:space="preserve">by </w:t>
      </w:r>
      <w:r>
        <w:rPr>
          <w:spacing w:val="-2"/>
        </w:rPr>
        <w:t xml:space="preserve">all </w:t>
      </w:r>
      <w:r>
        <w:t xml:space="preserve">the </w:t>
      </w:r>
      <w:r>
        <w:rPr>
          <w:spacing w:val="-3"/>
        </w:rPr>
        <w:t xml:space="preserve">varieties </w:t>
      </w:r>
      <w:r>
        <w:t xml:space="preserve">of energy </w:t>
      </w:r>
      <w:r>
        <w:rPr>
          <w:spacing w:val="-3"/>
        </w:rPr>
        <w:t xml:space="preserve">resources and </w:t>
      </w:r>
      <w:r>
        <w:t xml:space="preserve">used as an </w:t>
      </w:r>
      <w:r>
        <w:rPr>
          <w:spacing w:val="-3"/>
        </w:rPr>
        <w:t xml:space="preserve">operational rating </w:t>
      </w:r>
      <w:r>
        <w:t xml:space="preserve">to </w:t>
      </w:r>
      <w:r>
        <w:rPr>
          <w:spacing w:val="-3"/>
        </w:rPr>
        <w:t xml:space="preserve">assess </w:t>
      </w:r>
      <w:r>
        <w:t xml:space="preserve">energy efficiency of a </w:t>
      </w:r>
      <w:r>
        <w:rPr>
          <w:spacing w:val="-3"/>
        </w:rPr>
        <w:t xml:space="preserve">building. </w:t>
      </w:r>
      <w:r>
        <w:t xml:space="preserve">Display Energy </w:t>
      </w:r>
      <w:r>
        <w:rPr>
          <w:spacing w:val="-3"/>
        </w:rPr>
        <w:t xml:space="preserve">Certificates </w:t>
      </w:r>
      <w:r>
        <w:t xml:space="preserve">rate buildings </w:t>
      </w:r>
      <w:r>
        <w:rPr>
          <w:spacing w:val="-3"/>
        </w:rPr>
        <w:t xml:space="preserve">from </w:t>
      </w:r>
      <w:r>
        <w:t xml:space="preserve">A to G as </w:t>
      </w:r>
      <w:r>
        <w:rPr>
          <w:spacing w:val="-3"/>
        </w:rPr>
        <w:t xml:space="preserve">well. </w:t>
      </w:r>
      <w:r>
        <w:t xml:space="preserve">From the </w:t>
      </w:r>
      <w:r>
        <w:rPr>
          <w:spacing w:val="-3"/>
        </w:rPr>
        <w:t xml:space="preserve">point </w:t>
      </w:r>
      <w:r>
        <w:t>of CO</w:t>
      </w:r>
      <w:r>
        <w:rPr>
          <w:position w:val="-2"/>
          <w:sz w:val="16"/>
        </w:rPr>
        <w:t xml:space="preserve">2 </w:t>
      </w:r>
      <w:r>
        <w:rPr>
          <w:spacing w:val="-3"/>
        </w:rPr>
        <w:t xml:space="preserve">emission, </w:t>
      </w:r>
      <w:r>
        <w:t xml:space="preserve">it is </w:t>
      </w:r>
      <w:r>
        <w:rPr>
          <w:spacing w:val="-3"/>
        </w:rPr>
        <w:t xml:space="preserve">calculated </w:t>
      </w:r>
      <w:r>
        <w:t xml:space="preserve">in </w:t>
      </w:r>
      <w:r>
        <w:rPr>
          <w:spacing w:val="-3"/>
        </w:rPr>
        <w:t xml:space="preserve">comparison </w:t>
      </w:r>
      <w:r>
        <w:t xml:space="preserve">with its type. </w:t>
      </w:r>
      <w:r>
        <w:rPr>
          <w:spacing w:val="-3"/>
        </w:rPr>
        <w:t xml:space="preserve">Department </w:t>
      </w:r>
      <w:r>
        <w:t>for</w:t>
      </w:r>
      <w:r w:rsidR="00C36C1B">
        <w:t xml:space="preserve"> </w:t>
      </w:r>
      <w:r>
        <w:rPr>
          <w:spacing w:val="-3"/>
        </w:rPr>
        <w:t xml:space="preserve">Communities and </w:t>
      </w:r>
      <w:r>
        <w:t xml:space="preserve">Local </w:t>
      </w:r>
      <w:r>
        <w:rPr>
          <w:spacing w:val="-3"/>
        </w:rPr>
        <w:t xml:space="preserve">Government (2015) </w:t>
      </w:r>
      <w:r>
        <w:t xml:space="preserve">explains the </w:t>
      </w:r>
      <w:r>
        <w:rPr>
          <w:spacing w:val="-3"/>
        </w:rPr>
        <w:t xml:space="preserve">criteria </w:t>
      </w:r>
      <w:r>
        <w:t>as</w:t>
      </w:r>
      <w:r>
        <w:rPr>
          <w:spacing w:val="-36"/>
        </w:rPr>
        <w:t xml:space="preserve"> </w:t>
      </w:r>
      <w:r>
        <w:t>below;</w:t>
      </w:r>
    </w:p>
    <w:p w:rsidR="00F3177F" w:rsidRDefault="0089671D">
      <w:pPr>
        <w:pStyle w:val="ListParagraph"/>
        <w:numPr>
          <w:ilvl w:val="2"/>
          <w:numId w:val="37"/>
        </w:numPr>
        <w:tabs>
          <w:tab w:val="left" w:pos="1304"/>
          <w:tab w:val="left" w:pos="1305"/>
        </w:tabs>
        <w:spacing w:before="6"/>
        <w:rPr>
          <w:sz w:val="24"/>
        </w:rPr>
      </w:pPr>
      <w:r>
        <w:rPr>
          <w:spacing w:val="-3"/>
          <w:sz w:val="24"/>
        </w:rPr>
        <w:t xml:space="preserve">If </w:t>
      </w:r>
      <w:r>
        <w:rPr>
          <w:sz w:val="24"/>
        </w:rPr>
        <w:t xml:space="preserve">a building has </w:t>
      </w:r>
      <w:r>
        <w:rPr>
          <w:spacing w:val="-3"/>
          <w:sz w:val="24"/>
        </w:rPr>
        <w:t xml:space="preserve">zero </w:t>
      </w:r>
      <w:r>
        <w:rPr>
          <w:sz w:val="24"/>
        </w:rPr>
        <w:t>CO</w:t>
      </w:r>
      <w:r>
        <w:rPr>
          <w:position w:val="-2"/>
          <w:sz w:val="16"/>
        </w:rPr>
        <w:t xml:space="preserve">2 </w:t>
      </w:r>
      <w:r>
        <w:rPr>
          <w:spacing w:val="-3"/>
          <w:sz w:val="24"/>
        </w:rPr>
        <w:t xml:space="preserve">emission, </w:t>
      </w:r>
      <w:r>
        <w:rPr>
          <w:sz w:val="24"/>
        </w:rPr>
        <w:t xml:space="preserve">it is </w:t>
      </w:r>
      <w:r>
        <w:rPr>
          <w:spacing w:val="-3"/>
          <w:sz w:val="24"/>
        </w:rPr>
        <w:t xml:space="preserve">rated </w:t>
      </w:r>
      <w:r>
        <w:rPr>
          <w:sz w:val="24"/>
        </w:rPr>
        <w:t>as</w:t>
      </w:r>
      <w:r>
        <w:rPr>
          <w:spacing w:val="-26"/>
          <w:sz w:val="24"/>
        </w:rPr>
        <w:t xml:space="preserve"> </w:t>
      </w:r>
      <w:r>
        <w:rPr>
          <w:spacing w:val="-3"/>
          <w:sz w:val="24"/>
        </w:rPr>
        <w:t>zero.</w:t>
      </w:r>
    </w:p>
    <w:p w:rsidR="00F3177F" w:rsidRDefault="0089671D" w:rsidP="00C36C1B">
      <w:pPr>
        <w:pStyle w:val="ListParagraph"/>
        <w:numPr>
          <w:ilvl w:val="2"/>
          <w:numId w:val="37"/>
        </w:numPr>
        <w:tabs>
          <w:tab w:val="left" w:pos="1304"/>
          <w:tab w:val="left" w:pos="1305"/>
        </w:tabs>
        <w:spacing w:before="126" w:line="343" w:lineRule="auto"/>
        <w:ind w:right="119"/>
        <w:jc w:val="both"/>
        <w:rPr>
          <w:sz w:val="24"/>
        </w:rPr>
      </w:pPr>
      <w:r>
        <w:rPr>
          <w:spacing w:val="-3"/>
          <w:sz w:val="24"/>
        </w:rPr>
        <w:t xml:space="preserve">If </w:t>
      </w:r>
      <w:r>
        <w:rPr>
          <w:sz w:val="24"/>
        </w:rPr>
        <w:t xml:space="preserve">a </w:t>
      </w:r>
      <w:r>
        <w:rPr>
          <w:spacing w:val="-3"/>
          <w:sz w:val="24"/>
        </w:rPr>
        <w:t xml:space="preserve">building’s </w:t>
      </w:r>
      <w:r>
        <w:rPr>
          <w:sz w:val="24"/>
        </w:rPr>
        <w:t>CO</w:t>
      </w:r>
      <w:r>
        <w:rPr>
          <w:position w:val="-2"/>
          <w:sz w:val="16"/>
        </w:rPr>
        <w:t xml:space="preserve">2 </w:t>
      </w:r>
      <w:r>
        <w:rPr>
          <w:sz w:val="24"/>
        </w:rPr>
        <w:t xml:space="preserve">emission is </w:t>
      </w:r>
      <w:r>
        <w:rPr>
          <w:spacing w:val="-3"/>
          <w:sz w:val="24"/>
        </w:rPr>
        <w:t xml:space="preserve">representative/average </w:t>
      </w:r>
      <w:r>
        <w:rPr>
          <w:sz w:val="24"/>
        </w:rPr>
        <w:t xml:space="preserve">of its type, it is </w:t>
      </w:r>
      <w:r>
        <w:rPr>
          <w:spacing w:val="-3"/>
          <w:sz w:val="24"/>
        </w:rPr>
        <w:t xml:space="preserve">rated </w:t>
      </w:r>
      <w:r>
        <w:rPr>
          <w:sz w:val="24"/>
        </w:rPr>
        <w:t xml:space="preserve">as </w:t>
      </w:r>
      <w:r>
        <w:rPr>
          <w:spacing w:val="-3"/>
          <w:sz w:val="24"/>
        </w:rPr>
        <w:t>100.</w:t>
      </w:r>
    </w:p>
    <w:p w:rsidR="00F3177F" w:rsidRDefault="0089671D" w:rsidP="00C36C1B">
      <w:pPr>
        <w:pStyle w:val="ListParagraph"/>
        <w:numPr>
          <w:ilvl w:val="2"/>
          <w:numId w:val="37"/>
        </w:numPr>
        <w:tabs>
          <w:tab w:val="left" w:pos="1304"/>
          <w:tab w:val="left" w:pos="1305"/>
        </w:tabs>
        <w:spacing w:before="22" w:line="343" w:lineRule="auto"/>
        <w:ind w:right="120"/>
        <w:jc w:val="both"/>
        <w:rPr>
          <w:sz w:val="24"/>
        </w:rPr>
      </w:pPr>
      <w:r>
        <w:rPr>
          <w:spacing w:val="-3"/>
          <w:sz w:val="24"/>
        </w:rPr>
        <w:t xml:space="preserve">If </w:t>
      </w:r>
      <w:r>
        <w:rPr>
          <w:sz w:val="24"/>
        </w:rPr>
        <w:t xml:space="preserve">a </w:t>
      </w:r>
      <w:r>
        <w:rPr>
          <w:spacing w:val="-3"/>
          <w:sz w:val="24"/>
        </w:rPr>
        <w:t xml:space="preserve">building’s </w:t>
      </w:r>
      <w:r>
        <w:rPr>
          <w:sz w:val="24"/>
        </w:rPr>
        <w:t>CO</w:t>
      </w:r>
      <w:r>
        <w:rPr>
          <w:position w:val="-2"/>
          <w:sz w:val="16"/>
        </w:rPr>
        <w:t xml:space="preserve">2 </w:t>
      </w:r>
      <w:r>
        <w:rPr>
          <w:sz w:val="24"/>
        </w:rPr>
        <w:t xml:space="preserve">emission is as twice as the </w:t>
      </w:r>
      <w:r>
        <w:rPr>
          <w:spacing w:val="-3"/>
          <w:sz w:val="24"/>
        </w:rPr>
        <w:t xml:space="preserve">average </w:t>
      </w:r>
      <w:r>
        <w:rPr>
          <w:sz w:val="24"/>
        </w:rPr>
        <w:t xml:space="preserve">of its </w:t>
      </w:r>
      <w:r>
        <w:rPr>
          <w:spacing w:val="-3"/>
          <w:sz w:val="24"/>
        </w:rPr>
        <w:t xml:space="preserve">types, </w:t>
      </w:r>
      <w:r>
        <w:rPr>
          <w:sz w:val="24"/>
        </w:rPr>
        <w:t xml:space="preserve">it is rated as </w:t>
      </w:r>
      <w:r>
        <w:rPr>
          <w:spacing w:val="-3"/>
          <w:sz w:val="24"/>
        </w:rPr>
        <w:t>200.</w:t>
      </w:r>
    </w:p>
    <w:p w:rsidR="00F3177F" w:rsidRDefault="00F3177F">
      <w:pPr>
        <w:pStyle w:val="BodyText"/>
      </w:pPr>
    </w:p>
    <w:p w:rsidR="00F3177F" w:rsidRDefault="00F3177F">
      <w:pPr>
        <w:pStyle w:val="BodyText"/>
        <w:spacing w:before="4"/>
        <w:rPr>
          <w:sz w:val="26"/>
        </w:rPr>
      </w:pPr>
    </w:p>
    <w:p w:rsidR="00F3177F" w:rsidRDefault="0089671D">
      <w:pPr>
        <w:pStyle w:val="Heading2"/>
        <w:numPr>
          <w:ilvl w:val="2"/>
          <w:numId w:val="36"/>
        </w:numPr>
        <w:tabs>
          <w:tab w:val="left" w:pos="1226"/>
        </w:tabs>
        <w:ind w:left="1225" w:hanging="641"/>
        <w:jc w:val="both"/>
      </w:pPr>
      <w:bookmarkStart w:id="27" w:name="_TOC_250005"/>
      <w:r>
        <w:rPr>
          <w:spacing w:val="-3"/>
        </w:rPr>
        <w:t>Energy</w:t>
      </w:r>
      <w:r>
        <w:rPr>
          <w:spacing w:val="11"/>
        </w:rPr>
        <w:t xml:space="preserve"> </w:t>
      </w:r>
      <w:bookmarkEnd w:id="27"/>
      <w:r>
        <w:rPr>
          <w:spacing w:val="-3"/>
        </w:rPr>
        <w:t>Benchmarking</w:t>
      </w:r>
    </w:p>
    <w:p w:rsidR="00F3177F" w:rsidRDefault="00F3177F">
      <w:pPr>
        <w:pStyle w:val="BodyText"/>
        <w:rPr>
          <w:b/>
        </w:rPr>
      </w:pPr>
    </w:p>
    <w:p w:rsidR="00F3177F" w:rsidRDefault="00F3177F">
      <w:pPr>
        <w:pStyle w:val="BodyText"/>
        <w:rPr>
          <w:b/>
          <w:sz w:val="34"/>
        </w:rPr>
      </w:pPr>
    </w:p>
    <w:p w:rsidR="00F3177F" w:rsidRDefault="0089671D">
      <w:pPr>
        <w:pStyle w:val="BodyText"/>
        <w:spacing w:line="360" w:lineRule="auto"/>
        <w:ind w:left="584" w:right="115"/>
        <w:jc w:val="both"/>
      </w:pPr>
      <w:r>
        <w:t xml:space="preserve">Energy benchmarking in general, non-domestic buildings’ energy benchmarking in specific is based on comparison between the target (building) and a successful sample and it is considered as a key means to increase building energy efficiency and transparency (Pérez-Lombard et al., 2009). The Construction Industry Institute (CII) (1995) defines benchmarking as a methodical process to measure and compare one’s performance with acknowledged frontrunners to enable better performance when modified and used. The break concerning the present state of the subject building and the best practice building as a sample and benchmarking reference provides the target improvement. Depending on the type of organization and its objectives, benchmarking systems use precise </w:t>
      </w:r>
      <w:hyperlink r:id="rId41">
        <w:r>
          <w:t>indicator</w:t>
        </w:r>
      </w:hyperlink>
      <w:r>
        <w:t>s, such as cost, time or cycle time, productivity etc. per</w:t>
      </w:r>
      <w:r w:rsidR="00C36C1B">
        <w:t xml:space="preserve"> </w:t>
      </w:r>
      <w:r>
        <w:t>unit of measure (Fifer,</w:t>
      </w:r>
      <w:r>
        <w:rPr>
          <w:spacing w:val="-5"/>
        </w:rPr>
        <w:t xml:space="preserve"> </w:t>
      </w:r>
      <w:r>
        <w:t>1989).</w:t>
      </w:r>
    </w:p>
    <w:p w:rsidR="00F3177F" w:rsidRDefault="00F3177F">
      <w:pPr>
        <w:pStyle w:val="BodyText"/>
      </w:pPr>
    </w:p>
    <w:p w:rsidR="00F3177F" w:rsidRDefault="00F3177F">
      <w:pPr>
        <w:pStyle w:val="BodyText"/>
        <w:spacing w:before="10"/>
        <w:rPr>
          <w:sz w:val="22"/>
        </w:rPr>
      </w:pPr>
    </w:p>
    <w:p w:rsidR="00F3177F" w:rsidRDefault="0089671D" w:rsidP="00967E18">
      <w:pPr>
        <w:pStyle w:val="BodyText"/>
        <w:spacing w:line="360" w:lineRule="auto"/>
        <w:ind w:left="584" w:right="116"/>
        <w:jc w:val="both"/>
      </w:pPr>
      <w:r>
        <w:t>A very important notion in benchmarking is that benchmarking should be taken as constant process at different levels starting from the construction rather than a random one. Another important issue for benchmarking is that improvement of the system is the</w:t>
      </w:r>
      <w:r w:rsidR="00967E18">
        <w:t xml:space="preserve"> </w:t>
      </w:r>
      <w:r>
        <w:lastRenderedPageBreak/>
        <w:t>backbone of the process rather than personal and sectional ones. One of the greatest, if not the greatest, obstacle in front of benchmarking is institutions’ lack of knowledge of the importance of benchmarking or/and desire to implement it. For instance, benchmarking validation can be best achieved through the cooperation of an inside benchmarking unit and an independent and qualified outside team. Nevertheless, some organizations may resist to provide necessary information fearing that it will reveal their vital inside information or weaknesses. Readiness to compare and to compete with the others encourages companies for benchmarking. Ranking, regression and distribution models are the most commonly used benchmarking methods.</w:t>
      </w:r>
    </w:p>
    <w:p w:rsidR="00F3177F" w:rsidRDefault="00F3177F">
      <w:pPr>
        <w:pStyle w:val="BodyText"/>
        <w:spacing w:before="4"/>
        <w:rPr>
          <w:sz w:val="33"/>
        </w:rPr>
      </w:pPr>
    </w:p>
    <w:p w:rsidR="00F3177F" w:rsidRDefault="0089671D">
      <w:pPr>
        <w:pStyle w:val="BodyText"/>
        <w:spacing w:before="1" w:line="350" w:lineRule="auto"/>
        <w:ind w:left="584" w:right="113"/>
        <w:jc w:val="both"/>
      </w:pPr>
      <w:r>
        <w:t xml:space="preserve">The most common indicator to be used as </w:t>
      </w:r>
      <w:r>
        <w:rPr>
          <w:spacing w:val="-3"/>
        </w:rPr>
        <w:t xml:space="preserve">benchmarking </w:t>
      </w:r>
      <w:r>
        <w:t xml:space="preserve">tool is </w:t>
      </w:r>
      <w:r>
        <w:rPr>
          <w:spacing w:val="-3"/>
        </w:rPr>
        <w:t>kWh/m</w:t>
      </w:r>
      <w:r>
        <w:rPr>
          <w:spacing w:val="-3"/>
          <w:position w:val="11"/>
          <w:sz w:val="16"/>
        </w:rPr>
        <w:t>2</w:t>
      </w:r>
      <w:r>
        <w:rPr>
          <w:spacing w:val="-3"/>
        </w:rPr>
        <w:t>/year. KgCO</w:t>
      </w:r>
      <w:r>
        <w:rPr>
          <w:spacing w:val="-3"/>
          <w:position w:val="-2"/>
          <w:sz w:val="16"/>
        </w:rPr>
        <w:t>2</w:t>
      </w:r>
      <w:r>
        <w:rPr>
          <w:spacing w:val="-3"/>
        </w:rPr>
        <w:t>/m</w:t>
      </w:r>
      <w:r>
        <w:rPr>
          <w:spacing w:val="-3"/>
          <w:position w:val="11"/>
          <w:sz w:val="16"/>
        </w:rPr>
        <w:t>2</w:t>
      </w:r>
      <w:r>
        <w:rPr>
          <w:spacing w:val="-3"/>
        </w:rPr>
        <w:t xml:space="preserve">/year </w:t>
      </w:r>
      <w:r>
        <w:t xml:space="preserve">as carbon </w:t>
      </w:r>
      <w:r>
        <w:rPr>
          <w:spacing w:val="-3"/>
        </w:rPr>
        <w:t xml:space="preserve">emission </w:t>
      </w:r>
      <w:r>
        <w:t xml:space="preserve">and </w:t>
      </w:r>
      <w:r>
        <w:rPr>
          <w:spacing w:val="-3"/>
        </w:rPr>
        <w:t xml:space="preserve">kWh/person/year </w:t>
      </w:r>
      <w:r>
        <w:t xml:space="preserve">as thermal </w:t>
      </w:r>
      <w:r>
        <w:rPr>
          <w:spacing w:val="-3"/>
        </w:rPr>
        <w:t xml:space="preserve">comfort </w:t>
      </w:r>
      <w:r>
        <w:t xml:space="preserve">are </w:t>
      </w:r>
      <w:r>
        <w:rPr>
          <w:spacing w:val="-3"/>
        </w:rPr>
        <w:t xml:space="preserve">also used. </w:t>
      </w:r>
      <w:r>
        <w:t xml:space="preserve">Choosing the right </w:t>
      </w:r>
      <w:r>
        <w:rPr>
          <w:spacing w:val="-3"/>
        </w:rPr>
        <w:t xml:space="preserve">objectives </w:t>
      </w:r>
      <w:r>
        <w:t xml:space="preserve">and </w:t>
      </w:r>
      <w:r>
        <w:rPr>
          <w:spacing w:val="-3"/>
        </w:rPr>
        <w:t xml:space="preserve">measures determined </w:t>
      </w:r>
      <w:r>
        <w:t xml:space="preserve">by </w:t>
      </w:r>
      <w:r>
        <w:rPr>
          <w:spacing w:val="-3"/>
        </w:rPr>
        <w:t xml:space="preserve">success factors </w:t>
      </w:r>
      <w:r>
        <w:t xml:space="preserve">are </w:t>
      </w:r>
      <w:r>
        <w:rPr>
          <w:spacing w:val="-3"/>
        </w:rPr>
        <w:t xml:space="preserve">vital for successful implementation </w:t>
      </w:r>
      <w:r>
        <w:t xml:space="preserve">(Kaplan &amp; </w:t>
      </w:r>
      <w:r>
        <w:rPr>
          <w:spacing w:val="-3"/>
        </w:rPr>
        <w:t xml:space="preserve">Norton, 1996). Basic concepts </w:t>
      </w:r>
      <w:r>
        <w:t xml:space="preserve">in </w:t>
      </w:r>
      <w:r>
        <w:rPr>
          <w:spacing w:val="-3"/>
        </w:rPr>
        <w:t xml:space="preserve">benchmarking </w:t>
      </w:r>
      <w:r>
        <w:t xml:space="preserve">are </w:t>
      </w:r>
      <w:r>
        <w:rPr>
          <w:spacing w:val="-3"/>
        </w:rPr>
        <w:t xml:space="preserve">measurement, </w:t>
      </w:r>
      <w:r>
        <w:t xml:space="preserve">comparison </w:t>
      </w:r>
      <w:r>
        <w:rPr>
          <w:spacing w:val="-3"/>
        </w:rPr>
        <w:t xml:space="preserve">and </w:t>
      </w:r>
      <w:r>
        <w:t xml:space="preserve">development </w:t>
      </w:r>
      <w:r>
        <w:rPr>
          <w:spacing w:val="-3"/>
        </w:rPr>
        <w:t xml:space="preserve">prospects. </w:t>
      </w:r>
      <w:r>
        <w:t xml:space="preserve">Having </w:t>
      </w:r>
      <w:r>
        <w:rPr>
          <w:spacing w:val="-3"/>
        </w:rPr>
        <w:t xml:space="preserve">found </w:t>
      </w:r>
      <w:r>
        <w:t xml:space="preserve">out </w:t>
      </w:r>
      <w:r>
        <w:rPr>
          <w:spacing w:val="-3"/>
        </w:rPr>
        <w:t xml:space="preserve">what causes </w:t>
      </w:r>
      <w:r>
        <w:t xml:space="preserve">the inefficient performance in </w:t>
      </w:r>
      <w:r>
        <w:rPr>
          <w:spacing w:val="-3"/>
        </w:rPr>
        <w:t xml:space="preserve">comparison </w:t>
      </w:r>
      <w:r>
        <w:t xml:space="preserve">with the best one in the </w:t>
      </w:r>
      <w:r>
        <w:rPr>
          <w:spacing w:val="-3"/>
        </w:rPr>
        <w:t>market, measurements</w:t>
      </w:r>
    </w:p>
    <w:p w:rsidR="00F3177F" w:rsidRDefault="0089671D">
      <w:pPr>
        <w:pStyle w:val="BodyText"/>
        <w:spacing w:before="17" w:line="360" w:lineRule="auto"/>
        <w:ind w:left="584" w:right="109"/>
        <w:jc w:val="both"/>
      </w:pPr>
      <w:proofErr w:type="gramStart"/>
      <w:r>
        <w:rPr>
          <w:spacing w:val="-3"/>
        </w:rPr>
        <w:t>can</w:t>
      </w:r>
      <w:proofErr w:type="gramEnd"/>
      <w:r>
        <w:rPr>
          <w:spacing w:val="-3"/>
        </w:rPr>
        <w:t xml:space="preserve"> </w:t>
      </w:r>
      <w:r>
        <w:t xml:space="preserve">be </w:t>
      </w:r>
      <w:r>
        <w:rPr>
          <w:spacing w:val="-3"/>
        </w:rPr>
        <w:t xml:space="preserve">planned accordingly. Benchmarking </w:t>
      </w:r>
      <w:r>
        <w:t xml:space="preserve">can be </w:t>
      </w:r>
      <w:r>
        <w:rPr>
          <w:spacing w:val="-3"/>
        </w:rPr>
        <w:t xml:space="preserve">divided </w:t>
      </w:r>
      <w:r>
        <w:t xml:space="preserve">into two categories as internal </w:t>
      </w:r>
      <w:r>
        <w:rPr>
          <w:spacing w:val="-3"/>
        </w:rPr>
        <w:t xml:space="preserve">and external. </w:t>
      </w:r>
      <w:r>
        <w:t xml:space="preserve">While internal </w:t>
      </w:r>
      <w:r>
        <w:rPr>
          <w:spacing w:val="-3"/>
        </w:rPr>
        <w:t xml:space="preserve">benchmarking </w:t>
      </w:r>
      <w:r>
        <w:t xml:space="preserve">is </w:t>
      </w:r>
      <w:r>
        <w:rPr>
          <w:spacing w:val="-3"/>
        </w:rPr>
        <w:t xml:space="preserve">useful </w:t>
      </w:r>
      <w:r>
        <w:t xml:space="preserve">to compare </w:t>
      </w:r>
      <w:r>
        <w:rPr>
          <w:spacing w:val="-3"/>
        </w:rPr>
        <w:t>operational processes</w:t>
      </w:r>
      <w:r w:rsidR="00967E18">
        <w:rPr>
          <w:spacing w:val="-3"/>
        </w:rPr>
        <w:t xml:space="preserve"> </w:t>
      </w:r>
      <w:r>
        <w:t xml:space="preserve">with the desired ones mostly when there is no </w:t>
      </w:r>
      <w:r>
        <w:rPr>
          <w:spacing w:val="-3"/>
        </w:rPr>
        <w:t xml:space="preserve">external </w:t>
      </w:r>
      <w:r>
        <w:t xml:space="preserve">best practice sample, the </w:t>
      </w:r>
      <w:r>
        <w:rPr>
          <w:spacing w:val="-3"/>
        </w:rPr>
        <w:t xml:space="preserve">external </w:t>
      </w:r>
      <w:r>
        <w:t xml:space="preserve">one can be more fruitful to </w:t>
      </w:r>
      <w:r>
        <w:rPr>
          <w:spacing w:val="-3"/>
        </w:rPr>
        <w:t xml:space="preserve">allow administrators </w:t>
      </w:r>
      <w:r>
        <w:t xml:space="preserve">to </w:t>
      </w:r>
      <w:r>
        <w:rPr>
          <w:spacing w:val="-3"/>
        </w:rPr>
        <w:t xml:space="preserve">compare </w:t>
      </w:r>
      <w:r>
        <w:t xml:space="preserve">their </w:t>
      </w:r>
      <w:r>
        <w:rPr>
          <w:spacing w:val="-3"/>
        </w:rPr>
        <w:t xml:space="preserve">progress </w:t>
      </w:r>
      <w:r>
        <w:t xml:space="preserve">and efficiency with </w:t>
      </w:r>
      <w:r>
        <w:rPr>
          <w:spacing w:val="-3"/>
        </w:rPr>
        <w:t xml:space="preserve">their </w:t>
      </w:r>
      <w:r>
        <w:t xml:space="preserve">rivals to </w:t>
      </w:r>
      <w:r>
        <w:rPr>
          <w:spacing w:val="-3"/>
        </w:rPr>
        <w:t xml:space="preserve">understand </w:t>
      </w:r>
      <w:r>
        <w:t xml:space="preserve">a more </w:t>
      </w:r>
      <w:r>
        <w:rPr>
          <w:spacing w:val="-3"/>
        </w:rPr>
        <w:t xml:space="preserve">practical concept </w:t>
      </w:r>
      <w:r>
        <w:t xml:space="preserve">of </w:t>
      </w:r>
      <w:r>
        <w:rPr>
          <w:spacing w:val="-3"/>
        </w:rPr>
        <w:t xml:space="preserve">what </w:t>
      </w:r>
      <w:r>
        <w:t xml:space="preserve">is </w:t>
      </w:r>
      <w:r>
        <w:rPr>
          <w:spacing w:val="-3"/>
        </w:rPr>
        <w:t xml:space="preserve">considered </w:t>
      </w:r>
      <w:r>
        <w:t xml:space="preserve">as </w:t>
      </w:r>
      <w:r>
        <w:rPr>
          <w:spacing w:val="-3"/>
        </w:rPr>
        <w:t>worthy. From</w:t>
      </w:r>
      <w:r>
        <w:rPr>
          <w:spacing w:val="-7"/>
        </w:rPr>
        <w:t xml:space="preserve"> </w:t>
      </w:r>
      <w:r>
        <w:t>another</w:t>
      </w:r>
      <w:r>
        <w:rPr>
          <w:spacing w:val="-10"/>
        </w:rPr>
        <w:t xml:space="preserve"> </w:t>
      </w:r>
      <w:r>
        <w:rPr>
          <w:spacing w:val="-3"/>
        </w:rPr>
        <w:t>point</w:t>
      </w:r>
      <w:r>
        <w:rPr>
          <w:spacing w:val="-7"/>
        </w:rPr>
        <w:t xml:space="preserve"> </w:t>
      </w:r>
      <w:r>
        <w:t>of</w:t>
      </w:r>
      <w:r>
        <w:rPr>
          <w:spacing w:val="-10"/>
        </w:rPr>
        <w:t xml:space="preserve"> </w:t>
      </w:r>
      <w:r>
        <w:t>view,</w:t>
      </w:r>
      <w:r>
        <w:rPr>
          <w:spacing w:val="-10"/>
        </w:rPr>
        <w:t xml:space="preserve"> </w:t>
      </w:r>
      <w:r>
        <w:t>benchmarking</w:t>
      </w:r>
      <w:r>
        <w:rPr>
          <w:spacing w:val="-10"/>
        </w:rPr>
        <w:t xml:space="preserve"> </w:t>
      </w:r>
      <w:r>
        <w:rPr>
          <w:spacing w:val="-3"/>
        </w:rPr>
        <w:t>can</w:t>
      </w:r>
      <w:r>
        <w:rPr>
          <w:spacing w:val="-8"/>
        </w:rPr>
        <w:t xml:space="preserve"> </w:t>
      </w:r>
      <w:r>
        <w:t>be</w:t>
      </w:r>
      <w:r>
        <w:rPr>
          <w:spacing w:val="-10"/>
        </w:rPr>
        <w:t xml:space="preserve"> </w:t>
      </w:r>
      <w:r>
        <w:rPr>
          <w:spacing w:val="-3"/>
        </w:rPr>
        <w:t>sorted</w:t>
      </w:r>
      <w:r>
        <w:rPr>
          <w:spacing w:val="-8"/>
        </w:rPr>
        <w:t xml:space="preserve"> </w:t>
      </w:r>
      <w:r>
        <w:rPr>
          <w:spacing w:val="-3"/>
        </w:rPr>
        <w:t>as;</w:t>
      </w:r>
    </w:p>
    <w:p w:rsidR="00F3177F" w:rsidRDefault="0089671D">
      <w:pPr>
        <w:pStyle w:val="ListParagraph"/>
        <w:numPr>
          <w:ilvl w:val="2"/>
          <w:numId w:val="37"/>
        </w:numPr>
        <w:tabs>
          <w:tab w:val="left" w:pos="1304"/>
          <w:tab w:val="left" w:pos="1305"/>
        </w:tabs>
        <w:spacing w:before="6" w:line="350" w:lineRule="auto"/>
        <w:ind w:right="120"/>
        <w:rPr>
          <w:sz w:val="24"/>
        </w:rPr>
      </w:pPr>
      <w:r>
        <w:rPr>
          <w:spacing w:val="-3"/>
          <w:sz w:val="24"/>
        </w:rPr>
        <w:t xml:space="preserve">Process benchmarking </w:t>
      </w:r>
      <w:r>
        <w:rPr>
          <w:sz w:val="24"/>
        </w:rPr>
        <w:t xml:space="preserve">that its </w:t>
      </w:r>
      <w:r>
        <w:rPr>
          <w:spacing w:val="-3"/>
          <w:sz w:val="24"/>
        </w:rPr>
        <w:t xml:space="preserve">business processes </w:t>
      </w:r>
      <w:r>
        <w:rPr>
          <w:sz w:val="24"/>
        </w:rPr>
        <w:t xml:space="preserve">within </w:t>
      </w:r>
      <w:r>
        <w:rPr>
          <w:spacing w:val="-3"/>
          <w:sz w:val="24"/>
        </w:rPr>
        <w:t xml:space="preserve">their </w:t>
      </w:r>
      <w:r>
        <w:rPr>
          <w:sz w:val="24"/>
        </w:rPr>
        <w:t xml:space="preserve">target with the </w:t>
      </w:r>
      <w:r>
        <w:rPr>
          <w:spacing w:val="-3"/>
          <w:sz w:val="24"/>
        </w:rPr>
        <w:t>best practice,</w:t>
      </w:r>
    </w:p>
    <w:p w:rsidR="00F3177F" w:rsidRDefault="0089671D">
      <w:pPr>
        <w:pStyle w:val="ListParagraph"/>
        <w:numPr>
          <w:ilvl w:val="2"/>
          <w:numId w:val="37"/>
        </w:numPr>
        <w:tabs>
          <w:tab w:val="left" w:pos="1304"/>
          <w:tab w:val="left" w:pos="1305"/>
        </w:tabs>
        <w:spacing w:before="16" w:line="350" w:lineRule="auto"/>
        <w:ind w:right="119"/>
        <w:rPr>
          <w:sz w:val="24"/>
        </w:rPr>
      </w:pPr>
      <w:r>
        <w:rPr>
          <w:spacing w:val="-3"/>
          <w:sz w:val="24"/>
        </w:rPr>
        <w:t xml:space="preserve">Performance benchmarking </w:t>
      </w:r>
      <w:r>
        <w:rPr>
          <w:sz w:val="24"/>
        </w:rPr>
        <w:t xml:space="preserve">that </w:t>
      </w:r>
      <w:r>
        <w:rPr>
          <w:spacing w:val="-3"/>
          <w:sz w:val="24"/>
        </w:rPr>
        <w:t xml:space="preserve">evaluate </w:t>
      </w:r>
      <w:r>
        <w:rPr>
          <w:sz w:val="24"/>
        </w:rPr>
        <w:t xml:space="preserve">the </w:t>
      </w:r>
      <w:r>
        <w:rPr>
          <w:spacing w:val="-3"/>
          <w:sz w:val="24"/>
        </w:rPr>
        <w:t xml:space="preserve">organization’s </w:t>
      </w:r>
      <w:r>
        <w:rPr>
          <w:sz w:val="24"/>
        </w:rPr>
        <w:t xml:space="preserve">competitive place in </w:t>
      </w:r>
      <w:r>
        <w:rPr>
          <w:spacing w:val="-3"/>
          <w:sz w:val="24"/>
        </w:rPr>
        <w:t>comparison</w:t>
      </w:r>
      <w:r>
        <w:rPr>
          <w:spacing w:val="-7"/>
          <w:sz w:val="24"/>
        </w:rPr>
        <w:t xml:space="preserve"> </w:t>
      </w:r>
      <w:r>
        <w:rPr>
          <w:sz w:val="24"/>
        </w:rPr>
        <w:t>with</w:t>
      </w:r>
      <w:r>
        <w:rPr>
          <w:spacing w:val="-8"/>
          <w:sz w:val="24"/>
        </w:rPr>
        <w:t xml:space="preserve"> </w:t>
      </w:r>
      <w:r>
        <w:rPr>
          <w:sz w:val="24"/>
        </w:rPr>
        <w:t>the</w:t>
      </w:r>
      <w:r>
        <w:rPr>
          <w:spacing w:val="-9"/>
          <w:sz w:val="24"/>
        </w:rPr>
        <w:t xml:space="preserve"> </w:t>
      </w:r>
      <w:r>
        <w:rPr>
          <w:sz w:val="24"/>
        </w:rPr>
        <w:t>best</w:t>
      </w:r>
      <w:r>
        <w:rPr>
          <w:spacing w:val="-6"/>
          <w:sz w:val="24"/>
        </w:rPr>
        <w:t xml:space="preserve"> </w:t>
      </w:r>
      <w:r>
        <w:rPr>
          <w:spacing w:val="-3"/>
          <w:sz w:val="24"/>
        </w:rPr>
        <w:t>practice</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market,</w:t>
      </w:r>
    </w:p>
    <w:p w:rsidR="00F3177F" w:rsidRDefault="0089671D">
      <w:pPr>
        <w:pStyle w:val="ListParagraph"/>
        <w:numPr>
          <w:ilvl w:val="2"/>
          <w:numId w:val="37"/>
        </w:numPr>
        <w:tabs>
          <w:tab w:val="left" w:pos="1304"/>
          <w:tab w:val="left" w:pos="1305"/>
        </w:tabs>
        <w:spacing w:before="16"/>
        <w:rPr>
          <w:sz w:val="24"/>
        </w:rPr>
      </w:pPr>
      <w:r>
        <w:rPr>
          <w:spacing w:val="-3"/>
          <w:sz w:val="24"/>
        </w:rPr>
        <w:t>Strategic</w:t>
      </w:r>
      <w:r>
        <w:rPr>
          <w:spacing w:val="-9"/>
          <w:sz w:val="24"/>
        </w:rPr>
        <w:t xml:space="preserve"> </w:t>
      </w:r>
      <w:r>
        <w:rPr>
          <w:spacing w:val="-3"/>
          <w:sz w:val="24"/>
        </w:rPr>
        <w:t>benchmarking:</w:t>
      </w:r>
      <w:r>
        <w:rPr>
          <w:spacing w:val="-8"/>
          <w:sz w:val="24"/>
        </w:rPr>
        <w:t xml:space="preserve"> </w:t>
      </w:r>
      <w:r>
        <w:rPr>
          <w:sz w:val="24"/>
        </w:rPr>
        <w:t>searching</w:t>
      </w:r>
      <w:r>
        <w:rPr>
          <w:spacing w:val="-8"/>
          <w:sz w:val="24"/>
        </w:rPr>
        <w:t xml:space="preserve"> </w:t>
      </w:r>
      <w:r>
        <w:rPr>
          <w:sz w:val="24"/>
        </w:rPr>
        <w:t>in</w:t>
      </w:r>
      <w:r>
        <w:rPr>
          <w:spacing w:val="-8"/>
          <w:sz w:val="24"/>
        </w:rPr>
        <w:t xml:space="preserve"> </w:t>
      </w:r>
      <w:r>
        <w:rPr>
          <w:sz w:val="24"/>
        </w:rPr>
        <w:t>how</w:t>
      </w:r>
      <w:r>
        <w:rPr>
          <w:spacing w:val="-9"/>
          <w:sz w:val="24"/>
        </w:rPr>
        <w:t xml:space="preserve"> </w:t>
      </w:r>
      <w:r>
        <w:rPr>
          <w:sz w:val="24"/>
        </w:rPr>
        <w:t>the</w:t>
      </w:r>
      <w:r>
        <w:rPr>
          <w:spacing w:val="-9"/>
          <w:sz w:val="24"/>
        </w:rPr>
        <w:t xml:space="preserve"> </w:t>
      </w:r>
      <w:r>
        <w:rPr>
          <w:sz w:val="24"/>
        </w:rPr>
        <w:t>best</w:t>
      </w:r>
      <w:r>
        <w:rPr>
          <w:spacing w:val="-5"/>
          <w:sz w:val="24"/>
        </w:rPr>
        <w:t xml:space="preserve"> </w:t>
      </w:r>
      <w:r>
        <w:rPr>
          <w:spacing w:val="-3"/>
          <w:sz w:val="24"/>
        </w:rPr>
        <w:t>practices</w:t>
      </w:r>
      <w:r>
        <w:rPr>
          <w:spacing w:val="-8"/>
          <w:sz w:val="24"/>
        </w:rPr>
        <w:t xml:space="preserve"> </w:t>
      </w:r>
      <w:r>
        <w:rPr>
          <w:sz w:val="24"/>
        </w:rPr>
        <w:t>in</w:t>
      </w:r>
      <w:r>
        <w:rPr>
          <w:spacing w:val="-8"/>
          <w:sz w:val="24"/>
        </w:rPr>
        <w:t xml:space="preserve"> </w:t>
      </w:r>
      <w:r>
        <w:rPr>
          <w:sz w:val="24"/>
        </w:rPr>
        <w:t>other</w:t>
      </w:r>
      <w:r>
        <w:rPr>
          <w:spacing w:val="-9"/>
          <w:sz w:val="24"/>
        </w:rPr>
        <w:t xml:space="preserve"> </w:t>
      </w:r>
      <w:r>
        <w:rPr>
          <w:sz w:val="24"/>
        </w:rPr>
        <w:t>sectors</w:t>
      </w:r>
      <w:r>
        <w:rPr>
          <w:spacing w:val="-6"/>
          <w:sz w:val="24"/>
        </w:rPr>
        <w:t xml:space="preserve"> </w:t>
      </w:r>
      <w:r>
        <w:rPr>
          <w:spacing w:val="-3"/>
          <w:sz w:val="24"/>
        </w:rPr>
        <w:t>work.</w:t>
      </w:r>
    </w:p>
    <w:p w:rsidR="00F3177F" w:rsidRDefault="00F3177F">
      <w:pPr>
        <w:rPr>
          <w:sz w:val="24"/>
        </w:rPr>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9"/>
        <w:jc w:val="both"/>
      </w:pPr>
      <w:r>
        <w:lastRenderedPageBreak/>
        <w:t>While considering benchmarking, organizations should first build a roadmap to follow. The following Figure 4 provides a sample benchmarking roadmap for organizations (Camp, 1989).</w:t>
      </w:r>
    </w:p>
    <w:p w:rsidR="00F3177F" w:rsidRDefault="00F3177F">
      <w:pPr>
        <w:pStyle w:val="BodyText"/>
        <w:rPr>
          <w:sz w:val="20"/>
        </w:rPr>
      </w:pPr>
    </w:p>
    <w:p w:rsidR="00F3177F" w:rsidRDefault="0089671D">
      <w:pPr>
        <w:pStyle w:val="BodyText"/>
        <w:spacing w:before="5"/>
        <w:rPr>
          <w:sz w:val="13"/>
        </w:rPr>
      </w:pPr>
      <w:r>
        <w:rPr>
          <w:noProof/>
        </w:rPr>
        <w:drawing>
          <wp:anchor distT="0" distB="0" distL="0" distR="0" simplePos="0" relativeHeight="1048" behindDoc="0" locked="0" layoutInCell="1" allowOverlap="1">
            <wp:simplePos x="0" y="0"/>
            <wp:positionH relativeFrom="page">
              <wp:posOffset>1463039</wp:posOffset>
            </wp:positionH>
            <wp:positionV relativeFrom="paragraph">
              <wp:posOffset>123453</wp:posOffset>
            </wp:positionV>
            <wp:extent cx="5389063" cy="309981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5389063" cy="3099816"/>
                    </a:xfrm>
                    <a:prstGeom prst="rect">
                      <a:avLst/>
                    </a:prstGeom>
                  </pic:spPr>
                </pic:pic>
              </a:graphicData>
            </a:graphic>
          </wp:anchor>
        </w:drawing>
      </w:r>
    </w:p>
    <w:p w:rsidR="00F3177F" w:rsidRDefault="0089671D">
      <w:pPr>
        <w:pStyle w:val="BodyText"/>
        <w:spacing w:before="110"/>
        <w:ind w:left="584"/>
        <w:jc w:val="both"/>
      </w:pPr>
      <w:r>
        <w:t>Figure 4: A sample benchmarking roadmap for organizations</w:t>
      </w:r>
    </w:p>
    <w:p w:rsidR="00F3177F" w:rsidRDefault="0089671D">
      <w:pPr>
        <w:pStyle w:val="BodyText"/>
        <w:ind w:left="584" w:right="176"/>
        <w:jc w:val="both"/>
      </w:pPr>
      <w:r>
        <w:rPr>
          <w:spacing w:val="-3"/>
        </w:rPr>
        <w:t>(Source:</w:t>
      </w:r>
      <w:r>
        <w:rPr>
          <w:spacing w:val="-8"/>
        </w:rPr>
        <w:t xml:space="preserve"> </w:t>
      </w:r>
      <w:r>
        <w:t>Camp,</w:t>
      </w:r>
      <w:r>
        <w:rPr>
          <w:spacing w:val="-8"/>
        </w:rPr>
        <w:t xml:space="preserve"> </w:t>
      </w:r>
      <w:r>
        <w:t>1989.</w:t>
      </w:r>
      <w:r>
        <w:rPr>
          <w:spacing w:val="-6"/>
        </w:rPr>
        <w:t xml:space="preserve"> </w:t>
      </w:r>
      <w:r>
        <w:rPr>
          <w:spacing w:val="-3"/>
        </w:rPr>
        <w:t>Benchmarking,</w:t>
      </w:r>
      <w:r>
        <w:rPr>
          <w:spacing w:val="-6"/>
        </w:rPr>
        <w:t xml:space="preserve"> </w:t>
      </w:r>
      <w:r>
        <w:t>The</w:t>
      </w:r>
      <w:r>
        <w:rPr>
          <w:spacing w:val="-9"/>
        </w:rPr>
        <w:t xml:space="preserve"> </w:t>
      </w:r>
      <w:r>
        <w:rPr>
          <w:spacing w:val="-2"/>
        </w:rPr>
        <w:t>Search</w:t>
      </w:r>
      <w:r>
        <w:rPr>
          <w:spacing w:val="-6"/>
        </w:rPr>
        <w:t xml:space="preserve"> </w:t>
      </w:r>
      <w:r>
        <w:t>for</w:t>
      </w:r>
      <w:r>
        <w:rPr>
          <w:spacing w:val="-7"/>
        </w:rPr>
        <w:t xml:space="preserve"> </w:t>
      </w:r>
      <w:r>
        <w:t>Industry</w:t>
      </w:r>
      <w:r>
        <w:rPr>
          <w:spacing w:val="-11"/>
        </w:rPr>
        <w:t xml:space="preserve"> </w:t>
      </w:r>
      <w:r>
        <w:rPr>
          <w:spacing w:val="-3"/>
        </w:rPr>
        <w:t>Best</w:t>
      </w:r>
      <w:r>
        <w:rPr>
          <w:spacing w:val="-6"/>
        </w:rPr>
        <w:t xml:space="preserve"> </w:t>
      </w:r>
      <w:r>
        <w:rPr>
          <w:spacing w:val="-2"/>
        </w:rPr>
        <w:t>Practices</w:t>
      </w:r>
      <w:r>
        <w:rPr>
          <w:spacing w:val="-6"/>
        </w:rPr>
        <w:t xml:space="preserve"> </w:t>
      </w:r>
      <w:r>
        <w:rPr>
          <w:spacing w:val="-3"/>
        </w:rPr>
        <w:t>That</w:t>
      </w:r>
      <w:r>
        <w:rPr>
          <w:spacing w:val="-8"/>
        </w:rPr>
        <w:t xml:space="preserve"> </w:t>
      </w:r>
      <w:r>
        <w:t>lead</w:t>
      </w:r>
      <w:r>
        <w:rPr>
          <w:spacing w:val="-6"/>
        </w:rPr>
        <w:t xml:space="preserve"> </w:t>
      </w:r>
      <w:r>
        <w:t xml:space="preserve">to </w:t>
      </w:r>
      <w:r>
        <w:rPr>
          <w:spacing w:val="-3"/>
        </w:rPr>
        <w:t xml:space="preserve">Superior Performance. Portland, Ore.: </w:t>
      </w:r>
      <w:r>
        <w:t>ASQC Quality</w:t>
      </w:r>
      <w:r>
        <w:rPr>
          <w:spacing w:val="-23"/>
        </w:rPr>
        <w:t xml:space="preserve"> </w:t>
      </w:r>
      <w:r>
        <w:t>Press.)</w:t>
      </w:r>
    </w:p>
    <w:p w:rsidR="00F3177F" w:rsidRDefault="00F3177F">
      <w:pPr>
        <w:pStyle w:val="BodyText"/>
      </w:pPr>
    </w:p>
    <w:p w:rsidR="00F3177F" w:rsidRDefault="0089671D">
      <w:pPr>
        <w:pStyle w:val="BodyText"/>
        <w:spacing w:before="139" w:line="360" w:lineRule="auto"/>
        <w:ind w:left="584" w:right="119"/>
        <w:jc w:val="both"/>
      </w:pPr>
      <w:r>
        <w:t>When it comes to the relation between energy performance certificates (EPC) and benchmarking, calculated EPCs do not have any direct relation with benchmarking (Pereira et al., 2013) as they are based on simulation and pre-calculation rather than comparison with the best practices. On the other side, benchmarking allows schools to compare their process and performance in comparison with best practices of similar schools under similar circumstances, such as primary or high school, climate, size, number of students etc.</w:t>
      </w:r>
    </w:p>
    <w:p w:rsidR="00F3177F" w:rsidRDefault="00F3177F">
      <w:pPr>
        <w:pStyle w:val="BodyText"/>
      </w:pPr>
    </w:p>
    <w:p w:rsidR="00F3177F" w:rsidRDefault="0089671D" w:rsidP="00967E18">
      <w:pPr>
        <w:pStyle w:val="BodyText"/>
        <w:spacing w:before="143" w:line="360" w:lineRule="auto"/>
        <w:ind w:left="584" w:right="115"/>
        <w:jc w:val="both"/>
      </w:pPr>
      <w:r>
        <w:t>Mandatory building ratings and labelling are carried out by EnergyStar in USA and EPBD in EU. The common point in all systems are that they use benchmarking as the</w:t>
      </w:r>
      <w:r w:rsidR="00967E18">
        <w:t xml:space="preserve"> </w:t>
      </w:r>
      <w:r>
        <w:lastRenderedPageBreak/>
        <w:t>key to evaluate the building energy performances and efficiencies making energy building benchmarking the initial step for building labelling (Borgstein &amp; Lamberts, 2014). Borgstein and Lamberts (2014) also numerate building benchmarking methods as:</w:t>
      </w:r>
    </w:p>
    <w:p w:rsidR="00F3177F" w:rsidRDefault="0089671D">
      <w:pPr>
        <w:pStyle w:val="ListParagraph"/>
        <w:numPr>
          <w:ilvl w:val="2"/>
          <w:numId w:val="37"/>
        </w:numPr>
        <w:tabs>
          <w:tab w:val="left" w:pos="1304"/>
          <w:tab w:val="left" w:pos="1305"/>
        </w:tabs>
        <w:spacing w:before="6"/>
        <w:rPr>
          <w:sz w:val="24"/>
        </w:rPr>
      </w:pPr>
      <w:r>
        <w:rPr>
          <w:sz w:val="24"/>
        </w:rPr>
        <w:t>Simple</w:t>
      </w:r>
      <w:r>
        <w:rPr>
          <w:spacing w:val="-3"/>
          <w:sz w:val="24"/>
        </w:rPr>
        <w:t xml:space="preserve"> </w:t>
      </w:r>
      <w:r>
        <w:rPr>
          <w:sz w:val="24"/>
        </w:rPr>
        <w:t>normalization,</w:t>
      </w:r>
    </w:p>
    <w:p w:rsidR="00F3177F" w:rsidRDefault="0089671D" w:rsidP="00967E18">
      <w:pPr>
        <w:pStyle w:val="ListParagraph"/>
        <w:numPr>
          <w:ilvl w:val="2"/>
          <w:numId w:val="37"/>
        </w:numPr>
        <w:tabs>
          <w:tab w:val="left" w:pos="1304"/>
          <w:tab w:val="left" w:pos="1305"/>
        </w:tabs>
        <w:spacing w:line="350" w:lineRule="auto"/>
        <w:ind w:right="115"/>
        <w:jc w:val="both"/>
        <w:rPr>
          <w:sz w:val="24"/>
        </w:rPr>
      </w:pPr>
      <w:r>
        <w:rPr>
          <w:sz w:val="24"/>
        </w:rPr>
        <w:t>Stochastic frontier analysis that splits “error variables from inefficiency factors” (p.</w:t>
      </w:r>
      <w:r>
        <w:rPr>
          <w:spacing w:val="-1"/>
          <w:sz w:val="24"/>
        </w:rPr>
        <w:t xml:space="preserve"> </w:t>
      </w:r>
      <w:r>
        <w:rPr>
          <w:sz w:val="24"/>
        </w:rPr>
        <w:t>82)</w:t>
      </w:r>
    </w:p>
    <w:p w:rsidR="00F3177F" w:rsidRDefault="0089671D" w:rsidP="00967E18">
      <w:pPr>
        <w:pStyle w:val="ListParagraph"/>
        <w:numPr>
          <w:ilvl w:val="2"/>
          <w:numId w:val="37"/>
        </w:numPr>
        <w:tabs>
          <w:tab w:val="left" w:pos="1304"/>
          <w:tab w:val="left" w:pos="1305"/>
        </w:tabs>
        <w:spacing w:before="16" w:line="350" w:lineRule="auto"/>
        <w:ind w:right="117"/>
        <w:jc w:val="both"/>
        <w:rPr>
          <w:sz w:val="24"/>
        </w:rPr>
      </w:pPr>
      <w:r>
        <w:rPr>
          <w:sz w:val="24"/>
        </w:rPr>
        <w:t>Data development analysis that focuses on relative efficiency of an identical group of</w:t>
      </w:r>
      <w:r>
        <w:rPr>
          <w:spacing w:val="-5"/>
          <w:sz w:val="24"/>
        </w:rPr>
        <w:t xml:space="preserve"> </w:t>
      </w:r>
      <w:r>
        <w:rPr>
          <w:sz w:val="24"/>
        </w:rPr>
        <w:t>constructions.</w:t>
      </w:r>
    </w:p>
    <w:p w:rsidR="00F3177F" w:rsidRDefault="0089671D" w:rsidP="00967E18">
      <w:pPr>
        <w:pStyle w:val="ListParagraph"/>
        <w:numPr>
          <w:ilvl w:val="2"/>
          <w:numId w:val="37"/>
        </w:numPr>
        <w:tabs>
          <w:tab w:val="left" w:pos="1304"/>
          <w:tab w:val="left" w:pos="1305"/>
        </w:tabs>
        <w:spacing w:before="17" w:line="352" w:lineRule="auto"/>
        <w:ind w:right="119"/>
        <w:jc w:val="both"/>
        <w:rPr>
          <w:sz w:val="24"/>
        </w:rPr>
      </w:pPr>
      <w:r>
        <w:rPr>
          <w:sz w:val="24"/>
        </w:rPr>
        <w:t>Building performance simulation that attempts to cultivate an archetypal model of the subject</w:t>
      </w:r>
      <w:r>
        <w:rPr>
          <w:spacing w:val="-6"/>
          <w:sz w:val="24"/>
        </w:rPr>
        <w:t xml:space="preserve"> </w:t>
      </w:r>
      <w:r>
        <w:rPr>
          <w:sz w:val="24"/>
        </w:rPr>
        <w:t>building.</w:t>
      </w:r>
    </w:p>
    <w:p w:rsidR="00F3177F" w:rsidRDefault="00F3177F">
      <w:pPr>
        <w:pStyle w:val="BodyText"/>
      </w:pPr>
    </w:p>
    <w:p w:rsidR="00F3177F" w:rsidRDefault="0089671D">
      <w:pPr>
        <w:pStyle w:val="BodyText"/>
        <w:spacing w:before="151" w:line="360" w:lineRule="auto"/>
        <w:ind w:left="584" w:right="120"/>
        <w:jc w:val="both"/>
      </w:pPr>
      <w:r>
        <w:t>The drawback of data development and simulation methods is that they cannot be used successfully as a public benchmark. Stochastic frontier analyses are quite operative but their dependence on building features makes their implementation difficult.</w:t>
      </w:r>
    </w:p>
    <w:p w:rsidR="00F3177F" w:rsidRDefault="00F3177F">
      <w:pPr>
        <w:pStyle w:val="BodyText"/>
      </w:pPr>
    </w:p>
    <w:p w:rsidR="00F3177F" w:rsidRDefault="00F3177F">
      <w:pPr>
        <w:pStyle w:val="BodyText"/>
        <w:spacing w:before="9"/>
      </w:pPr>
    </w:p>
    <w:p w:rsidR="00F3177F" w:rsidRDefault="0089671D">
      <w:pPr>
        <w:pStyle w:val="Heading2"/>
        <w:numPr>
          <w:ilvl w:val="1"/>
          <w:numId w:val="35"/>
        </w:numPr>
        <w:tabs>
          <w:tab w:val="left" w:pos="1065"/>
        </w:tabs>
        <w:jc w:val="both"/>
      </w:pPr>
      <w:bookmarkStart w:id="28" w:name="_TOC_250004"/>
      <w:r>
        <w:t>Energy and</w:t>
      </w:r>
      <w:r>
        <w:rPr>
          <w:spacing w:val="-6"/>
        </w:rPr>
        <w:t xml:space="preserve"> </w:t>
      </w:r>
      <w:bookmarkEnd w:id="28"/>
      <w:r>
        <w:t>Schools</w:t>
      </w:r>
    </w:p>
    <w:p w:rsidR="00F3177F" w:rsidRDefault="00F3177F">
      <w:pPr>
        <w:pStyle w:val="BodyText"/>
        <w:rPr>
          <w:b/>
        </w:rPr>
      </w:pPr>
    </w:p>
    <w:p w:rsidR="00F3177F" w:rsidRDefault="00F3177F">
      <w:pPr>
        <w:pStyle w:val="BodyText"/>
        <w:rPr>
          <w:b/>
        </w:rPr>
      </w:pPr>
    </w:p>
    <w:p w:rsidR="00F3177F" w:rsidRDefault="0089671D">
      <w:pPr>
        <w:pStyle w:val="Heading2"/>
        <w:ind w:left="584" w:firstLine="0"/>
      </w:pPr>
      <w:bookmarkStart w:id="29" w:name="_TOC_250003"/>
      <w:bookmarkEnd w:id="29"/>
      <w:r>
        <w:t>2.3.1   Energy Consumptions in Schools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9"/>
        <w:jc w:val="both"/>
      </w:pPr>
      <w:r>
        <w:t>Pereira et al. (2014) utter great importance on school buildings from the point of energy performance since they have a great responsibility from the point of educational purposes and indoor environmental quality due to the issues of students’ health and well-being.</w:t>
      </w:r>
    </w:p>
    <w:p w:rsidR="00F3177F" w:rsidRDefault="00F3177F">
      <w:pPr>
        <w:pStyle w:val="BodyText"/>
      </w:pPr>
    </w:p>
    <w:p w:rsidR="00BD7D70" w:rsidRDefault="0089671D" w:rsidP="00BD7D70">
      <w:pPr>
        <w:pStyle w:val="BodyText"/>
        <w:spacing w:before="143" w:line="360" w:lineRule="auto"/>
        <w:ind w:left="584" w:right="116"/>
        <w:jc w:val="both"/>
      </w:pPr>
      <w:r>
        <w:t>School energy consumptions play a significant role on societies’ energy consumptions and energy bills in Europe (EU, 2008) and USA (Airaksinen, 2011). Districts in USA</w:t>
      </w:r>
      <w:r w:rsidR="00BD7D70">
        <w:t xml:space="preserve"> </w:t>
      </w:r>
    </w:p>
    <w:p w:rsidR="00BD7D70" w:rsidRDefault="00BD7D70" w:rsidP="00BD7D70">
      <w:pPr>
        <w:pStyle w:val="BodyText"/>
        <w:spacing w:before="143" w:line="360" w:lineRule="auto"/>
        <w:ind w:left="584" w:right="116"/>
        <w:jc w:val="both"/>
      </w:pPr>
    </w:p>
    <w:p w:rsidR="00F3177F" w:rsidRDefault="0089671D" w:rsidP="00BD7D70">
      <w:pPr>
        <w:pStyle w:val="BodyText"/>
        <w:spacing w:before="143" w:line="360" w:lineRule="auto"/>
        <w:ind w:left="584" w:right="116"/>
        <w:jc w:val="both"/>
      </w:pPr>
      <w:proofErr w:type="gramStart"/>
      <w:r>
        <w:lastRenderedPageBreak/>
        <w:t>spend</w:t>
      </w:r>
      <w:proofErr w:type="gramEnd"/>
      <w:r>
        <w:t xml:space="preserve"> almost $8 billion to run primary and secondary schools and around 30% of schools consume energy inefficiently.</w:t>
      </w:r>
    </w:p>
    <w:p w:rsidR="00F3177F" w:rsidRDefault="00F3177F">
      <w:pPr>
        <w:pStyle w:val="BodyText"/>
      </w:pPr>
    </w:p>
    <w:p w:rsidR="00F3177F" w:rsidRDefault="0089671D">
      <w:pPr>
        <w:pStyle w:val="BodyText"/>
        <w:spacing w:before="143" w:line="360" w:lineRule="auto"/>
        <w:ind w:left="584" w:right="115"/>
        <w:jc w:val="both"/>
      </w:pPr>
      <w:r>
        <w:t xml:space="preserve">Unlike domestic buildings, schools practise various activities owing to </w:t>
      </w:r>
      <w:proofErr w:type="gramStart"/>
      <w:r>
        <w:t>different</w:t>
      </w:r>
      <w:r w:rsidR="00BD7D70">
        <w:t xml:space="preserve">  </w:t>
      </w:r>
      <w:r>
        <w:t>subjects</w:t>
      </w:r>
      <w:proofErr w:type="gramEnd"/>
      <w:r>
        <w:t xml:space="preserve"> and skills that should be developed. Additionally, they have wider range of energy consuming appliances some of which consume much higher energy than any appliance at home. Furthermore, different activities may require different adjustments concerning energy consumption and students’ comfort. Consequently, it is possible to say that characteristics and factors that affect energy consumption of school buildings are complicated issues to deal with. For instance, according to Gallachoir et al. (2007) the energy demand behavior in universities is less predictable than other non-domestic buildings. Nevertheless, according to Chung and Rhee’s (2014) on-site-survey in universities, it is proposed that between 6% and 29% of energy can be avoided in the surveyed</w:t>
      </w:r>
      <w:r>
        <w:rPr>
          <w:spacing w:val="-5"/>
        </w:rPr>
        <w:t xml:space="preserve"> </w:t>
      </w:r>
      <w:r>
        <w:t>buildings.</w:t>
      </w:r>
    </w:p>
    <w:p w:rsidR="00F3177F" w:rsidRDefault="00F3177F">
      <w:pPr>
        <w:pStyle w:val="BodyText"/>
      </w:pPr>
    </w:p>
    <w:p w:rsidR="00F3177F" w:rsidRDefault="0089671D">
      <w:pPr>
        <w:pStyle w:val="BodyText"/>
        <w:spacing w:before="143" w:line="360" w:lineRule="auto"/>
        <w:ind w:left="584" w:right="113"/>
        <w:jc w:val="both"/>
      </w:pPr>
      <w:r>
        <w:t>On the whole, differences between real and predicted energy consumptions in buildings is about 30% on average although it can be as high as 100% in some cases (Poirazis et al., 2008). More accurate energy prediction models at design levels should play an important role to close the gap. Thus, it is understandable that collecting valuable data</w:t>
      </w:r>
      <w:r w:rsidR="00BD7D70">
        <w:t xml:space="preserve"> </w:t>
      </w:r>
      <w:r>
        <w:t xml:space="preserve">in proper intervals from different aspects of energy consumption is key factor </w:t>
      </w:r>
      <w:proofErr w:type="gramStart"/>
      <w:r>
        <w:t>to  evaluate</w:t>
      </w:r>
      <w:proofErr w:type="gramEnd"/>
      <w:r>
        <w:t xml:space="preserve"> school energy consumption, efficiency and</w:t>
      </w:r>
      <w:r>
        <w:rPr>
          <w:spacing w:val="-13"/>
        </w:rPr>
        <w:t xml:space="preserve"> </w:t>
      </w:r>
      <w:r>
        <w:t>performance.</w:t>
      </w:r>
    </w:p>
    <w:p w:rsidR="00F3177F" w:rsidRDefault="00F3177F">
      <w:pPr>
        <w:pStyle w:val="BodyText"/>
      </w:pPr>
    </w:p>
    <w:p w:rsidR="00F3177F" w:rsidRDefault="0089671D">
      <w:pPr>
        <w:pStyle w:val="BodyText"/>
        <w:spacing w:before="143" w:line="360" w:lineRule="auto"/>
        <w:ind w:left="584" w:right="115"/>
        <w:jc w:val="both"/>
      </w:pPr>
      <w:r>
        <w:t>First of all, it should be calculated where energy goes. Naturally, biggest energy consumption is supposed to go for heating in cold seasons and regions, and for cooling in hot seasons and regions as thermal and indoor air comfort are imperative factors for students’ health, comfort and outcome. Although, technologically more developed schools are supposed to have wider ranges of energy consuming appliances and energy rates, energy consumption items can be categorized into headings. Figure 5 below provides school energy consumption percentages by items in the USA in 2012.</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ind w:left="584"/>
        <w:rPr>
          <w:sz w:val="20"/>
        </w:rPr>
      </w:pPr>
      <w:r>
        <w:rPr>
          <w:noProof/>
          <w:sz w:val="20"/>
        </w:rPr>
        <w:lastRenderedPageBreak/>
        <w:drawing>
          <wp:inline distT="0" distB="0" distL="0" distR="0">
            <wp:extent cx="4143375" cy="31527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4143375" cy="3152775"/>
                    </a:xfrm>
                    <a:prstGeom prst="rect">
                      <a:avLst/>
                    </a:prstGeom>
                  </pic:spPr>
                </pic:pic>
              </a:graphicData>
            </a:graphic>
          </wp:inline>
        </w:drawing>
      </w:r>
    </w:p>
    <w:p w:rsidR="00F3177F" w:rsidRDefault="0089671D">
      <w:pPr>
        <w:pStyle w:val="BodyText"/>
        <w:spacing w:before="130"/>
        <w:ind w:left="584"/>
        <w:jc w:val="both"/>
      </w:pPr>
      <w:r>
        <w:t>Figure 5: Average energy use profile of schools in the USA.</w:t>
      </w:r>
    </w:p>
    <w:p w:rsidR="00F3177F" w:rsidRDefault="0089671D">
      <w:pPr>
        <w:pStyle w:val="BodyText"/>
        <w:ind w:left="584" w:right="115"/>
        <w:jc w:val="both"/>
      </w:pPr>
      <w:r>
        <w:t>(Source: Pereira, L. D., Raimondo, D., Corgnati, S. P., Da Silva, M. G., 2014. Energy Consumption in Schools – A review paper. Renewable and Sustainable Energy Reviews 40 (2014)</w:t>
      </w:r>
      <w:proofErr w:type="gramStart"/>
      <w:r>
        <w:t>;911</w:t>
      </w:r>
      <w:proofErr w:type="gramEnd"/>
      <w:r>
        <w:t>–922.)</w:t>
      </w:r>
    </w:p>
    <w:p w:rsidR="00F3177F" w:rsidRDefault="00F3177F">
      <w:pPr>
        <w:pStyle w:val="BodyText"/>
      </w:pPr>
    </w:p>
    <w:p w:rsidR="00F3177F" w:rsidRDefault="0089671D">
      <w:pPr>
        <w:pStyle w:val="BodyText"/>
        <w:spacing w:before="141" w:line="360" w:lineRule="auto"/>
        <w:ind w:left="584" w:right="115"/>
        <w:jc w:val="both"/>
      </w:pPr>
      <w:r>
        <w:t xml:space="preserve">As seen in Figure 5, 57% of all energy goes for thermal comfort as space heating and cooling. Lighting comes as the second highest energy consumption and ventilation as the third. This type of information is very important also to differentiate thermal and electric energy consumptions. Some researchers, e.g. Jones et al. (2000) support </w:t>
      </w:r>
      <w:proofErr w:type="gramStart"/>
      <w:r>
        <w:t>the</w:t>
      </w:r>
      <w:r w:rsidR="00DE24A8">
        <w:t xml:space="preserve">  </w:t>
      </w:r>
      <w:r>
        <w:t>idea</w:t>
      </w:r>
      <w:proofErr w:type="gramEnd"/>
      <w:r>
        <w:t xml:space="preserve"> that thermal and electric energy consumptions must be analyzed independently. Moreover, the author of this dissertation, through his research, was informed that some schools specifically kindergartens in PCM use only electric energy for heating. Thus, different types of categorizing and calculating methods are needed to see same figures from different angles. It helps building managers, owners or school administrators where energy conservation opportunities lie and where energy conservation efforts fail. On the other side, total energy consumption figures can be useful for general benchmarking purposes (Bruhns,</w:t>
      </w:r>
      <w:r>
        <w:rPr>
          <w:spacing w:val="-7"/>
        </w:rPr>
        <w:t xml:space="preserve"> </w:t>
      </w:r>
      <w:r>
        <w:t>2011).</w:t>
      </w:r>
    </w:p>
    <w:p w:rsidR="00F3177F" w:rsidRDefault="00F3177F">
      <w:pPr>
        <w:spacing w:line="360" w:lineRule="auto"/>
        <w:jc w:val="both"/>
        <w:sectPr w:rsidR="00F3177F">
          <w:pgSz w:w="12240" w:h="15840"/>
          <w:pgMar w:top="1440" w:right="1320" w:bottom="2320" w:left="1720" w:header="0" w:footer="2095" w:gutter="0"/>
          <w:cols w:space="720"/>
        </w:sectPr>
      </w:pPr>
    </w:p>
    <w:p w:rsidR="00F3177F" w:rsidRDefault="0089671D">
      <w:pPr>
        <w:pStyle w:val="BodyText"/>
        <w:spacing w:before="54" w:line="360" w:lineRule="auto"/>
        <w:ind w:left="584" w:right="117"/>
        <w:jc w:val="both"/>
      </w:pPr>
      <w:r>
        <w:lastRenderedPageBreak/>
        <w:t>However, above given percentages in Figure 5 represent US averages. They can vary due to types and functions of schools as boarding schools provide dormitories and dormitories mostly continue functioning 7/24 during an academic year. Energy consumption percentages in boarding schools specifically for space and water heating, cooking and refrigeration are expected to be higher than a usual day-time schools.</w:t>
      </w:r>
    </w:p>
    <w:p w:rsidR="00F3177F" w:rsidRDefault="00F3177F">
      <w:pPr>
        <w:pStyle w:val="BodyText"/>
      </w:pPr>
    </w:p>
    <w:p w:rsidR="00F3177F" w:rsidRDefault="0089671D">
      <w:pPr>
        <w:pStyle w:val="BodyText"/>
        <w:spacing w:before="143" w:line="360" w:lineRule="auto"/>
        <w:ind w:left="584" w:right="117"/>
        <w:jc w:val="both"/>
      </w:pPr>
      <w:r>
        <w:t xml:space="preserve">School energy performance can differ from benchmarks and the reason behind it </w:t>
      </w:r>
      <w:proofErr w:type="gramStart"/>
      <w:r>
        <w:t>may</w:t>
      </w:r>
      <w:r w:rsidR="00DE24A8">
        <w:t xml:space="preserve">  </w:t>
      </w:r>
      <w:r>
        <w:t>be</w:t>
      </w:r>
      <w:proofErr w:type="gramEnd"/>
      <w:r>
        <w:t xml:space="preserve"> some key factors affecting school energy performance. Energy Consumption Guide 73 (Government’s Energy Efficiency, 1998, p.4) according to a survey carried out in 1997 provides five key factors affecting school energy consumption as</w:t>
      </w:r>
      <w:r>
        <w:rPr>
          <w:spacing w:val="-12"/>
        </w:rPr>
        <w:t xml:space="preserve"> </w:t>
      </w:r>
      <w:r>
        <w:t>follows:</w:t>
      </w:r>
    </w:p>
    <w:p w:rsidR="00F3177F" w:rsidRDefault="0089671D">
      <w:pPr>
        <w:pStyle w:val="ListParagraph"/>
        <w:numPr>
          <w:ilvl w:val="2"/>
          <w:numId w:val="35"/>
        </w:numPr>
        <w:tabs>
          <w:tab w:val="left" w:pos="1305"/>
        </w:tabs>
        <w:spacing w:before="6" w:line="357" w:lineRule="auto"/>
        <w:ind w:right="114"/>
        <w:jc w:val="both"/>
        <w:rPr>
          <w:sz w:val="24"/>
        </w:rPr>
      </w:pPr>
      <w:r>
        <w:rPr>
          <w:sz w:val="24"/>
        </w:rPr>
        <w:t>Occupancy levels: Two of the benchmarking units for energy efficiency are energy used per students and meter square. Effective school space usage decreases the amount of energy used per student. Understandably, when the number of students decreases within the same building, the amount of energy</w:t>
      </w:r>
      <w:r w:rsidR="00DE24A8">
        <w:rPr>
          <w:sz w:val="24"/>
        </w:rPr>
        <w:t xml:space="preserve"> </w:t>
      </w:r>
      <w:r>
        <w:rPr>
          <w:sz w:val="24"/>
        </w:rPr>
        <w:t>per student increases as many school buildings are not designed to eliminate energy consumption in unoccupied spaces such as some classrooms that are periodically free of</w:t>
      </w:r>
      <w:r>
        <w:rPr>
          <w:spacing w:val="-5"/>
          <w:sz w:val="24"/>
        </w:rPr>
        <w:t xml:space="preserve"> </w:t>
      </w:r>
      <w:r>
        <w:rPr>
          <w:sz w:val="24"/>
        </w:rPr>
        <w:t>lessons.</w:t>
      </w:r>
    </w:p>
    <w:p w:rsidR="00F3177F" w:rsidRDefault="0089671D">
      <w:pPr>
        <w:pStyle w:val="ListParagraph"/>
        <w:numPr>
          <w:ilvl w:val="2"/>
          <w:numId w:val="35"/>
        </w:numPr>
        <w:tabs>
          <w:tab w:val="left" w:pos="1305"/>
        </w:tabs>
        <w:spacing w:before="6" w:line="357" w:lineRule="auto"/>
        <w:ind w:right="115"/>
        <w:jc w:val="both"/>
        <w:rPr>
          <w:sz w:val="24"/>
        </w:rPr>
      </w:pPr>
      <w:r>
        <w:rPr>
          <w:sz w:val="24"/>
        </w:rPr>
        <w:t>Additional facilities: Supplementary facilities, for instance pools, canteens, gymnasiums and kitchens in specific (can lead to between 7 and 10% increase) will upsurge energy consumption. According to Energy Consumption Guide 51 of Department of the Environment, Transport and the Regions (1996), such facilities increase school energy consumption by around</w:t>
      </w:r>
      <w:r>
        <w:rPr>
          <w:spacing w:val="-13"/>
          <w:sz w:val="24"/>
        </w:rPr>
        <w:t xml:space="preserve"> </w:t>
      </w:r>
      <w:r>
        <w:rPr>
          <w:sz w:val="24"/>
        </w:rPr>
        <w:t>20%.</w:t>
      </w:r>
    </w:p>
    <w:p w:rsidR="00F3177F" w:rsidRDefault="0089671D">
      <w:pPr>
        <w:pStyle w:val="ListParagraph"/>
        <w:numPr>
          <w:ilvl w:val="2"/>
          <w:numId w:val="35"/>
        </w:numPr>
        <w:tabs>
          <w:tab w:val="left" w:pos="1305"/>
        </w:tabs>
        <w:spacing w:before="6" w:line="355" w:lineRule="auto"/>
        <w:ind w:right="118"/>
        <w:jc w:val="both"/>
        <w:rPr>
          <w:sz w:val="24"/>
        </w:rPr>
      </w:pPr>
      <w:r>
        <w:rPr>
          <w:sz w:val="24"/>
        </w:rPr>
        <w:t>Age of school: Although less emphasis is put on school age as a consumption factor and energy consumption of the same age schools can vary, newer schools perform better in</w:t>
      </w:r>
      <w:r>
        <w:rPr>
          <w:spacing w:val="-7"/>
          <w:sz w:val="24"/>
        </w:rPr>
        <w:t xml:space="preserve"> </w:t>
      </w:r>
      <w:r>
        <w:rPr>
          <w:sz w:val="24"/>
        </w:rPr>
        <w:t>general.</w:t>
      </w:r>
    </w:p>
    <w:p w:rsidR="00F3177F" w:rsidRDefault="0089671D">
      <w:pPr>
        <w:pStyle w:val="ListParagraph"/>
        <w:numPr>
          <w:ilvl w:val="2"/>
          <w:numId w:val="35"/>
        </w:numPr>
        <w:tabs>
          <w:tab w:val="left" w:pos="1305"/>
        </w:tabs>
        <w:spacing w:before="12" w:line="350" w:lineRule="auto"/>
        <w:ind w:right="120"/>
        <w:jc w:val="both"/>
        <w:rPr>
          <w:sz w:val="24"/>
        </w:rPr>
      </w:pPr>
      <w:r>
        <w:rPr>
          <w:sz w:val="24"/>
        </w:rPr>
        <w:t>Hours of use: Extra curriculum activities and hours naturally increase energy consumption and this increase for every two hours is around</w:t>
      </w:r>
      <w:r>
        <w:rPr>
          <w:spacing w:val="-11"/>
          <w:sz w:val="24"/>
        </w:rPr>
        <w:t xml:space="preserve"> </w:t>
      </w:r>
      <w:r>
        <w:rPr>
          <w:sz w:val="24"/>
        </w:rPr>
        <w:t>10%.</w:t>
      </w:r>
    </w:p>
    <w:p w:rsidR="00F3177F" w:rsidRDefault="0089671D">
      <w:pPr>
        <w:pStyle w:val="ListParagraph"/>
        <w:numPr>
          <w:ilvl w:val="2"/>
          <w:numId w:val="35"/>
        </w:numPr>
        <w:tabs>
          <w:tab w:val="left" w:pos="1305"/>
        </w:tabs>
        <w:spacing w:before="16" w:line="350" w:lineRule="auto"/>
        <w:ind w:right="119"/>
        <w:jc w:val="both"/>
        <w:rPr>
          <w:sz w:val="24"/>
        </w:rPr>
      </w:pPr>
      <w:r>
        <w:rPr>
          <w:sz w:val="24"/>
        </w:rPr>
        <w:t>Size of school: Schools with the same school size and more than 400 students consume</w:t>
      </w:r>
      <w:r>
        <w:rPr>
          <w:spacing w:val="42"/>
          <w:sz w:val="24"/>
        </w:rPr>
        <w:t xml:space="preserve"> </w:t>
      </w:r>
      <w:r>
        <w:rPr>
          <w:sz w:val="24"/>
        </w:rPr>
        <w:t>25%</w:t>
      </w:r>
      <w:r>
        <w:rPr>
          <w:spacing w:val="42"/>
          <w:sz w:val="24"/>
        </w:rPr>
        <w:t xml:space="preserve"> </w:t>
      </w:r>
      <w:r>
        <w:rPr>
          <w:sz w:val="24"/>
        </w:rPr>
        <w:t>less</w:t>
      </w:r>
      <w:r>
        <w:rPr>
          <w:spacing w:val="42"/>
          <w:sz w:val="24"/>
        </w:rPr>
        <w:t xml:space="preserve"> </w:t>
      </w:r>
      <w:r>
        <w:rPr>
          <w:sz w:val="24"/>
        </w:rPr>
        <w:t>energy</w:t>
      </w:r>
      <w:r>
        <w:rPr>
          <w:spacing w:val="38"/>
          <w:sz w:val="24"/>
        </w:rPr>
        <w:t xml:space="preserve"> </w:t>
      </w:r>
      <w:r>
        <w:rPr>
          <w:sz w:val="24"/>
        </w:rPr>
        <w:t>per</w:t>
      </w:r>
      <w:r>
        <w:rPr>
          <w:spacing w:val="42"/>
          <w:sz w:val="24"/>
        </w:rPr>
        <w:t xml:space="preserve"> </w:t>
      </w:r>
      <w:r>
        <w:rPr>
          <w:sz w:val="24"/>
        </w:rPr>
        <w:t>student</w:t>
      </w:r>
      <w:r>
        <w:rPr>
          <w:spacing w:val="43"/>
          <w:sz w:val="24"/>
        </w:rPr>
        <w:t xml:space="preserve"> </w:t>
      </w:r>
      <w:r>
        <w:rPr>
          <w:sz w:val="24"/>
        </w:rPr>
        <w:t>than</w:t>
      </w:r>
      <w:r>
        <w:rPr>
          <w:spacing w:val="42"/>
          <w:sz w:val="24"/>
        </w:rPr>
        <w:t xml:space="preserve"> </w:t>
      </w:r>
      <w:r>
        <w:rPr>
          <w:sz w:val="24"/>
        </w:rPr>
        <w:t>with</w:t>
      </w:r>
      <w:r>
        <w:rPr>
          <w:spacing w:val="42"/>
          <w:sz w:val="24"/>
        </w:rPr>
        <w:t xml:space="preserve"> </w:t>
      </w:r>
      <w:r>
        <w:rPr>
          <w:sz w:val="24"/>
        </w:rPr>
        <w:t>less</w:t>
      </w:r>
      <w:r>
        <w:rPr>
          <w:spacing w:val="42"/>
          <w:sz w:val="24"/>
        </w:rPr>
        <w:t xml:space="preserve"> </w:t>
      </w:r>
      <w:r>
        <w:rPr>
          <w:sz w:val="24"/>
        </w:rPr>
        <w:t>than</w:t>
      </w:r>
      <w:r>
        <w:rPr>
          <w:spacing w:val="42"/>
          <w:sz w:val="24"/>
        </w:rPr>
        <w:t xml:space="preserve"> </w:t>
      </w:r>
      <w:r>
        <w:rPr>
          <w:sz w:val="24"/>
        </w:rPr>
        <w:t>200</w:t>
      </w:r>
      <w:r>
        <w:rPr>
          <w:spacing w:val="42"/>
          <w:sz w:val="24"/>
        </w:rPr>
        <w:t xml:space="preserve"> </w:t>
      </w:r>
      <w:r>
        <w:rPr>
          <w:sz w:val="24"/>
        </w:rPr>
        <w:t>students.</w:t>
      </w:r>
      <w:r>
        <w:rPr>
          <w:spacing w:val="45"/>
          <w:sz w:val="24"/>
        </w:rPr>
        <w:t xml:space="preserve"> </w:t>
      </w:r>
      <w:r>
        <w:rPr>
          <w:spacing w:val="-3"/>
          <w:sz w:val="24"/>
        </w:rPr>
        <w:t>It</w:t>
      </w:r>
      <w:r>
        <w:rPr>
          <w:spacing w:val="43"/>
          <w:sz w:val="24"/>
        </w:rPr>
        <w:t xml:space="preserve"> </w:t>
      </w:r>
      <w:r>
        <w:rPr>
          <w:sz w:val="24"/>
        </w:rPr>
        <w:t>is</w:t>
      </w:r>
    </w:p>
    <w:p w:rsidR="00F3177F" w:rsidRDefault="00F3177F">
      <w:pPr>
        <w:spacing w:line="350" w:lineRule="auto"/>
        <w:jc w:val="both"/>
        <w:rPr>
          <w:sz w:val="24"/>
        </w:rPr>
        <w:sectPr w:rsidR="00F3177F">
          <w:pgSz w:w="12240" w:h="15840"/>
          <w:pgMar w:top="1380" w:right="1320" w:bottom="2320" w:left="1720" w:header="0" w:footer="2095" w:gutter="0"/>
          <w:cols w:space="720"/>
        </w:sectPr>
      </w:pPr>
    </w:p>
    <w:p w:rsidR="00F3177F" w:rsidRDefault="0089671D">
      <w:pPr>
        <w:pStyle w:val="BodyText"/>
        <w:spacing w:before="54" w:line="360" w:lineRule="auto"/>
        <w:ind w:left="1304" w:right="113"/>
        <w:jc w:val="both"/>
      </w:pPr>
      <w:proofErr w:type="gramStart"/>
      <w:r>
        <w:lastRenderedPageBreak/>
        <w:t>related</w:t>
      </w:r>
      <w:proofErr w:type="gramEnd"/>
      <w:r>
        <w:t xml:space="preserve"> to the student density. On the contrary, a bigger sized school with the same number of students will spend more energy than a smaller school with the same number of students. So, the best practice could be larger </w:t>
      </w:r>
      <w:proofErr w:type="gramStart"/>
      <w:r>
        <w:t xml:space="preserve">and </w:t>
      </w:r>
      <w:r w:rsidR="00DE24A8">
        <w:t xml:space="preserve"> </w:t>
      </w:r>
      <w:r>
        <w:t>newer</w:t>
      </w:r>
      <w:proofErr w:type="gramEnd"/>
      <w:r>
        <w:t xml:space="preserve"> schools with significant number of</w:t>
      </w:r>
      <w:r>
        <w:rPr>
          <w:spacing w:val="-7"/>
        </w:rPr>
        <w:t xml:space="preserve"> </w:t>
      </w:r>
      <w:r>
        <w:t>students.</w:t>
      </w:r>
    </w:p>
    <w:p w:rsidR="00F3177F" w:rsidRDefault="00F3177F">
      <w:pPr>
        <w:pStyle w:val="BodyText"/>
      </w:pPr>
    </w:p>
    <w:p w:rsidR="00F3177F" w:rsidRDefault="0089671D">
      <w:pPr>
        <w:pStyle w:val="BodyText"/>
        <w:spacing w:before="143" w:line="360" w:lineRule="auto"/>
        <w:ind w:left="584" w:right="114"/>
        <w:jc w:val="both"/>
      </w:pPr>
      <w:r>
        <w:t>Lo et al. (2012) state that users have an impact on building energy performance. Among several others, Masoso and Grobler’s study (2010) indicates that over 50% of the total building energy was spent during the non-working hours owing to users’ energy consumption behavior. For instance, energy users’ behavior plays an important role on energy consumption for building electric lighting (Dubois &amp; Blomsterberg, 2011). Gul and Patidar (2015) consider electric lighting as a possibility to reduce energy consumption at realistic rates. Impact of users’ behavior on school building energy consumption is separately dealt in the section “Significance of Energy Users’ Behavior” of this dissertation.</w:t>
      </w:r>
    </w:p>
    <w:p w:rsidR="00F3177F" w:rsidRDefault="00F3177F">
      <w:pPr>
        <w:pStyle w:val="BodyText"/>
      </w:pPr>
    </w:p>
    <w:p w:rsidR="00F3177F" w:rsidRDefault="0089671D">
      <w:pPr>
        <w:pStyle w:val="BodyText"/>
        <w:spacing w:before="143" w:line="360" w:lineRule="auto"/>
        <w:ind w:left="584" w:right="113"/>
        <w:jc w:val="both"/>
      </w:pPr>
      <w:r>
        <w:t xml:space="preserve">Lara et al. (2015), supported with the findings of Antonini et al. (2009), claim that 1/3 heat loss in school buildings occurs because of building envelops. He also adds improper, badly managed/maintained, installed or oversized heat generators are causes of heat loss. </w:t>
      </w:r>
      <w:r>
        <w:rPr>
          <w:spacing w:val="-3"/>
        </w:rPr>
        <w:t xml:space="preserve">In </w:t>
      </w:r>
      <w:r>
        <w:t>fact, heating systems consume almost 80% of all the energy used in some schools in cold climates and around 40% of reduction in energy conservation in such schools is feasible (Desideri &amp; Proietti, 2002). Naturally, a suggestible solution could be to improve insulation and window glazing. Similarly, with the help of better insulation, ceiling fans and night ventilation, it is possible to save almost 30% in heating and 100% in cooling in hot regions (Dimoudi &amp; Kostarela,</w:t>
      </w:r>
      <w:r>
        <w:rPr>
          <w:spacing w:val="-12"/>
        </w:rPr>
        <w:t xml:space="preserve"> </w:t>
      </w:r>
      <w:r>
        <w:t>2009).</w:t>
      </w:r>
    </w:p>
    <w:p w:rsidR="00F3177F" w:rsidRDefault="00F3177F">
      <w:pPr>
        <w:pStyle w:val="BodyText"/>
      </w:pPr>
    </w:p>
    <w:p w:rsidR="00F3177F" w:rsidRDefault="0089671D" w:rsidP="00CF4B2A">
      <w:pPr>
        <w:pStyle w:val="BodyText"/>
        <w:spacing w:before="143" w:line="360" w:lineRule="auto"/>
        <w:ind w:left="584" w:right="114"/>
        <w:jc w:val="both"/>
      </w:pPr>
      <w:r>
        <w:t>Central heating, HVAC systems that are often used in large buildings play a significant role on building energy consumption, indoor air quality (IAQ) and environment building (Wu et al., 2010) as the largest energy end use (Perez-Lombard et al., 2009). Thus, HVAC systems should be taken into consideration during school building design</w:t>
      </w:r>
      <w:r w:rsidR="00CF4B2A">
        <w:t xml:space="preserve"> </w:t>
      </w:r>
      <w:r>
        <w:lastRenderedPageBreak/>
        <w:t xml:space="preserve">as one of the most important energy consumption factors and </w:t>
      </w:r>
      <w:proofErr w:type="gramStart"/>
      <w:r>
        <w:t>conservation  opportunities</w:t>
      </w:r>
      <w:proofErr w:type="gramEnd"/>
      <w:r>
        <w:t>.</w:t>
      </w:r>
    </w:p>
    <w:p w:rsidR="00F3177F" w:rsidRDefault="00F3177F">
      <w:pPr>
        <w:pStyle w:val="BodyText"/>
      </w:pPr>
    </w:p>
    <w:p w:rsidR="00F3177F" w:rsidRDefault="0089671D">
      <w:pPr>
        <w:pStyle w:val="BodyText"/>
        <w:spacing w:before="143" w:line="360" w:lineRule="auto"/>
        <w:ind w:left="584" w:right="114"/>
        <w:jc w:val="both"/>
      </w:pPr>
      <w:r>
        <w:t>Sekki et al. (2015) claim that changes in building shapes including school buildings and increases in space volumes do not have any “clear impact on building energy consumption” because of varieties in usage hours, space and services. Additionally, Gul and Patidar (2015) claim that technological developments do not mean general decrease in energy consumption although they succeed in reducing energy consumptions of appliances.</w:t>
      </w:r>
    </w:p>
    <w:p w:rsidR="00F3177F" w:rsidRDefault="00F3177F">
      <w:pPr>
        <w:pStyle w:val="BodyText"/>
      </w:pPr>
    </w:p>
    <w:p w:rsidR="00F3177F" w:rsidRDefault="0089671D">
      <w:pPr>
        <w:pStyle w:val="BodyText"/>
        <w:spacing w:before="143" w:line="360" w:lineRule="auto"/>
        <w:ind w:left="584" w:right="115"/>
        <w:jc w:val="both"/>
      </w:pPr>
      <w:r>
        <w:t>Additionally, degree days based on climate, energy education at schools, the existence and practice of school energy policy, and efficiency of energy consuming appliances can be counted as other key factors for school energy consumption and performance. Starting from building insulation to developing energy efficiency and saving awareness, the concept should be taken as a whole, even though each measurement itself can significantly contribute to reduce energy consumption and students’</w:t>
      </w:r>
      <w:r>
        <w:rPr>
          <w:spacing w:val="-9"/>
        </w:rPr>
        <w:t xml:space="preserve"> </w:t>
      </w:r>
      <w:r>
        <w:t>comfort.</w:t>
      </w:r>
    </w:p>
    <w:p w:rsidR="00F3177F" w:rsidRDefault="00F3177F">
      <w:pPr>
        <w:pStyle w:val="BodyText"/>
      </w:pPr>
    </w:p>
    <w:p w:rsidR="00F3177F" w:rsidRDefault="0089671D">
      <w:pPr>
        <w:pStyle w:val="BodyText"/>
        <w:spacing w:before="143" w:line="355" w:lineRule="auto"/>
        <w:ind w:left="584" w:right="114"/>
        <w:jc w:val="both"/>
      </w:pPr>
      <w:r>
        <w:t>Reduction in energy consumption will consequently lead to reduction in CO</w:t>
      </w:r>
      <w:r>
        <w:rPr>
          <w:position w:val="-2"/>
          <w:sz w:val="16"/>
        </w:rPr>
        <w:t xml:space="preserve">2 </w:t>
      </w:r>
      <w:r>
        <w:t>emission since buildings in European Union count for the 40% of total energy consumption and responsible for the 36% of CO</w:t>
      </w:r>
      <w:r>
        <w:rPr>
          <w:position w:val="-2"/>
          <w:sz w:val="16"/>
        </w:rPr>
        <w:t xml:space="preserve">2 </w:t>
      </w:r>
      <w:r>
        <w:t>emissions (Thewes et. al, 2014) and non-domestic buildings can reduce CO</w:t>
      </w:r>
      <w:r>
        <w:rPr>
          <w:position w:val="-2"/>
          <w:sz w:val="16"/>
        </w:rPr>
        <w:t xml:space="preserve">2 </w:t>
      </w:r>
      <w:r>
        <w:t>emissions by 70–75% (Green Building Council, 2011). For instance, in this manner, the UK aims to reduce her conservatory gas releases by 80% at minimum by the year 2050, comparative to 1990 levels (Department of Energy and Climate Change, n.d.).</w:t>
      </w:r>
    </w:p>
    <w:p w:rsidR="00F3177F" w:rsidRDefault="00F3177F">
      <w:pPr>
        <w:pStyle w:val="BodyText"/>
      </w:pPr>
    </w:p>
    <w:p w:rsidR="00F3177F" w:rsidRDefault="0089671D" w:rsidP="00CF4B2A">
      <w:pPr>
        <w:pStyle w:val="BodyText"/>
        <w:spacing w:before="149" w:line="360" w:lineRule="auto"/>
        <w:ind w:left="584" w:right="118"/>
        <w:jc w:val="both"/>
      </w:pPr>
      <w:r>
        <w:t xml:space="preserve">As far as data characteristics that are used in school energy consumption are concerned, different countries use various data characteristics as energy type, measurement unit and reference value. However, according to Pereira’s et al. (2014) literature review on data </w:t>
      </w:r>
      <w:proofErr w:type="gramStart"/>
      <w:r>
        <w:t>characteristics  used</w:t>
      </w:r>
      <w:proofErr w:type="gramEnd"/>
      <w:r>
        <w:t xml:space="preserve">  in  school  energy  consumption,  the  most  common  ones</w:t>
      </w:r>
      <w:r w:rsidR="00CF4B2A">
        <w:t xml:space="preserve"> </w:t>
      </w:r>
      <w:r>
        <w:t>are</w:t>
      </w:r>
      <w:r w:rsidR="00CF4B2A">
        <w:t xml:space="preserve"> </w:t>
      </w:r>
      <w:r>
        <w:lastRenderedPageBreak/>
        <w:t>consumed and primary energy for energy types, kWh/m</w:t>
      </w:r>
      <w:r>
        <w:rPr>
          <w:position w:val="11"/>
          <w:sz w:val="16"/>
        </w:rPr>
        <w:t xml:space="preserve">2 </w:t>
      </w:r>
      <w:r>
        <w:t>for measurement unit and average and typical energy consumption values for reference value. Table 1 below provides a summary of such data. It is worth mentioning that kWh/person/year could be used in researches specifically concerning students’ comfort levels.</w:t>
      </w:r>
    </w:p>
    <w:p w:rsidR="00F3177F" w:rsidRDefault="00F3177F">
      <w:pPr>
        <w:pStyle w:val="BodyText"/>
      </w:pPr>
    </w:p>
    <w:p w:rsidR="00F3177F" w:rsidRDefault="0089671D">
      <w:pPr>
        <w:pStyle w:val="BodyText"/>
        <w:spacing w:before="140"/>
        <w:ind w:left="584" w:right="121"/>
        <w:jc w:val="both"/>
      </w:pPr>
      <w:r>
        <w:t>Table 1: Comparison of data characteristics used in school energy consumption literature</w:t>
      </w:r>
      <w:r>
        <w:rPr>
          <w:spacing w:val="-9"/>
        </w:rPr>
        <w:t xml:space="preserve"> </w:t>
      </w:r>
      <w:r>
        <w:t>analysis</w:t>
      </w:r>
    </w:p>
    <w:p w:rsidR="00F3177F" w:rsidRDefault="0089671D">
      <w:pPr>
        <w:pStyle w:val="BodyText"/>
        <w:spacing w:before="4"/>
        <w:rPr>
          <w:sz w:val="21"/>
        </w:rPr>
      </w:pPr>
      <w:r>
        <w:rPr>
          <w:noProof/>
        </w:rPr>
        <w:drawing>
          <wp:anchor distT="0" distB="0" distL="0" distR="0" simplePos="0" relativeHeight="1072" behindDoc="0" locked="0" layoutInCell="1" allowOverlap="1">
            <wp:simplePos x="0" y="0"/>
            <wp:positionH relativeFrom="page">
              <wp:posOffset>1463039</wp:posOffset>
            </wp:positionH>
            <wp:positionV relativeFrom="paragraph">
              <wp:posOffset>180775</wp:posOffset>
            </wp:positionV>
            <wp:extent cx="5385820" cy="407822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4" cstate="print"/>
                    <a:stretch>
                      <a:fillRect/>
                    </a:stretch>
                  </pic:blipFill>
                  <pic:spPr>
                    <a:xfrm>
                      <a:off x="0" y="0"/>
                      <a:ext cx="5385820" cy="4078224"/>
                    </a:xfrm>
                    <a:prstGeom prst="rect">
                      <a:avLst/>
                    </a:prstGeom>
                  </pic:spPr>
                </pic:pic>
              </a:graphicData>
            </a:graphic>
          </wp:anchor>
        </w:drawing>
      </w:r>
    </w:p>
    <w:p w:rsidR="00F3177F" w:rsidRDefault="0089671D">
      <w:pPr>
        <w:pStyle w:val="BodyText"/>
        <w:spacing w:before="102"/>
        <w:ind w:left="584" w:right="118"/>
        <w:jc w:val="both"/>
      </w:pPr>
      <w:r>
        <w:t>(SOURCE: Energy consumption in schools – A review paper Luísa Dias Pereira, Daniela Raimondo, Stefano Paolo Corgnati, Manuel Gameiro da Silva, Renewable and Sustainable Energy Reviews 40 (2014), 911-922)</w:t>
      </w:r>
    </w:p>
    <w:p w:rsidR="00F3177F" w:rsidRDefault="00F3177F">
      <w:pPr>
        <w:jc w:val="both"/>
        <w:sectPr w:rsidR="00F3177F">
          <w:pgSz w:w="12240" w:h="15840"/>
          <w:pgMar w:top="1340" w:right="1320" w:bottom="2320" w:left="1720" w:header="0" w:footer="2095" w:gutter="0"/>
          <w:cols w:space="720"/>
        </w:sectPr>
      </w:pPr>
    </w:p>
    <w:p w:rsidR="00F3177F" w:rsidRDefault="0089671D">
      <w:pPr>
        <w:pStyle w:val="Heading2"/>
        <w:numPr>
          <w:ilvl w:val="2"/>
          <w:numId w:val="34"/>
        </w:numPr>
        <w:tabs>
          <w:tab w:val="left" w:pos="1245"/>
        </w:tabs>
        <w:spacing w:before="39"/>
        <w:jc w:val="both"/>
      </w:pPr>
      <w:r>
        <w:lastRenderedPageBreak/>
        <w:t>School Energy Consumption Figures and Benchmarks in</w:t>
      </w:r>
      <w:r>
        <w:rPr>
          <w:spacing w:val="-15"/>
        </w:rPr>
        <w:t xml:space="preserve"> </w:t>
      </w:r>
      <w:r>
        <w:t>Europa</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55" w:lineRule="auto"/>
        <w:ind w:left="584" w:right="114"/>
        <w:jc w:val="both"/>
      </w:pPr>
      <w:r>
        <w:t>Energy benchmarking, like in other building types, is supposed to enhance school buildings’ energy performances and reduce energy consumptions along with CO</w:t>
      </w:r>
      <w:r>
        <w:rPr>
          <w:position w:val="-2"/>
          <w:sz w:val="16"/>
        </w:rPr>
        <w:t xml:space="preserve">2 </w:t>
      </w:r>
      <w:r>
        <w:t>emissions. The amount of money saved from energy consumption could be used for educational purposes and developments.</w:t>
      </w:r>
    </w:p>
    <w:p w:rsidR="00F3177F" w:rsidRDefault="00F3177F">
      <w:pPr>
        <w:pStyle w:val="BodyText"/>
      </w:pPr>
    </w:p>
    <w:p w:rsidR="00F3177F" w:rsidRDefault="0089671D">
      <w:pPr>
        <w:pStyle w:val="BodyText"/>
        <w:spacing w:before="148" w:line="340" w:lineRule="auto"/>
        <w:ind w:left="584" w:right="114"/>
        <w:jc w:val="both"/>
      </w:pPr>
      <w:r>
        <w:t>Different measurement units are used for yearly energy consumptions and CO</w:t>
      </w:r>
      <w:r>
        <w:rPr>
          <w:position w:val="-2"/>
          <w:sz w:val="16"/>
        </w:rPr>
        <w:t xml:space="preserve">2 </w:t>
      </w:r>
      <w:r>
        <w:t>emissions. Most common ones are annual energy consumption per surface area (kWh/m</w:t>
      </w:r>
      <w:r>
        <w:rPr>
          <w:position w:val="11"/>
          <w:sz w:val="16"/>
        </w:rPr>
        <w:t>2</w:t>
      </w:r>
      <w:r>
        <w:t>/yr) and annual CO</w:t>
      </w:r>
      <w:r>
        <w:rPr>
          <w:position w:val="-2"/>
          <w:sz w:val="16"/>
        </w:rPr>
        <w:t xml:space="preserve">2 </w:t>
      </w:r>
      <w:r>
        <w:t>emission per surface area (kgCO</w:t>
      </w:r>
      <w:r>
        <w:rPr>
          <w:position w:val="-2"/>
          <w:sz w:val="16"/>
        </w:rPr>
        <w:t>2</w:t>
      </w:r>
      <w:r>
        <w:t>/m</w:t>
      </w:r>
      <w:r>
        <w:rPr>
          <w:position w:val="11"/>
          <w:sz w:val="16"/>
        </w:rPr>
        <w:t>2</w:t>
      </w:r>
      <w:r>
        <w:t>/yr). However</w:t>
      </w:r>
      <w:proofErr w:type="gramStart"/>
      <w:r>
        <w:t>,  annual</w:t>
      </w:r>
      <w:proofErr w:type="gramEnd"/>
      <w:r>
        <w:t xml:space="preserve"> cost for $/m</w:t>
      </w:r>
      <w:r>
        <w:rPr>
          <w:position w:val="11"/>
          <w:sz w:val="16"/>
        </w:rPr>
        <w:t>2</w:t>
      </w:r>
      <w:r>
        <w:t>/yr area ($/m</w:t>
      </w:r>
      <w:r>
        <w:rPr>
          <w:position w:val="11"/>
          <w:sz w:val="16"/>
        </w:rPr>
        <w:t>2</w:t>
      </w:r>
      <w:r>
        <w:t>/yr) and for a student ($/student/yr) are also used (Stimmel &amp; Gohs, 2008). Butala and Novak (1999) used annual energy consumed per unit volume (kWh/m</w:t>
      </w:r>
      <w:r>
        <w:rPr>
          <w:position w:val="11"/>
          <w:sz w:val="16"/>
        </w:rPr>
        <w:t>3</w:t>
      </w:r>
      <w:r>
        <w:t>/yr) indicating the classroom heights may significantly vary and they can affect indoor environmental quality or energy consumption for the same</w:t>
      </w:r>
      <w:r>
        <w:rPr>
          <w:spacing w:val="6"/>
        </w:rPr>
        <w:t xml:space="preserve"> </w:t>
      </w:r>
      <w:r>
        <w:t>indoor</w:t>
      </w:r>
    </w:p>
    <w:p w:rsidR="00F3177F" w:rsidRDefault="0089671D">
      <w:pPr>
        <w:pStyle w:val="BodyText"/>
        <w:spacing w:before="27" w:line="360" w:lineRule="auto"/>
        <w:ind w:left="584" w:right="118"/>
        <w:jc w:val="both"/>
      </w:pPr>
      <w:proofErr w:type="gramStart"/>
      <w:r>
        <w:t>environmental</w:t>
      </w:r>
      <w:proofErr w:type="gramEnd"/>
      <w:r>
        <w:t xml:space="preserve"> quality. Britain uses one thousand British thermal units (kBtu) and 1 kWh is equal to 3.412</w:t>
      </w:r>
      <w:r>
        <w:rPr>
          <w:spacing w:val="-4"/>
        </w:rPr>
        <w:t xml:space="preserve"> </w:t>
      </w:r>
      <w:r>
        <w:t>kBtu.</w:t>
      </w:r>
    </w:p>
    <w:p w:rsidR="00F3177F" w:rsidRDefault="00F3177F">
      <w:pPr>
        <w:pStyle w:val="BodyText"/>
      </w:pPr>
    </w:p>
    <w:p w:rsidR="00F3177F" w:rsidRDefault="0089671D">
      <w:pPr>
        <w:pStyle w:val="BodyText"/>
        <w:spacing w:before="143" w:line="360" w:lineRule="auto"/>
        <w:ind w:left="584" w:right="119"/>
        <w:jc w:val="both"/>
      </w:pPr>
      <w:r>
        <w:t>Basically, there are two profoundly different approaches to examine school energy systems as top-down and bottom-up approaches. Hong et al. (2013) explains that;</w:t>
      </w:r>
    </w:p>
    <w:p w:rsidR="00F3177F" w:rsidRDefault="0089671D">
      <w:pPr>
        <w:pStyle w:val="ListParagraph"/>
        <w:numPr>
          <w:ilvl w:val="2"/>
          <w:numId w:val="35"/>
        </w:numPr>
        <w:tabs>
          <w:tab w:val="left" w:pos="1305"/>
        </w:tabs>
        <w:spacing w:before="3" w:line="352" w:lineRule="auto"/>
        <w:ind w:right="119"/>
        <w:jc w:val="both"/>
        <w:rPr>
          <w:sz w:val="24"/>
        </w:rPr>
      </w:pPr>
      <w:r>
        <w:rPr>
          <w:sz w:val="24"/>
        </w:rPr>
        <w:t>A top-down approach is based on building-level energy performance figures that deals with an outline of the system without specifics of</w:t>
      </w:r>
      <w:r>
        <w:rPr>
          <w:spacing w:val="-11"/>
          <w:sz w:val="24"/>
        </w:rPr>
        <w:t xml:space="preserve"> </w:t>
      </w:r>
      <w:r>
        <w:rPr>
          <w:sz w:val="24"/>
        </w:rPr>
        <w:t>sub-systems</w:t>
      </w:r>
    </w:p>
    <w:p w:rsidR="00F3177F" w:rsidRDefault="0089671D">
      <w:pPr>
        <w:pStyle w:val="ListParagraph"/>
        <w:numPr>
          <w:ilvl w:val="2"/>
          <w:numId w:val="35"/>
        </w:numPr>
        <w:tabs>
          <w:tab w:val="left" w:pos="1305"/>
        </w:tabs>
        <w:spacing w:before="11" w:line="357" w:lineRule="auto"/>
        <w:ind w:right="113"/>
        <w:jc w:val="both"/>
        <w:rPr>
          <w:sz w:val="24"/>
        </w:rPr>
      </w:pPr>
      <w:r>
        <w:rPr>
          <w:sz w:val="24"/>
        </w:rPr>
        <w:t>A bottom-up approach implicates information and conditions of sub-systems to form a more accurate outline. For instance, benchmarks for schools develop by first assessing energy performance of separate systems, such as air conditioning. Then, that lower-level system information of energy consumption data is combined together to build a single Energy Use Intensity (EUI) to indicate a theoretical presentation of the school</w:t>
      </w:r>
      <w:r>
        <w:rPr>
          <w:spacing w:val="-10"/>
          <w:sz w:val="24"/>
        </w:rPr>
        <w:t xml:space="preserve"> </w:t>
      </w:r>
      <w:r>
        <w:rPr>
          <w:sz w:val="24"/>
        </w:rPr>
        <w:t>building.</w:t>
      </w:r>
    </w:p>
    <w:p w:rsidR="00F3177F" w:rsidRDefault="00F3177F">
      <w:pPr>
        <w:spacing w:line="357" w:lineRule="auto"/>
        <w:jc w:val="both"/>
        <w:rPr>
          <w:sz w:val="24"/>
        </w:rPr>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4"/>
        <w:jc w:val="both"/>
      </w:pPr>
      <w:r>
        <w:lastRenderedPageBreak/>
        <w:t xml:space="preserve">However, it is a complicated task to build a school energy benchmark. Apart from approaches, schools should be categorized into groups depending on their types, structure, practice, energy demand and type, and climate zone to build a fair and accurate benchmarking system. In fact, there are already 29 existing benchmark classifications based on their activities (Hong et al., 2014) although they have similar usage, prerequisites (Bruhns et al., 2011). </w:t>
      </w:r>
      <w:r>
        <w:rPr>
          <w:spacing w:val="-3"/>
        </w:rPr>
        <w:t xml:space="preserve">It </w:t>
      </w:r>
      <w:r>
        <w:t>is quite natural that different methods can be appropriate to depict different school groupings. For instance, multiple linear regression can be more applicable to assess the impact of building type and operative features on school energy consumption for benchmarking (Sharp, 1998), whereas Hawkins et al. (2012) find artificial neural networks (ANNs) more appropriate to evaluate energy consumption factors in university</w:t>
      </w:r>
      <w:r>
        <w:rPr>
          <w:spacing w:val="-13"/>
        </w:rPr>
        <w:t xml:space="preserve"> </w:t>
      </w:r>
      <w:r>
        <w:t>buildings.</w:t>
      </w:r>
    </w:p>
    <w:p w:rsidR="00F3177F" w:rsidRDefault="00F3177F">
      <w:pPr>
        <w:pStyle w:val="BodyText"/>
      </w:pPr>
    </w:p>
    <w:p w:rsidR="00F3177F" w:rsidRDefault="0089671D">
      <w:pPr>
        <w:pStyle w:val="BodyText"/>
        <w:spacing w:before="143" w:line="360" w:lineRule="auto"/>
        <w:ind w:left="584" w:right="113"/>
        <w:jc w:val="both"/>
      </w:pPr>
      <w:r>
        <w:t>Efforts to build benchmarking and certification systems are turning into first optional</w:t>
      </w:r>
      <w:r w:rsidR="00110135">
        <w:t xml:space="preserve"> </w:t>
      </w:r>
      <w:r>
        <w:t xml:space="preserve">but later mandatory applications in developed countries. One of the practices of such systems is that they enable administrators to match energy performance of any construction with the typical and the best practice values of similar buildings. Despite the insufficient number of school buildings with DECs in the EU, public buildings  </w:t>
      </w:r>
      <w:r>
        <w:rPr>
          <w:spacing w:val="31"/>
        </w:rPr>
        <w:t xml:space="preserve"> </w:t>
      </w:r>
      <w:r>
        <w:t>that</w:t>
      </w:r>
    </w:p>
    <w:p w:rsidR="00F3177F" w:rsidRDefault="0089671D">
      <w:pPr>
        <w:pStyle w:val="BodyText"/>
        <w:spacing w:line="280" w:lineRule="exact"/>
        <w:ind w:left="584"/>
        <w:jc w:val="both"/>
      </w:pPr>
      <w:proofErr w:type="gramStart"/>
      <w:r>
        <w:t>cover</w:t>
      </w:r>
      <w:proofErr w:type="gramEnd"/>
      <w:r>
        <w:t xml:space="preserve"> more than 1000 m</w:t>
      </w:r>
      <w:r>
        <w:rPr>
          <w:position w:val="11"/>
          <w:sz w:val="16"/>
        </w:rPr>
        <w:t xml:space="preserve">2  </w:t>
      </w:r>
      <w:r>
        <w:t>including nurseries, schools, colleges and universities are to</w:t>
      </w:r>
    </w:p>
    <w:p w:rsidR="00F3177F" w:rsidRDefault="0089671D">
      <w:pPr>
        <w:pStyle w:val="BodyText"/>
        <w:spacing w:before="139" w:line="357" w:lineRule="auto"/>
        <w:ind w:left="584" w:right="115"/>
        <w:jc w:val="both"/>
      </w:pPr>
      <w:proofErr w:type="gramStart"/>
      <w:r>
        <w:t>publicly</w:t>
      </w:r>
      <w:proofErr w:type="gramEnd"/>
      <w:r>
        <w:t xml:space="preserve"> display their energy performance certificates on a visible place such as front door or in the central building lobby from June 30, 2012 (Maldonado, 2013). However, the member countries are allowed to adapt legislations in accordance with their circumstances to save energy and reduce CO</w:t>
      </w:r>
      <w:r>
        <w:rPr>
          <w:position w:val="-2"/>
          <w:sz w:val="16"/>
        </w:rPr>
        <w:t xml:space="preserve">2 </w:t>
      </w:r>
      <w:r>
        <w:t xml:space="preserve">emission. For instance, Greece has previously defined three climate zones named A-C but then added one more, Climate Zone D (Pereira et al., 2014).  Maldonado (2013) in his article, </w:t>
      </w:r>
      <w:proofErr w:type="gramStart"/>
      <w:r>
        <w:t>Implementing</w:t>
      </w:r>
      <w:proofErr w:type="gramEnd"/>
      <w:r>
        <w:t xml:space="preserve"> the EPBD</w:t>
      </w:r>
    </w:p>
    <w:p w:rsidR="00F3177F" w:rsidRDefault="0089671D">
      <w:pPr>
        <w:pStyle w:val="ListParagraph"/>
        <w:numPr>
          <w:ilvl w:val="0"/>
          <w:numId w:val="33"/>
        </w:numPr>
        <w:tabs>
          <w:tab w:val="left" w:pos="765"/>
        </w:tabs>
        <w:spacing w:before="9"/>
        <w:jc w:val="both"/>
        <w:rPr>
          <w:sz w:val="24"/>
        </w:rPr>
      </w:pPr>
      <w:r>
        <w:rPr>
          <w:sz w:val="24"/>
        </w:rPr>
        <w:t>presenting country reports 2012, provides the following</w:t>
      </w:r>
      <w:r>
        <w:rPr>
          <w:spacing w:val="-10"/>
          <w:sz w:val="24"/>
        </w:rPr>
        <w:t xml:space="preserve"> </w:t>
      </w:r>
      <w:r>
        <w:rPr>
          <w:sz w:val="24"/>
        </w:rPr>
        <w:t>examples:</w:t>
      </w:r>
    </w:p>
    <w:p w:rsidR="00F3177F" w:rsidRPr="00110135" w:rsidRDefault="0089671D" w:rsidP="00110135">
      <w:pPr>
        <w:pStyle w:val="ListParagraph"/>
        <w:numPr>
          <w:ilvl w:val="1"/>
          <w:numId w:val="33"/>
        </w:numPr>
        <w:tabs>
          <w:tab w:val="left" w:pos="1305"/>
        </w:tabs>
        <w:spacing w:before="137" w:line="355" w:lineRule="auto"/>
        <w:ind w:right="117" w:hanging="360"/>
        <w:jc w:val="both"/>
        <w:rPr>
          <w:sz w:val="24"/>
        </w:rPr>
        <w:sectPr w:rsidR="00F3177F" w:rsidRPr="00110135">
          <w:pgSz w:w="12240" w:h="15840"/>
          <w:pgMar w:top="1380" w:right="1320" w:bottom="2320" w:left="1720" w:header="0" w:footer="2095" w:gutter="0"/>
          <w:cols w:space="720"/>
        </w:sectPr>
      </w:pPr>
      <w:r w:rsidRPr="00110135">
        <w:rPr>
          <w:sz w:val="24"/>
        </w:rPr>
        <w:t>In Belgium, the certificate covers all the energy resources collectively used for occupied areas based on the meters or bills. Development process is mostly planned on development of construction materials. The anticipated average</w:t>
      </w:r>
      <w:r w:rsidR="00110135" w:rsidRPr="00110135">
        <w:rPr>
          <w:sz w:val="24"/>
        </w:rPr>
        <w:t xml:space="preserve"> </w:t>
      </w:r>
    </w:p>
    <w:p w:rsidR="00F3177F" w:rsidRDefault="0089671D">
      <w:pPr>
        <w:pStyle w:val="BodyText"/>
        <w:spacing w:before="54" w:line="328" w:lineRule="auto"/>
        <w:ind w:left="1364" w:right="65"/>
      </w:pPr>
      <w:proofErr w:type="gramStart"/>
      <w:r>
        <w:lastRenderedPageBreak/>
        <w:t>emissions</w:t>
      </w:r>
      <w:proofErr w:type="gramEnd"/>
      <w:r>
        <w:t xml:space="preserve"> and energy consumption for college and school buildings are 40 kgCO</w:t>
      </w:r>
      <w:r>
        <w:rPr>
          <w:position w:val="-2"/>
          <w:sz w:val="16"/>
        </w:rPr>
        <w:t>2</w:t>
      </w:r>
      <w:r>
        <w:t>/m</w:t>
      </w:r>
      <w:r>
        <w:rPr>
          <w:position w:val="11"/>
          <w:sz w:val="16"/>
        </w:rPr>
        <w:t>2</w:t>
      </w:r>
      <w:r>
        <w:t>/year and 230 kWh/ m</w:t>
      </w:r>
      <w:r>
        <w:rPr>
          <w:position w:val="11"/>
          <w:sz w:val="16"/>
        </w:rPr>
        <w:t>2</w:t>
      </w:r>
      <w:r>
        <w:t>/year.</w:t>
      </w:r>
    </w:p>
    <w:p w:rsidR="00F3177F" w:rsidRDefault="0089671D">
      <w:pPr>
        <w:pStyle w:val="ListParagraph"/>
        <w:numPr>
          <w:ilvl w:val="0"/>
          <w:numId w:val="32"/>
        </w:numPr>
        <w:tabs>
          <w:tab w:val="left" w:pos="1305"/>
        </w:tabs>
        <w:spacing w:before="8" w:line="326" w:lineRule="auto"/>
        <w:ind w:right="115"/>
        <w:jc w:val="both"/>
        <w:rPr>
          <w:rFonts w:ascii="Symbol"/>
          <w:color w:val="001F5F"/>
          <w:sz w:val="24"/>
        </w:rPr>
      </w:pPr>
      <w:r>
        <w:rPr>
          <w:sz w:val="24"/>
        </w:rPr>
        <w:t>In the Flemish region, all repaired and new buildings have to realize prerequisites on Energy Performance (EP) (E-level) and 10 kWh/m</w:t>
      </w:r>
      <w:r>
        <w:rPr>
          <w:position w:val="11"/>
          <w:sz w:val="16"/>
        </w:rPr>
        <w:t>2</w:t>
      </w:r>
      <w:r>
        <w:rPr>
          <w:sz w:val="24"/>
        </w:rPr>
        <w:t>/year of renewable energy has been obligatory since January 1</w:t>
      </w:r>
      <w:r>
        <w:rPr>
          <w:position w:val="11"/>
          <w:sz w:val="16"/>
        </w:rPr>
        <w:t>st</w:t>
      </w:r>
      <w:r>
        <w:rPr>
          <w:sz w:val="24"/>
        </w:rPr>
        <w:t>,</w:t>
      </w:r>
      <w:r>
        <w:rPr>
          <w:spacing w:val="-10"/>
          <w:sz w:val="24"/>
        </w:rPr>
        <w:t xml:space="preserve"> </w:t>
      </w:r>
      <w:r>
        <w:rPr>
          <w:sz w:val="24"/>
        </w:rPr>
        <w:t>2014.</w:t>
      </w:r>
    </w:p>
    <w:p w:rsidR="00F3177F" w:rsidRDefault="0089671D">
      <w:pPr>
        <w:pStyle w:val="ListParagraph"/>
        <w:numPr>
          <w:ilvl w:val="0"/>
          <w:numId w:val="32"/>
        </w:numPr>
        <w:tabs>
          <w:tab w:val="left" w:pos="1305"/>
        </w:tabs>
        <w:spacing w:before="29" w:line="350" w:lineRule="auto"/>
        <w:ind w:left="1364" w:right="115"/>
        <w:jc w:val="both"/>
        <w:rPr>
          <w:rFonts w:ascii="Symbol"/>
          <w:color w:val="001F5F"/>
          <w:sz w:val="24"/>
        </w:rPr>
      </w:pPr>
      <w:r>
        <w:rPr>
          <w:sz w:val="24"/>
        </w:rPr>
        <w:t>Cyprus is working in order to plan and build their first Nearly Zero Energy (NZE)</w:t>
      </w:r>
      <w:r>
        <w:rPr>
          <w:spacing w:val="-6"/>
          <w:sz w:val="24"/>
        </w:rPr>
        <w:t xml:space="preserve"> </w:t>
      </w:r>
      <w:r>
        <w:rPr>
          <w:sz w:val="24"/>
        </w:rPr>
        <w:t>schools.</w:t>
      </w:r>
    </w:p>
    <w:p w:rsidR="00F3177F" w:rsidRDefault="0089671D">
      <w:pPr>
        <w:pStyle w:val="ListParagraph"/>
        <w:numPr>
          <w:ilvl w:val="0"/>
          <w:numId w:val="32"/>
        </w:numPr>
        <w:tabs>
          <w:tab w:val="left" w:pos="1304"/>
          <w:tab w:val="left" w:pos="1305"/>
        </w:tabs>
        <w:spacing w:before="16"/>
        <w:rPr>
          <w:rFonts w:ascii="Symbol"/>
          <w:color w:val="001F5F"/>
          <w:sz w:val="24"/>
        </w:rPr>
      </w:pPr>
      <w:r>
        <w:rPr>
          <w:sz w:val="24"/>
        </w:rPr>
        <w:t>Slovakia sets school energy consumption reference value as Class</w:t>
      </w:r>
      <w:r>
        <w:rPr>
          <w:spacing w:val="-14"/>
          <w:sz w:val="24"/>
        </w:rPr>
        <w:t xml:space="preserve"> </w:t>
      </w:r>
      <w:r>
        <w:rPr>
          <w:sz w:val="24"/>
        </w:rPr>
        <w:t>D.</w:t>
      </w:r>
    </w:p>
    <w:p w:rsidR="00F3177F" w:rsidRDefault="0089671D">
      <w:pPr>
        <w:pStyle w:val="ListParagraph"/>
        <w:numPr>
          <w:ilvl w:val="0"/>
          <w:numId w:val="32"/>
        </w:numPr>
        <w:tabs>
          <w:tab w:val="left" w:pos="1305"/>
        </w:tabs>
        <w:spacing w:before="136" w:line="352" w:lineRule="auto"/>
        <w:ind w:right="121"/>
        <w:jc w:val="both"/>
        <w:rPr>
          <w:rFonts w:ascii="Symbol"/>
          <w:color w:val="001F5F"/>
          <w:sz w:val="24"/>
        </w:rPr>
      </w:pPr>
      <w:r>
        <w:rPr>
          <w:sz w:val="24"/>
        </w:rPr>
        <w:t>In Denmark, schools can base their energy certificates on calculated or measured energy consumption according to a foremost revision to EPC in</w:t>
      </w:r>
      <w:r>
        <w:rPr>
          <w:spacing w:val="-8"/>
          <w:sz w:val="24"/>
        </w:rPr>
        <w:t xml:space="preserve"> </w:t>
      </w:r>
      <w:r>
        <w:rPr>
          <w:sz w:val="24"/>
        </w:rPr>
        <w:t>2011.</w:t>
      </w:r>
    </w:p>
    <w:p w:rsidR="00F3177F" w:rsidRDefault="0089671D">
      <w:pPr>
        <w:pStyle w:val="ListParagraph"/>
        <w:numPr>
          <w:ilvl w:val="0"/>
          <w:numId w:val="32"/>
        </w:numPr>
        <w:tabs>
          <w:tab w:val="left" w:pos="1305"/>
        </w:tabs>
        <w:spacing w:before="14" w:line="321" w:lineRule="auto"/>
        <w:ind w:right="122"/>
        <w:jc w:val="both"/>
        <w:rPr>
          <w:rFonts w:ascii="Symbol"/>
          <w:color w:val="001F5F"/>
          <w:sz w:val="24"/>
        </w:rPr>
      </w:pPr>
      <w:r>
        <w:rPr>
          <w:sz w:val="24"/>
        </w:rPr>
        <w:t>In Finland, maximum energy consumption value for schools and care center are set to 170</w:t>
      </w:r>
      <w:r>
        <w:rPr>
          <w:spacing w:val="-6"/>
          <w:sz w:val="24"/>
        </w:rPr>
        <w:t xml:space="preserve"> </w:t>
      </w:r>
      <w:r>
        <w:rPr>
          <w:sz w:val="24"/>
        </w:rPr>
        <w:t>kWh/m</w:t>
      </w:r>
      <w:r>
        <w:rPr>
          <w:position w:val="11"/>
          <w:sz w:val="16"/>
        </w:rPr>
        <w:t>2</w:t>
      </w:r>
      <w:r>
        <w:rPr>
          <w:sz w:val="24"/>
        </w:rPr>
        <w:t>/yr.</w:t>
      </w:r>
    </w:p>
    <w:p w:rsidR="00F3177F" w:rsidRDefault="0089671D">
      <w:pPr>
        <w:pStyle w:val="ListParagraph"/>
        <w:numPr>
          <w:ilvl w:val="0"/>
          <w:numId w:val="32"/>
        </w:numPr>
        <w:tabs>
          <w:tab w:val="left" w:pos="1305"/>
        </w:tabs>
        <w:spacing w:before="35" w:line="355" w:lineRule="auto"/>
        <w:ind w:right="115"/>
        <w:jc w:val="both"/>
        <w:rPr>
          <w:rFonts w:ascii="Symbol"/>
          <w:color w:val="001F5F"/>
          <w:sz w:val="24"/>
        </w:rPr>
      </w:pPr>
      <w:r>
        <w:rPr>
          <w:sz w:val="24"/>
        </w:rPr>
        <w:t>In Portuguese case, all repaired and new buildings are supposed to have B- energy efficiency label although there is not any particular regulation for school buildings.</w:t>
      </w:r>
    </w:p>
    <w:p w:rsidR="00F3177F" w:rsidRDefault="00F3177F">
      <w:pPr>
        <w:pStyle w:val="BodyText"/>
      </w:pPr>
    </w:p>
    <w:p w:rsidR="00F3177F" w:rsidRDefault="0089671D" w:rsidP="007C6BF8">
      <w:pPr>
        <w:pStyle w:val="BodyText"/>
        <w:spacing w:before="149" w:line="350" w:lineRule="auto"/>
        <w:ind w:left="584" w:right="114"/>
        <w:jc w:val="both"/>
      </w:pPr>
      <w:r>
        <w:t>In addition, in Czech Republic, Energy Label C is set as the minimum required category (Maldonado, 2011, p. 482) and in UK, according to Good Practice Guide 343 (The Carbon Trust, 2005), the representative and top practice standards for primary schools, respectively,  are  157  and  110  kWh/m</w:t>
      </w:r>
      <w:r>
        <w:rPr>
          <w:position w:val="11"/>
          <w:sz w:val="16"/>
        </w:rPr>
        <w:t>2</w:t>
      </w:r>
      <w:r>
        <w:t xml:space="preserve">/year  (Hernandez  et  al.,  2008).  In </w:t>
      </w:r>
      <w:r w:rsidR="007C6BF8">
        <w:t xml:space="preserve">the </w:t>
      </w:r>
      <w:r>
        <w:t>UK,</w:t>
      </w:r>
      <w:r w:rsidR="007C6BF8">
        <w:t xml:space="preserve"> </w:t>
      </w:r>
      <w:r>
        <w:t>electricity and fossil fuel consumptions are calculated separately for school benchmarks to see both school energy performances clearly (Nifes Consulting Group, 2003). Except for university campuses, data for more than 15,000 school buildings are filed and according to that database, school buildings are the second most carbon intensive buildings after hospitals (Bruhns et al., 2011). Finally, a major energy renovation program in all schools buildings which of half were built between 1880 and 1948 were taken place before March 2012 (Mairie de Paris, 2012).</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6"/>
        <w:jc w:val="both"/>
      </w:pPr>
      <w:r>
        <w:lastRenderedPageBreak/>
        <w:t>Average school energy consumptions throughout the European countries differ. Some European countries and their annual school energy consumption figures in literature along with the research results of this dissertation are given in Figure 14 in “Conclusion”</w:t>
      </w:r>
      <w:r>
        <w:rPr>
          <w:spacing w:val="-5"/>
        </w:rPr>
        <w:t xml:space="preserve"> </w:t>
      </w:r>
      <w:r>
        <w:t>section.</w:t>
      </w:r>
    </w:p>
    <w:p w:rsidR="00F3177F" w:rsidRDefault="00F3177F">
      <w:pPr>
        <w:pStyle w:val="BodyText"/>
        <w:spacing w:before="4"/>
        <w:rPr>
          <w:sz w:val="33"/>
        </w:rPr>
      </w:pPr>
    </w:p>
    <w:p w:rsidR="00F3177F" w:rsidRDefault="0089671D">
      <w:pPr>
        <w:pStyle w:val="BodyText"/>
        <w:spacing w:line="345" w:lineRule="auto"/>
        <w:ind w:left="584" w:right="113"/>
        <w:jc w:val="both"/>
      </w:pPr>
      <w:r>
        <w:t>Except for the European countries, in Canada, it is 472kWh/m</w:t>
      </w:r>
      <w:r>
        <w:rPr>
          <w:position w:val="11"/>
          <w:sz w:val="16"/>
        </w:rPr>
        <w:t xml:space="preserve">2 </w:t>
      </w:r>
      <w:r>
        <w:t>although the Model National Energy Code for Buildings (MNECB) of Canada recommends 357 kWh/m</w:t>
      </w:r>
      <w:r>
        <w:rPr>
          <w:position w:val="11"/>
          <w:sz w:val="16"/>
        </w:rPr>
        <w:t xml:space="preserve">2 </w:t>
      </w:r>
      <w:r>
        <w:t>as the average for the reference building benchmarking (Lemire, 2010).</w:t>
      </w:r>
    </w:p>
    <w:p w:rsidR="00F3177F" w:rsidRDefault="00F3177F">
      <w:pPr>
        <w:pStyle w:val="BodyText"/>
      </w:pPr>
    </w:p>
    <w:p w:rsidR="00F3177F" w:rsidRDefault="0089671D">
      <w:pPr>
        <w:pStyle w:val="BodyText"/>
        <w:spacing w:before="159" w:line="360" w:lineRule="auto"/>
        <w:ind w:left="584" w:right="111"/>
        <w:jc w:val="both"/>
      </w:pPr>
      <w:r>
        <w:t>One of the concerns about the average school or other building energy consumptions is that different researches in the same country may provide different results and some of those figures can significantly vary. Thewes et al., (2014) attribute it to sample size and selection, wide range of building types or only energy-efficient buildings, and they conclude that such figures should be regarded with caution. They also state that this fact explains the need of benchmark analysis to accentuate the types of examined buildings and boundary conditions.</w:t>
      </w:r>
    </w:p>
    <w:p w:rsidR="00F3177F" w:rsidRDefault="00F3177F">
      <w:pPr>
        <w:pStyle w:val="BodyText"/>
      </w:pPr>
    </w:p>
    <w:p w:rsidR="00F3177F" w:rsidRDefault="0089671D">
      <w:pPr>
        <w:pStyle w:val="Heading2"/>
        <w:numPr>
          <w:ilvl w:val="2"/>
          <w:numId w:val="34"/>
        </w:numPr>
        <w:tabs>
          <w:tab w:val="left" w:pos="1245"/>
        </w:tabs>
        <w:spacing w:before="148"/>
        <w:jc w:val="both"/>
      </w:pPr>
      <w:bookmarkStart w:id="30" w:name="_TOC_250002"/>
      <w:r>
        <w:t>Energy Auditing in</w:t>
      </w:r>
      <w:r>
        <w:rPr>
          <w:spacing w:val="-4"/>
        </w:rPr>
        <w:t xml:space="preserve"> </w:t>
      </w:r>
      <w:bookmarkEnd w:id="30"/>
      <w:r>
        <w:t>Schools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6"/>
        <w:jc w:val="both"/>
      </w:pPr>
      <w:r>
        <w:t>Energy consumption growth has become a crucial issue not only due to energy</w:t>
      </w:r>
      <w:r w:rsidR="007C6BF8">
        <w:t xml:space="preserve"> </w:t>
      </w:r>
      <w:r>
        <w:t>depletion of natural sources and increasing costs but also due to social and environmental concerns. Higher life standards demanding higher social and environmental quality and comfort are added to energy costs. Energy auditing along with energy benchmarking are of great importance for better energy</w:t>
      </w:r>
      <w:r>
        <w:rPr>
          <w:spacing w:val="-17"/>
        </w:rPr>
        <w:t xml:space="preserve"> </w:t>
      </w:r>
      <w:r>
        <w:t>efficiency.</w:t>
      </w:r>
    </w:p>
    <w:p w:rsidR="00F3177F" w:rsidRDefault="00F3177F">
      <w:pPr>
        <w:pStyle w:val="BodyText"/>
        <w:rPr>
          <w:sz w:val="25"/>
        </w:rPr>
      </w:pPr>
    </w:p>
    <w:p w:rsidR="00F3177F" w:rsidRDefault="0089671D" w:rsidP="007C6BF8">
      <w:pPr>
        <w:pStyle w:val="BodyText"/>
        <w:spacing w:line="360" w:lineRule="auto"/>
        <w:ind w:left="584" w:right="120"/>
        <w:jc w:val="both"/>
      </w:pPr>
      <w:r>
        <w:t>In general, there are two ways to search for energy loss in buildings. The first one is to track building energy bills to see what has gone wrong and where. The second one is carrying out energy audit. Energy audit is a process of evaluating current state and taking measures to save energy and improve energy efficiency without causing adverse</w:t>
      </w:r>
      <w:r w:rsidR="007C6BF8">
        <w:t xml:space="preserve"> </w:t>
      </w:r>
      <w:r>
        <w:lastRenderedPageBreak/>
        <w:t xml:space="preserve">consequences, such as discomfort of workers and students. </w:t>
      </w:r>
      <w:r>
        <w:rPr>
          <w:spacing w:val="-3"/>
        </w:rPr>
        <w:t xml:space="preserve">It </w:t>
      </w:r>
      <w:r>
        <w:t>can be done through as simple as a screening audit, also called walk-through audit, or a very complicated multi- facet analysis. Energy efficiency and cost-effectivity along with environmental issues are the chief</w:t>
      </w:r>
      <w:r>
        <w:rPr>
          <w:spacing w:val="-4"/>
        </w:rPr>
        <w:t xml:space="preserve"> </w:t>
      </w:r>
      <w:r>
        <w:t>concerns.</w:t>
      </w:r>
    </w:p>
    <w:p w:rsidR="00F3177F" w:rsidRDefault="00F3177F">
      <w:pPr>
        <w:pStyle w:val="BodyText"/>
        <w:spacing w:before="11"/>
      </w:pPr>
    </w:p>
    <w:p w:rsidR="00F3177F" w:rsidRDefault="0089671D">
      <w:pPr>
        <w:pStyle w:val="BodyText"/>
        <w:spacing w:line="360" w:lineRule="auto"/>
        <w:ind w:left="584" w:right="116"/>
        <w:jc w:val="both"/>
      </w:pPr>
      <w:r>
        <w:t>Despite variety in levels, an energy audit is basically supposed to respond to the following concerns:</w:t>
      </w:r>
    </w:p>
    <w:p w:rsidR="00F3177F" w:rsidRDefault="0089671D">
      <w:pPr>
        <w:pStyle w:val="ListParagraph"/>
        <w:numPr>
          <w:ilvl w:val="0"/>
          <w:numId w:val="32"/>
        </w:numPr>
        <w:tabs>
          <w:tab w:val="left" w:pos="1304"/>
          <w:tab w:val="left" w:pos="1305"/>
        </w:tabs>
        <w:spacing w:before="6" w:line="350" w:lineRule="auto"/>
        <w:ind w:right="119"/>
        <w:rPr>
          <w:rFonts w:ascii="Symbol"/>
          <w:sz w:val="24"/>
        </w:rPr>
      </w:pPr>
      <w:r>
        <w:rPr>
          <w:sz w:val="24"/>
        </w:rPr>
        <w:t>What is the present condition of the building and energy related equipment? (physical state, efficiency level, energy label, benchmark, energy</w:t>
      </w:r>
      <w:r>
        <w:rPr>
          <w:spacing w:val="-15"/>
          <w:sz w:val="24"/>
        </w:rPr>
        <w:t xml:space="preserve"> </w:t>
      </w:r>
      <w:r>
        <w:rPr>
          <w:sz w:val="24"/>
        </w:rPr>
        <w:t>bills)</w:t>
      </w:r>
    </w:p>
    <w:p w:rsidR="00F3177F" w:rsidRDefault="0089671D">
      <w:pPr>
        <w:pStyle w:val="ListParagraph"/>
        <w:numPr>
          <w:ilvl w:val="0"/>
          <w:numId w:val="32"/>
        </w:numPr>
        <w:tabs>
          <w:tab w:val="left" w:pos="1304"/>
          <w:tab w:val="left" w:pos="1305"/>
        </w:tabs>
        <w:spacing w:before="17"/>
        <w:rPr>
          <w:rFonts w:ascii="Symbol"/>
          <w:sz w:val="24"/>
        </w:rPr>
      </w:pPr>
      <w:r>
        <w:rPr>
          <w:sz w:val="24"/>
        </w:rPr>
        <w:t>Where and what type of energy is used and</w:t>
      </w:r>
      <w:r>
        <w:rPr>
          <w:spacing w:val="-11"/>
          <w:sz w:val="24"/>
        </w:rPr>
        <w:t xml:space="preserve"> </w:t>
      </w:r>
      <w:r>
        <w:rPr>
          <w:sz w:val="24"/>
        </w:rPr>
        <w:t>wasted?</w:t>
      </w:r>
    </w:p>
    <w:p w:rsidR="00F3177F" w:rsidRDefault="0089671D">
      <w:pPr>
        <w:pStyle w:val="ListParagraph"/>
        <w:numPr>
          <w:ilvl w:val="0"/>
          <w:numId w:val="32"/>
        </w:numPr>
        <w:tabs>
          <w:tab w:val="left" w:pos="1304"/>
          <w:tab w:val="left" w:pos="1305"/>
        </w:tabs>
        <w:spacing w:before="135" w:line="352" w:lineRule="auto"/>
        <w:ind w:right="121"/>
        <w:rPr>
          <w:rFonts w:ascii="Symbol" w:hAnsi="Symbol"/>
          <w:sz w:val="24"/>
        </w:rPr>
      </w:pPr>
      <w:r>
        <w:rPr>
          <w:sz w:val="24"/>
        </w:rPr>
        <w:t>What measures can/should be taken including people’s environmental comfort, need and</w:t>
      </w:r>
      <w:r>
        <w:rPr>
          <w:spacing w:val="-6"/>
          <w:sz w:val="24"/>
        </w:rPr>
        <w:t xml:space="preserve"> </w:t>
      </w:r>
      <w:r>
        <w:rPr>
          <w:sz w:val="24"/>
        </w:rPr>
        <w:t>cost-effectivity?</w:t>
      </w:r>
    </w:p>
    <w:p w:rsidR="00F3177F" w:rsidRDefault="00F3177F">
      <w:pPr>
        <w:pStyle w:val="BodyText"/>
        <w:spacing w:before="7"/>
        <w:rPr>
          <w:sz w:val="25"/>
        </w:rPr>
      </w:pPr>
    </w:p>
    <w:p w:rsidR="00F3177F" w:rsidRDefault="0089671D">
      <w:pPr>
        <w:pStyle w:val="BodyText"/>
        <w:spacing w:line="360" w:lineRule="auto"/>
        <w:ind w:left="584" w:right="117"/>
        <w:jc w:val="both"/>
      </w:pPr>
      <w:r>
        <w:t xml:space="preserve">It is possible to prepare a list of energy conservation opportunities and rank their cost effectivities rather than simply make a list of energy consumption items. Regardless of the type of energy audit, it is vital to make a meticulous list of requirements, and a contract will assure owners, tenants or managers for a successful fulfillment. Energy auditing usually starts with benchmarking by using comfort, energy and/or energy demand indexes to compare the figures with similar buildings and to see the improvement later on. Screening auditing as a second and low-cost step enables to evaluate the current state and efficiency of the building, opportunities for further work. It includes reviewing energy bills, interviewing the personnel and walking through </w:t>
      </w:r>
      <w:r>
        <w:rPr>
          <w:spacing w:val="2"/>
        </w:rPr>
        <w:t xml:space="preserve">the </w:t>
      </w:r>
      <w:r>
        <w:t xml:space="preserve">building for an on-the-spot inspection. </w:t>
      </w:r>
      <w:r>
        <w:rPr>
          <w:spacing w:val="-3"/>
        </w:rPr>
        <w:t xml:space="preserve">It </w:t>
      </w:r>
      <w:r>
        <w:t>provides rough calculation for investment and payback period despite being not a final</w:t>
      </w:r>
      <w:r>
        <w:rPr>
          <w:spacing w:val="-9"/>
        </w:rPr>
        <w:t xml:space="preserve"> </w:t>
      </w:r>
      <w:r>
        <w:t>decision.</w:t>
      </w:r>
    </w:p>
    <w:p w:rsidR="00F3177F" w:rsidRDefault="00F3177F">
      <w:pPr>
        <w:pStyle w:val="BodyText"/>
        <w:spacing w:before="8"/>
      </w:pPr>
    </w:p>
    <w:p w:rsidR="00F3177F" w:rsidRDefault="0089671D" w:rsidP="00E80ACC">
      <w:pPr>
        <w:pStyle w:val="BodyText"/>
        <w:spacing w:line="360" w:lineRule="auto"/>
        <w:ind w:left="584" w:right="115"/>
        <w:jc w:val="both"/>
      </w:pPr>
      <w:r>
        <w:rPr>
          <w:spacing w:val="-3"/>
        </w:rPr>
        <w:t xml:space="preserve">Meticulous </w:t>
      </w:r>
      <w:r>
        <w:t xml:space="preserve">site energy auditing </w:t>
      </w:r>
      <w:r>
        <w:rPr>
          <w:spacing w:val="-3"/>
        </w:rPr>
        <w:t xml:space="preserve">should </w:t>
      </w:r>
      <w:r>
        <w:t xml:space="preserve">be </w:t>
      </w:r>
      <w:r>
        <w:rPr>
          <w:spacing w:val="-3"/>
        </w:rPr>
        <w:t xml:space="preserve">carried </w:t>
      </w:r>
      <w:r>
        <w:t xml:space="preserve">out by </w:t>
      </w:r>
      <w:r>
        <w:rPr>
          <w:spacing w:val="-3"/>
        </w:rPr>
        <w:t xml:space="preserve">experts </w:t>
      </w:r>
      <w:r>
        <w:t xml:space="preserve">with a use of computer- </w:t>
      </w:r>
      <w:r>
        <w:rPr>
          <w:spacing w:val="-3"/>
        </w:rPr>
        <w:t xml:space="preserve">based analysis followed </w:t>
      </w:r>
      <w:r>
        <w:t xml:space="preserve">by </w:t>
      </w:r>
      <w:r>
        <w:rPr>
          <w:spacing w:val="-3"/>
        </w:rPr>
        <w:t xml:space="preserve">investments and modifications. </w:t>
      </w:r>
      <w:r>
        <w:t xml:space="preserve">Energy bills up to three </w:t>
      </w:r>
      <w:r>
        <w:rPr>
          <w:spacing w:val="-3"/>
        </w:rPr>
        <w:t xml:space="preserve">years </w:t>
      </w:r>
      <w:r>
        <w:t xml:space="preserve">are </w:t>
      </w:r>
      <w:r>
        <w:rPr>
          <w:spacing w:val="-3"/>
        </w:rPr>
        <w:t xml:space="preserve">collected </w:t>
      </w:r>
      <w:r>
        <w:t xml:space="preserve">to see usage profile. </w:t>
      </w:r>
      <w:r>
        <w:rPr>
          <w:spacing w:val="-3"/>
        </w:rPr>
        <w:t xml:space="preserve">Short and </w:t>
      </w:r>
      <w:r>
        <w:t xml:space="preserve">long term energy consumption </w:t>
      </w:r>
      <w:r>
        <w:rPr>
          <w:spacing w:val="-3"/>
        </w:rPr>
        <w:t xml:space="preserve">patterns should </w:t>
      </w:r>
      <w:r>
        <w:t xml:space="preserve">be </w:t>
      </w:r>
      <w:r>
        <w:rPr>
          <w:spacing w:val="-3"/>
        </w:rPr>
        <w:t xml:space="preserve">analyzed </w:t>
      </w:r>
      <w:r>
        <w:t xml:space="preserve">along with better </w:t>
      </w:r>
      <w:r>
        <w:rPr>
          <w:spacing w:val="-3"/>
        </w:rPr>
        <w:t xml:space="preserve">understanding </w:t>
      </w:r>
      <w:r>
        <w:t xml:space="preserve">of operating </w:t>
      </w:r>
      <w:r>
        <w:rPr>
          <w:spacing w:val="-2"/>
        </w:rPr>
        <w:t xml:space="preserve">system </w:t>
      </w:r>
      <w:r>
        <w:t xml:space="preserve">through working </w:t>
      </w:r>
      <w:proofErr w:type="gramStart"/>
      <w:r>
        <w:t xml:space="preserve">with  </w:t>
      </w:r>
      <w:r>
        <w:rPr>
          <w:spacing w:val="-3"/>
        </w:rPr>
        <w:t>personnel</w:t>
      </w:r>
      <w:proofErr w:type="gramEnd"/>
      <w:r>
        <w:rPr>
          <w:spacing w:val="-3"/>
        </w:rPr>
        <w:t xml:space="preserve">.  </w:t>
      </w:r>
      <w:proofErr w:type="gramStart"/>
      <w:r>
        <w:rPr>
          <w:spacing w:val="-3"/>
        </w:rPr>
        <w:t xml:space="preserve">Measurements  </w:t>
      </w:r>
      <w:r>
        <w:t>are</w:t>
      </w:r>
      <w:proofErr w:type="gramEnd"/>
      <w:r>
        <w:t xml:space="preserve">  taken  into  </w:t>
      </w:r>
      <w:r>
        <w:rPr>
          <w:spacing w:val="-3"/>
        </w:rPr>
        <w:t xml:space="preserve">consideration  </w:t>
      </w:r>
      <w:r>
        <w:t xml:space="preserve">in  </w:t>
      </w:r>
      <w:r>
        <w:rPr>
          <w:spacing w:val="-3"/>
        </w:rPr>
        <w:t xml:space="preserve">accordance  </w:t>
      </w:r>
      <w:r>
        <w:t>with the</w:t>
      </w:r>
      <w:r w:rsidR="00E80ACC">
        <w:t xml:space="preserve"> </w:t>
      </w:r>
      <w:r>
        <w:rPr>
          <w:spacing w:val="-3"/>
        </w:rPr>
        <w:lastRenderedPageBreak/>
        <w:t xml:space="preserve">financial analyses </w:t>
      </w:r>
      <w:r>
        <w:t xml:space="preserve">to meet owners’ </w:t>
      </w:r>
      <w:r>
        <w:rPr>
          <w:spacing w:val="-3"/>
        </w:rPr>
        <w:t xml:space="preserve">investment criteria. </w:t>
      </w:r>
      <w:r>
        <w:t xml:space="preserve">Energy auditing softwares </w:t>
      </w:r>
      <w:r>
        <w:rPr>
          <w:spacing w:val="-3"/>
        </w:rPr>
        <w:t xml:space="preserve">and platforms </w:t>
      </w:r>
      <w:r>
        <w:t xml:space="preserve">are of </w:t>
      </w:r>
      <w:r>
        <w:rPr>
          <w:spacing w:val="-3"/>
        </w:rPr>
        <w:t xml:space="preserve">great </w:t>
      </w:r>
      <w:r>
        <w:t xml:space="preserve">help to </w:t>
      </w:r>
      <w:r>
        <w:rPr>
          <w:spacing w:val="-3"/>
        </w:rPr>
        <w:t xml:space="preserve">implement </w:t>
      </w:r>
      <w:r>
        <w:t xml:space="preserve">energy site </w:t>
      </w:r>
      <w:r>
        <w:rPr>
          <w:spacing w:val="-3"/>
        </w:rPr>
        <w:t xml:space="preserve">and </w:t>
      </w:r>
      <w:r>
        <w:t xml:space="preserve">specific </w:t>
      </w:r>
      <w:r>
        <w:rPr>
          <w:spacing w:val="-2"/>
        </w:rPr>
        <w:t xml:space="preserve">system </w:t>
      </w:r>
      <w:r>
        <w:t xml:space="preserve">auditing, </w:t>
      </w:r>
      <w:r>
        <w:rPr>
          <w:spacing w:val="-3"/>
        </w:rPr>
        <w:t xml:space="preserve">and </w:t>
      </w:r>
      <w:r>
        <w:t xml:space="preserve">to apply </w:t>
      </w:r>
      <w:r>
        <w:rPr>
          <w:spacing w:val="-3"/>
        </w:rPr>
        <w:t xml:space="preserve">investment </w:t>
      </w:r>
      <w:r>
        <w:rPr>
          <w:spacing w:val="-2"/>
        </w:rPr>
        <w:t xml:space="preserve">return </w:t>
      </w:r>
      <w:r>
        <w:rPr>
          <w:spacing w:val="-3"/>
        </w:rPr>
        <w:t xml:space="preserve">and payback analyses. Investment-grade </w:t>
      </w:r>
      <w:r>
        <w:t xml:space="preserve">auditing based on engineering </w:t>
      </w:r>
      <w:r>
        <w:rPr>
          <w:spacing w:val="-3"/>
        </w:rPr>
        <w:t xml:space="preserve">analyses </w:t>
      </w:r>
      <w:r>
        <w:t xml:space="preserve">provide thorough technical and </w:t>
      </w:r>
      <w:r>
        <w:rPr>
          <w:spacing w:val="-3"/>
        </w:rPr>
        <w:t xml:space="preserve">financial aspects </w:t>
      </w:r>
      <w:r>
        <w:t xml:space="preserve">to balance </w:t>
      </w:r>
      <w:r>
        <w:rPr>
          <w:spacing w:val="-3"/>
        </w:rPr>
        <w:t xml:space="preserve">investments and renovations. Pollution </w:t>
      </w:r>
      <w:r>
        <w:t xml:space="preserve">audits take two-year </w:t>
      </w:r>
      <w:r>
        <w:rPr>
          <w:spacing w:val="-3"/>
        </w:rPr>
        <w:t xml:space="preserve">electric and </w:t>
      </w:r>
      <w:r>
        <w:t xml:space="preserve">fuel </w:t>
      </w:r>
      <w:r>
        <w:rPr>
          <w:spacing w:val="-3"/>
        </w:rPr>
        <w:t xml:space="preserve">consumption figures </w:t>
      </w:r>
      <w:r>
        <w:t xml:space="preserve">into </w:t>
      </w:r>
      <w:r>
        <w:rPr>
          <w:spacing w:val="-3"/>
        </w:rPr>
        <w:t xml:space="preserve">account </w:t>
      </w:r>
      <w:r>
        <w:t xml:space="preserve">to </w:t>
      </w:r>
      <w:r>
        <w:rPr>
          <w:spacing w:val="-3"/>
        </w:rPr>
        <w:t xml:space="preserve">calculate </w:t>
      </w:r>
      <w:r>
        <w:t xml:space="preserve">air polluting </w:t>
      </w:r>
      <w:r>
        <w:rPr>
          <w:spacing w:val="-3"/>
        </w:rPr>
        <w:t>emissions.</w:t>
      </w:r>
    </w:p>
    <w:p w:rsidR="00F3177F" w:rsidRDefault="00F3177F">
      <w:pPr>
        <w:pStyle w:val="BodyText"/>
      </w:pPr>
    </w:p>
    <w:p w:rsidR="00F3177F" w:rsidRDefault="00F3177F">
      <w:pPr>
        <w:pStyle w:val="BodyText"/>
        <w:spacing w:before="11"/>
      </w:pPr>
    </w:p>
    <w:p w:rsidR="00F3177F" w:rsidRDefault="0089671D">
      <w:pPr>
        <w:pStyle w:val="Heading2"/>
        <w:numPr>
          <w:ilvl w:val="1"/>
          <w:numId w:val="34"/>
        </w:numPr>
        <w:tabs>
          <w:tab w:val="left" w:pos="1065"/>
        </w:tabs>
        <w:ind w:left="1064" w:hanging="480"/>
        <w:jc w:val="both"/>
      </w:pPr>
      <w:bookmarkStart w:id="31" w:name="_TOC_250001"/>
      <w:r>
        <w:t>School Energy</w:t>
      </w:r>
      <w:r>
        <w:rPr>
          <w:spacing w:val="-8"/>
        </w:rPr>
        <w:t xml:space="preserve"> </w:t>
      </w:r>
      <w:bookmarkEnd w:id="31"/>
      <w:r>
        <w:t>Policy</w:t>
      </w:r>
    </w:p>
    <w:p w:rsidR="00F3177F" w:rsidRDefault="00F3177F">
      <w:pPr>
        <w:pStyle w:val="BodyText"/>
        <w:rPr>
          <w:b/>
        </w:rPr>
      </w:pPr>
    </w:p>
    <w:p w:rsidR="00F3177F" w:rsidRDefault="00F3177F">
      <w:pPr>
        <w:pStyle w:val="BodyText"/>
        <w:rPr>
          <w:b/>
        </w:rPr>
      </w:pPr>
    </w:p>
    <w:p w:rsidR="00F3177F" w:rsidRDefault="0089671D">
      <w:pPr>
        <w:pStyle w:val="Heading2"/>
        <w:numPr>
          <w:ilvl w:val="2"/>
          <w:numId w:val="31"/>
        </w:numPr>
        <w:tabs>
          <w:tab w:val="left" w:pos="1245"/>
        </w:tabs>
        <w:jc w:val="both"/>
      </w:pPr>
      <w:bookmarkStart w:id="32" w:name="_TOC_250000"/>
      <w:r>
        <w:t>Significance of Energy Users’</w:t>
      </w:r>
      <w:r>
        <w:rPr>
          <w:spacing w:val="-6"/>
        </w:rPr>
        <w:t xml:space="preserve"> </w:t>
      </w:r>
      <w:bookmarkEnd w:id="32"/>
      <w:r>
        <w:t>Behavior</w:t>
      </w:r>
    </w:p>
    <w:p w:rsidR="00F3177F" w:rsidRDefault="00F3177F">
      <w:pPr>
        <w:pStyle w:val="BodyText"/>
        <w:rPr>
          <w:b/>
        </w:rPr>
      </w:pPr>
    </w:p>
    <w:p w:rsidR="00F3177F" w:rsidRDefault="00F3177F">
      <w:pPr>
        <w:pStyle w:val="BodyText"/>
        <w:spacing w:before="6"/>
        <w:rPr>
          <w:b/>
          <w:sz w:val="23"/>
        </w:rPr>
      </w:pPr>
    </w:p>
    <w:p w:rsidR="00F3177F" w:rsidRDefault="0089671D" w:rsidP="00536885">
      <w:pPr>
        <w:pStyle w:val="BodyText"/>
        <w:spacing w:line="360" w:lineRule="auto"/>
        <w:ind w:left="584" w:right="116"/>
        <w:jc w:val="both"/>
      </w:pPr>
      <w:r>
        <w:t>Users’ behavior affects energy efficiency (Salleh et al., 2015) and energy consumption patterns (</w:t>
      </w:r>
      <w:hyperlink r:id="rId45">
        <w:r>
          <w:t>Heiskanen</w:t>
        </w:r>
      </w:hyperlink>
      <w:r>
        <w:t xml:space="preserve"> et al., 2013) in buildings. Energy consumption analyses without taking energy users’ behavior will not be realistic as Masoso and Grobler’s study (2010) evidenced that energy is wasted in buildings even they are not occupied and according  to Nguyen and Aiello’s (2013) citation one-third of that wasted energy can be saved with proper energy conservation behavior. </w:t>
      </w:r>
      <w:r>
        <w:rPr>
          <w:spacing w:val="-3"/>
        </w:rPr>
        <w:t xml:space="preserve">It </w:t>
      </w:r>
      <w:r>
        <w:t>also applies to school buildings since</w:t>
      </w:r>
      <w:r w:rsidR="00536885">
        <w:t xml:space="preserve"> </w:t>
      </w:r>
      <w:r>
        <w:t xml:space="preserve">users’ behavior can influence energy conservation up to 15% in schools (Ismail et al., 2009) indicating the importance of users’ behavior on energy conservation alone in school buildings. Salleh et al. (2015) draw attention to questionnaire surveys “on building users as respondents with the aim of investigating the relationship between  user behaviors with building design in evaluating school building design” and observatory method on “user perception assessment in the building can provide information on the user performance and satisfaction level”. European Union’s goal to base energy consumption on users’ needs makes energy users’ behavior a more central issue. The challenge is that although energy efficiency is considered as the key indicator for energy consumption, it is not the same for the users. Except for </w:t>
      </w:r>
      <w:r>
        <w:rPr>
          <w:spacing w:val="2"/>
        </w:rPr>
        <w:t xml:space="preserve">simply </w:t>
      </w:r>
      <w:r>
        <w:t>saving energy in some ways, energy users should be able to understand and deal with the issue</w:t>
      </w:r>
      <w:r w:rsidR="00536885">
        <w:t xml:space="preserve"> </w:t>
      </w:r>
      <w:r>
        <w:t xml:space="preserve">more conscientiously </w:t>
      </w:r>
      <w:proofErr w:type="gramStart"/>
      <w:r>
        <w:t>which  requires</w:t>
      </w:r>
      <w:proofErr w:type="gramEnd"/>
      <w:r>
        <w:t xml:space="preserve">  knowledge  of  energy users’ behavior.  After this</w:t>
      </w:r>
    </w:p>
    <w:p w:rsidR="00F3177F" w:rsidRDefault="00F3177F">
      <w:pPr>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2"/>
        <w:jc w:val="both"/>
      </w:pPr>
      <w:proofErr w:type="gramStart"/>
      <w:r>
        <w:lastRenderedPageBreak/>
        <w:t>initial</w:t>
      </w:r>
      <w:proofErr w:type="gramEnd"/>
      <w:r>
        <w:t xml:space="preserve"> step, the case should be dealt from the point of improving energy users’ behavior and building designs accordingly. Optimum/Effective applications should be practiced that match energy efficiency – including users’ comfort and environmental issues -, users’ behavior and building design. Energy efficiency specialists should first understand users’ behavior (Parnell &amp; Popovics-Larsen, 2005) as often building energy efficiency practices do not answer users’ demands and realities which limit the success of efficiency measures (Heiskanen &amp; Lovio, 2010). Firstly, it is to be stated that energy use is the result of other purposes rather than simply the act </w:t>
      </w:r>
      <w:r>
        <w:rPr>
          <w:spacing w:val="2"/>
        </w:rPr>
        <w:t xml:space="preserve">of </w:t>
      </w:r>
      <w:r>
        <w:t>energy use. Thus, those concerns should be dealt with the help of various insiders, and more measurable and automatic systems. A good example taking users’ perception into account is Low Carbon Communities Challenge’s implementation in United Kingdom that observes energy users’ reaction to new energy conservation measurements (DECC, 2013). Naturally, involvement of students’ behavior in energy consumption in schools is</w:t>
      </w:r>
      <w:r w:rsidR="004E1E81">
        <w:t xml:space="preserve"> </w:t>
      </w:r>
      <w:r>
        <w:t>limited in comparison with their behavioral impacts at homes. Yet, energy consumption/efficiency education at schools will help to develop better understanding</w:t>
      </w:r>
      <w:r w:rsidR="004E1E81">
        <w:t xml:space="preserve"> </w:t>
      </w:r>
      <w:r>
        <w:t>of energy use and efficiency in every field and throughout</w:t>
      </w:r>
      <w:r>
        <w:rPr>
          <w:spacing w:val="-17"/>
        </w:rPr>
        <w:t xml:space="preserve"> </w:t>
      </w:r>
      <w:r>
        <w:t>life.</w:t>
      </w:r>
    </w:p>
    <w:p w:rsidR="00F3177F" w:rsidRDefault="00F3177F">
      <w:pPr>
        <w:pStyle w:val="BodyText"/>
      </w:pPr>
    </w:p>
    <w:p w:rsidR="00F3177F" w:rsidRDefault="00F3177F">
      <w:pPr>
        <w:pStyle w:val="BodyText"/>
        <w:rPr>
          <w:sz w:val="25"/>
        </w:rPr>
      </w:pPr>
    </w:p>
    <w:p w:rsidR="00F3177F" w:rsidRDefault="0089671D">
      <w:pPr>
        <w:pStyle w:val="Heading2"/>
        <w:numPr>
          <w:ilvl w:val="2"/>
          <w:numId w:val="31"/>
        </w:numPr>
        <w:tabs>
          <w:tab w:val="left" w:pos="1245"/>
        </w:tabs>
        <w:jc w:val="both"/>
      </w:pPr>
      <w:r>
        <w:t>School Energy Management and</w:t>
      </w:r>
      <w:r>
        <w:rPr>
          <w:spacing w:val="-10"/>
        </w:rPr>
        <w:t xml:space="preserve"> </w:t>
      </w:r>
      <w:r>
        <w:t>Policy</w:t>
      </w:r>
    </w:p>
    <w:p w:rsidR="00F3177F" w:rsidRDefault="00F3177F">
      <w:pPr>
        <w:pStyle w:val="BodyText"/>
        <w:rPr>
          <w:b/>
        </w:rPr>
      </w:pPr>
    </w:p>
    <w:p w:rsidR="00F3177F" w:rsidRDefault="00F3177F">
      <w:pPr>
        <w:pStyle w:val="BodyText"/>
        <w:spacing w:before="6"/>
        <w:rPr>
          <w:b/>
          <w:sz w:val="23"/>
        </w:rPr>
      </w:pPr>
    </w:p>
    <w:p w:rsidR="00F3177F" w:rsidRDefault="0089671D" w:rsidP="004E1E81">
      <w:pPr>
        <w:pStyle w:val="BodyText"/>
        <w:spacing w:line="360" w:lineRule="auto"/>
        <w:ind w:left="584" w:right="112"/>
        <w:jc w:val="both"/>
      </w:pPr>
      <w:r>
        <w:t>Growing school energy costs and bills make school energy management an alarmingly important issue. Likewise, climate change can alter energy policy as it introduces difficulties in in decision making (Baker &amp; Solak, 2011). Starting from Stanley (1957) up to now researchers emphasized the importance, effectiveness, implementations of school policies, staff’s and communities’ involvement, effects of policy outcomes, interrelation between environmental issues and school energy policies, policy enactment and implementation, and the role of policy actors in policy (Lane et al., 2014). Organizations with energy management policies show better performance than the ones without (U.S. Environmental Protection Agency, 2005) and schools can save energy up</w:t>
      </w:r>
      <w:r w:rsidR="004E1E81">
        <w:t xml:space="preserve"> </w:t>
      </w:r>
      <w:r>
        <w:t>to  25%  through  efficient  management  and  school  energy  policies  supported</w:t>
      </w:r>
      <w:r w:rsidR="004E1E81">
        <w:t xml:space="preserve"> </w:t>
      </w:r>
      <w:r>
        <w:t>by</w:t>
      </w:r>
      <w:r w:rsidR="004E1E81">
        <w:t xml:space="preserve"> </w:t>
      </w:r>
      <w:r>
        <w:lastRenderedPageBreak/>
        <w:t>distribution of information and guidelines (U.S. Department of Energy, 2009). Guide to Operating and Maintaining EnergySmart Schools (U.S. Department of Energy, 2009</w:t>
      </w:r>
      <w:proofErr w:type="gramStart"/>
      <w:r>
        <w:t>)  by</w:t>
      </w:r>
      <w:proofErr w:type="gramEnd"/>
      <w:r>
        <w:t xml:space="preserve"> the U.S. Department of Energy counts the benefits of high performance schools</w:t>
      </w:r>
      <w:r>
        <w:rPr>
          <w:spacing w:val="-15"/>
        </w:rPr>
        <w:t xml:space="preserve"> </w:t>
      </w:r>
      <w:r>
        <w:t>as:</w:t>
      </w:r>
    </w:p>
    <w:p w:rsidR="00F3177F" w:rsidRDefault="0089671D" w:rsidP="004E1E81">
      <w:pPr>
        <w:pStyle w:val="ListParagraph"/>
        <w:numPr>
          <w:ilvl w:val="0"/>
          <w:numId w:val="49"/>
        </w:numPr>
        <w:tabs>
          <w:tab w:val="left" w:pos="1304"/>
          <w:tab w:val="left" w:pos="1305"/>
        </w:tabs>
        <w:spacing w:before="3"/>
        <w:rPr>
          <w:rFonts w:ascii="Symbol"/>
          <w:sz w:val="24"/>
        </w:rPr>
      </w:pPr>
      <w:r>
        <w:rPr>
          <w:sz w:val="24"/>
        </w:rPr>
        <w:t>Value to the Community: Quality schools attract</w:t>
      </w:r>
      <w:r>
        <w:rPr>
          <w:spacing w:val="-14"/>
          <w:sz w:val="24"/>
        </w:rPr>
        <w:t xml:space="preserve"> </w:t>
      </w:r>
      <w:r>
        <w:rPr>
          <w:sz w:val="24"/>
        </w:rPr>
        <w:t>businesses</w:t>
      </w:r>
    </w:p>
    <w:p w:rsidR="00F3177F" w:rsidRDefault="0089671D" w:rsidP="004E1E81">
      <w:pPr>
        <w:pStyle w:val="ListParagraph"/>
        <w:numPr>
          <w:ilvl w:val="0"/>
          <w:numId w:val="49"/>
        </w:numPr>
        <w:tabs>
          <w:tab w:val="left" w:pos="1304"/>
          <w:tab w:val="left" w:pos="1305"/>
        </w:tabs>
        <w:spacing w:line="352" w:lineRule="auto"/>
        <w:ind w:right="119"/>
        <w:jc w:val="both"/>
        <w:rPr>
          <w:rFonts w:ascii="Symbol"/>
          <w:sz w:val="24"/>
        </w:rPr>
      </w:pPr>
      <w:r>
        <w:rPr>
          <w:sz w:val="24"/>
        </w:rPr>
        <w:t>Educational Value: High-performing schools are educational tools to teach significance of energy efficiency to future</w:t>
      </w:r>
      <w:r>
        <w:rPr>
          <w:spacing w:val="-11"/>
          <w:sz w:val="24"/>
        </w:rPr>
        <w:t xml:space="preserve"> </w:t>
      </w:r>
      <w:r>
        <w:rPr>
          <w:sz w:val="24"/>
        </w:rPr>
        <w:t>generations</w:t>
      </w:r>
    </w:p>
    <w:p w:rsidR="00F3177F" w:rsidRDefault="0089671D" w:rsidP="004E1E81">
      <w:pPr>
        <w:pStyle w:val="ListParagraph"/>
        <w:numPr>
          <w:ilvl w:val="0"/>
          <w:numId w:val="49"/>
        </w:numPr>
        <w:tabs>
          <w:tab w:val="left" w:pos="1304"/>
          <w:tab w:val="left" w:pos="1305"/>
        </w:tabs>
        <w:spacing w:before="11" w:line="352" w:lineRule="auto"/>
        <w:ind w:right="117"/>
        <w:jc w:val="both"/>
        <w:rPr>
          <w:rFonts w:ascii="Symbol" w:hAnsi="Symbol"/>
          <w:sz w:val="24"/>
        </w:rPr>
      </w:pPr>
      <w:r>
        <w:rPr>
          <w:sz w:val="24"/>
        </w:rPr>
        <w:t>Student/Teacher Health and Satisfaction: Indoor air quality, lighting and thermal comfort increases students’ outcome and</w:t>
      </w:r>
      <w:r>
        <w:rPr>
          <w:spacing w:val="-7"/>
          <w:sz w:val="24"/>
        </w:rPr>
        <w:t xml:space="preserve"> </w:t>
      </w:r>
      <w:r>
        <w:rPr>
          <w:sz w:val="24"/>
        </w:rPr>
        <w:t>attendances</w:t>
      </w:r>
    </w:p>
    <w:p w:rsidR="00F3177F" w:rsidRDefault="0089671D" w:rsidP="004E1E81">
      <w:pPr>
        <w:pStyle w:val="ListParagraph"/>
        <w:numPr>
          <w:ilvl w:val="0"/>
          <w:numId w:val="49"/>
        </w:numPr>
        <w:tabs>
          <w:tab w:val="left" w:pos="1304"/>
          <w:tab w:val="left" w:pos="1305"/>
        </w:tabs>
        <w:spacing w:before="12" w:line="352" w:lineRule="auto"/>
        <w:ind w:right="114"/>
        <w:jc w:val="both"/>
        <w:rPr>
          <w:rFonts w:ascii="Symbol"/>
          <w:sz w:val="24"/>
        </w:rPr>
      </w:pPr>
      <w:r>
        <w:rPr>
          <w:sz w:val="24"/>
        </w:rPr>
        <w:t>Operational/Financial: EnergySmart Schools reduce energy cost and are more systematic to</w:t>
      </w:r>
      <w:r>
        <w:rPr>
          <w:spacing w:val="-6"/>
          <w:sz w:val="24"/>
        </w:rPr>
        <w:t xml:space="preserve"> </w:t>
      </w:r>
      <w:r>
        <w:rPr>
          <w:sz w:val="24"/>
        </w:rPr>
        <w:t>run.</w:t>
      </w:r>
    </w:p>
    <w:p w:rsidR="00F3177F" w:rsidRDefault="00F3177F">
      <w:pPr>
        <w:pStyle w:val="BodyText"/>
      </w:pPr>
    </w:p>
    <w:p w:rsidR="00F3177F" w:rsidRDefault="0089671D">
      <w:pPr>
        <w:pStyle w:val="BodyText"/>
        <w:spacing w:before="151" w:line="360" w:lineRule="auto"/>
        <w:ind w:left="584" w:right="115"/>
        <w:jc w:val="both"/>
      </w:pPr>
      <w:r>
        <w:t>Environmental benefits due to less carbon footprints and depletion of natural resources should be added to the above-mentioned list. Lane et al. (2014) recommends two basic precautions based on energy efficiency as energy education and building a</w:t>
      </w:r>
      <w:r w:rsidR="004E1E81">
        <w:t xml:space="preserve"> </w:t>
      </w:r>
      <w:r>
        <w:t>school energy policy. To harvest the best results, these two precautions should be combined or</w:t>
      </w:r>
    </w:p>
    <w:p w:rsidR="00F3177F" w:rsidRDefault="0089671D">
      <w:pPr>
        <w:pStyle w:val="ListParagraph"/>
        <w:numPr>
          <w:ilvl w:val="0"/>
          <w:numId w:val="30"/>
        </w:numPr>
        <w:tabs>
          <w:tab w:val="left" w:pos="758"/>
        </w:tabs>
        <w:spacing w:before="4" w:line="360" w:lineRule="auto"/>
        <w:ind w:right="118" w:firstLine="0"/>
        <w:jc w:val="both"/>
        <w:rPr>
          <w:sz w:val="24"/>
        </w:rPr>
      </w:pPr>
      <w:proofErr w:type="gramStart"/>
      <w:r>
        <w:rPr>
          <w:sz w:val="24"/>
        </w:rPr>
        <w:t>even</w:t>
      </w:r>
      <w:proofErr w:type="gramEnd"/>
      <w:r>
        <w:rPr>
          <w:sz w:val="24"/>
        </w:rPr>
        <w:t xml:space="preserve"> better - energy education should be taken as an significant partition in school energy policy. Lane et al. (2014) also state that </w:t>
      </w:r>
      <w:r>
        <w:rPr>
          <w:spacing w:val="2"/>
          <w:sz w:val="24"/>
        </w:rPr>
        <w:t xml:space="preserve">the </w:t>
      </w:r>
      <w:r>
        <w:rPr>
          <w:sz w:val="24"/>
        </w:rPr>
        <w:t>Wisconsin K-12 Energy Education Program (KEEP), as “a statewide energy education program in Wisconsin to promoting the development of energy policy and education plans in the state's schools”, can be</w:t>
      </w:r>
      <w:r w:rsidR="00572996">
        <w:rPr>
          <w:sz w:val="24"/>
        </w:rPr>
        <w:t xml:space="preserve"> </w:t>
      </w:r>
      <w:r>
        <w:rPr>
          <w:sz w:val="24"/>
        </w:rPr>
        <w:t>used as a guideline. The program does not only build a plan for the district but also provides a school energy program framework to be applied. Department for Education and Skills (DfES) (2002a) also delivers a guide to manage school energy and water. The guide summarizes energy management action plan in several steps as</w:t>
      </w:r>
      <w:r>
        <w:rPr>
          <w:spacing w:val="-12"/>
          <w:sz w:val="24"/>
        </w:rPr>
        <w:t xml:space="preserve"> </w:t>
      </w:r>
      <w:r>
        <w:rPr>
          <w:sz w:val="24"/>
        </w:rPr>
        <w:t>follow:</w:t>
      </w:r>
    </w:p>
    <w:p w:rsidR="00F3177F" w:rsidRDefault="0089671D">
      <w:pPr>
        <w:pStyle w:val="ListParagraph"/>
        <w:numPr>
          <w:ilvl w:val="1"/>
          <w:numId w:val="30"/>
        </w:numPr>
        <w:tabs>
          <w:tab w:val="left" w:pos="1304"/>
          <w:tab w:val="left" w:pos="1305"/>
        </w:tabs>
        <w:spacing w:before="6"/>
        <w:rPr>
          <w:sz w:val="24"/>
        </w:rPr>
      </w:pPr>
      <w:r>
        <w:rPr>
          <w:sz w:val="24"/>
        </w:rPr>
        <w:t>Identify current school energy management through a</w:t>
      </w:r>
      <w:r>
        <w:rPr>
          <w:spacing w:val="-12"/>
          <w:sz w:val="24"/>
        </w:rPr>
        <w:t xml:space="preserve"> </w:t>
      </w:r>
      <w:r>
        <w:rPr>
          <w:sz w:val="24"/>
        </w:rPr>
        <w:t>matrix</w:t>
      </w:r>
    </w:p>
    <w:p w:rsidR="00F3177F" w:rsidRDefault="0089671D">
      <w:pPr>
        <w:pStyle w:val="ListParagraph"/>
        <w:numPr>
          <w:ilvl w:val="1"/>
          <w:numId w:val="30"/>
        </w:numPr>
        <w:tabs>
          <w:tab w:val="left" w:pos="1304"/>
          <w:tab w:val="left" w:pos="1305"/>
        </w:tabs>
        <w:rPr>
          <w:sz w:val="24"/>
        </w:rPr>
      </w:pPr>
      <w:r>
        <w:rPr>
          <w:sz w:val="24"/>
        </w:rPr>
        <w:t>Display the current energy</w:t>
      </w:r>
      <w:r>
        <w:rPr>
          <w:spacing w:val="-9"/>
          <w:sz w:val="24"/>
        </w:rPr>
        <w:t xml:space="preserve"> </w:t>
      </w:r>
      <w:r>
        <w:rPr>
          <w:sz w:val="24"/>
        </w:rPr>
        <w:t>cost</w:t>
      </w:r>
    </w:p>
    <w:p w:rsidR="00F3177F" w:rsidRDefault="0089671D">
      <w:pPr>
        <w:pStyle w:val="ListParagraph"/>
        <w:numPr>
          <w:ilvl w:val="1"/>
          <w:numId w:val="30"/>
        </w:numPr>
        <w:tabs>
          <w:tab w:val="left" w:pos="1304"/>
          <w:tab w:val="left" w:pos="1305"/>
        </w:tabs>
        <w:spacing w:before="136"/>
        <w:rPr>
          <w:sz w:val="24"/>
        </w:rPr>
      </w:pPr>
      <w:r>
        <w:rPr>
          <w:sz w:val="24"/>
        </w:rPr>
        <w:t>Assess what and how to</w:t>
      </w:r>
      <w:r>
        <w:rPr>
          <w:spacing w:val="-1"/>
          <w:sz w:val="24"/>
        </w:rPr>
        <w:t xml:space="preserve"> </w:t>
      </w:r>
      <w:r>
        <w:rPr>
          <w:sz w:val="24"/>
        </w:rPr>
        <w:t>improve</w:t>
      </w:r>
    </w:p>
    <w:p w:rsidR="00F3177F" w:rsidRDefault="0089671D">
      <w:pPr>
        <w:pStyle w:val="ListParagraph"/>
        <w:numPr>
          <w:ilvl w:val="1"/>
          <w:numId w:val="30"/>
        </w:numPr>
        <w:tabs>
          <w:tab w:val="left" w:pos="1304"/>
          <w:tab w:val="left" w:pos="1305"/>
        </w:tabs>
        <w:rPr>
          <w:sz w:val="24"/>
        </w:rPr>
      </w:pPr>
      <w:r>
        <w:rPr>
          <w:sz w:val="24"/>
        </w:rPr>
        <w:t>Compare through</w:t>
      </w:r>
      <w:r>
        <w:rPr>
          <w:spacing w:val="-7"/>
          <w:sz w:val="24"/>
        </w:rPr>
        <w:t xml:space="preserve"> </w:t>
      </w:r>
      <w:r>
        <w:rPr>
          <w:sz w:val="24"/>
        </w:rPr>
        <w:t>benchmarking</w:t>
      </w:r>
    </w:p>
    <w:p w:rsidR="00F3177F" w:rsidRDefault="0089671D" w:rsidP="00572996">
      <w:pPr>
        <w:pStyle w:val="ListParagraph"/>
        <w:numPr>
          <w:ilvl w:val="1"/>
          <w:numId w:val="30"/>
        </w:numPr>
        <w:tabs>
          <w:tab w:val="left" w:pos="1304"/>
          <w:tab w:val="left" w:pos="1305"/>
        </w:tabs>
        <w:spacing w:before="22" w:line="410" w:lineRule="atLeast"/>
        <w:ind w:right="119"/>
        <w:jc w:val="both"/>
        <w:rPr>
          <w:sz w:val="24"/>
        </w:rPr>
      </w:pPr>
      <w:r>
        <w:rPr>
          <w:sz w:val="24"/>
        </w:rPr>
        <w:t>Set realistic energy saving/efficiency objectives with low cost or no-cost implementations</w:t>
      </w:r>
    </w:p>
    <w:p w:rsidR="00F3177F" w:rsidRDefault="00F3177F">
      <w:pPr>
        <w:spacing w:line="410" w:lineRule="atLeast"/>
        <w:rPr>
          <w:sz w:val="24"/>
        </w:rPr>
        <w:sectPr w:rsidR="00F3177F">
          <w:pgSz w:w="12240" w:h="15840"/>
          <w:pgMar w:top="1380" w:right="1320" w:bottom="2320" w:left="1720" w:header="0" w:footer="2095" w:gutter="0"/>
          <w:cols w:space="720"/>
        </w:sectPr>
      </w:pPr>
    </w:p>
    <w:p w:rsidR="00F3177F" w:rsidRDefault="0089671D">
      <w:pPr>
        <w:pStyle w:val="ListParagraph"/>
        <w:numPr>
          <w:ilvl w:val="1"/>
          <w:numId w:val="30"/>
        </w:numPr>
        <w:tabs>
          <w:tab w:val="left" w:pos="1304"/>
          <w:tab w:val="left" w:pos="1305"/>
        </w:tabs>
        <w:spacing w:before="34"/>
        <w:rPr>
          <w:sz w:val="24"/>
        </w:rPr>
      </w:pPr>
      <w:r>
        <w:rPr>
          <w:sz w:val="24"/>
        </w:rPr>
        <w:lastRenderedPageBreak/>
        <w:t>Streamline school accommodation for the best</w:t>
      </w:r>
      <w:r>
        <w:rPr>
          <w:spacing w:val="-10"/>
          <w:sz w:val="24"/>
        </w:rPr>
        <w:t xml:space="preserve"> </w:t>
      </w:r>
      <w:r>
        <w:rPr>
          <w:sz w:val="24"/>
        </w:rPr>
        <w:t>efficiency</w:t>
      </w:r>
    </w:p>
    <w:p w:rsidR="00F3177F" w:rsidRDefault="0089671D">
      <w:pPr>
        <w:pStyle w:val="ListParagraph"/>
        <w:numPr>
          <w:ilvl w:val="1"/>
          <w:numId w:val="30"/>
        </w:numPr>
        <w:tabs>
          <w:tab w:val="left" w:pos="1304"/>
          <w:tab w:val="left" w:pos="1305"/>
        </w:tabs>
        <w:rPr>
          <w:sz w:val="24"/>
        </w:rPr>
      </w:pPr>
      <w:r>
        <w:rPr>
          <w:sz w:val="24"/>
        </w:rPr>
        <w:t>Sustain school energy and energy linked</w:t>
      </w:r>
      <w:r>
        <w:rPr>
          <w:spacing w:val="-10"/>
          <w:sz w:val="24"/>
        </w:rPr>
        <w:t xml:space="preserve"> </w:t>
      </w:r>
      <w:r>
        <w:rPr>
          <w:sz w:val="24"/>
        </w:rPr>
        <w:t>systems</w:t>
      </w:r>
    </w:p>
    <w:p w:rsidR="00F3177F" w:rsidRDefault="0089671D">
      <w:pPr>
        <w:pStyle w:val="ListParagraph"/>
        <w:numPr>
          <w:ilvl w:val="1"/>
          <w:numId w:val="30"/>
        </w:numPr>
        <w:tabs>
          <w:tab w:val="left" w:pos="1304"/>
          <w:tab w:val="left" w:pos="1305"/>
        </w:tabs>
        <w:spacing w:before="135"/>
        <w:rPr>
          <w:sz w:val="24"/>
        </w:rPr>
      </w:pPr>
      <w:r>
        <w:rPr>
          <w:sz w:val="24"/>
        </w:rPr>
        <w:t>Compute the economic energy</w:t>
      </w:r>
      <w:r>
        <w:rPr>
          <w:spacing w:val="-7"/>
          <w:sz w:val="24"/>
        </w:rPr>
        <w:t xml:space="preserve"> </w:t>
      </w:r>
      <w:r>
        <w:rPr>
          <w:sz w:val="24"/>
        </w:rPr>
        <w:t>costs</w:t>
      </w:r>
    </w:p>
    <w:p w:rsidR="00F3177F" w:rsidRDefault="0089671D">
      <w:pPr>
        <w:pStyle w:val="ListParagraph"/>
        <w:numPr>
          <w:ilvl w:val="1"/>
          <w:numId w:val="30"/>
        </w:numPr>
        <w:tabs>
          <w:tab w:val="left" w:pos="1304"/>
          <w:tab w:val="left" w:pos="1305"/>
        </w:tabs>
        <w:rPr>
          <w:sz w:val="24"/>
        </w:rPr>
      </w:pPr>
      <w:r>
        <w:rPr>
          <w:sz w:val="24"/>
        </w:rPr>
        <w:t>Instruct and train school</w:t>
      </w:r>
      <w:r>
        <w:rPr>
          <w:spacing w:val="-6"/>
          <w:sz w:val="24"/>
        </w:rPr>
        <w:t xml:space="preserve"> </w:t>
      </w:r>
      <w:r>
        <w:rPr>
          <w:sz w:val="24"/>
        </w:rPr>
        <w:t>members</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22"/>
        <w:jc w:val="both"/>
      </w:pPr>
      <w:r>
        <w:t>A simplified energy management guideline by EnergyStar of the U.S. Environmental Protection Agency Program (2013) is given below in Figure 6:</w:t>
      </w:r>
    </w:p>
    <w:p w:rsidR="00F3177F" w:rsidRDefault="00F3177F">
      <w:pPr>
        <w:pStyle w:val="BodyText"/>
        <w:rPr>
          <w:sz w:val="20"/>
        </w:rPr>
      </w:pPr>
    </w:p>
    <w:p w:rsidR="00F3177F" w:rsidRDefault="0089671D">
      <w:pPr>
        <w:pStyle w:val="BodyText"/>
        <w:spacing w:before="5"/>
        <w:rPr>
          <w:sz w:val="13"/>
        </w:rPr>
      </w:pPr>
      <w:r>
        <w:rPr>
          <w:noProof/>
        </w:rPr>
        <w:drawing>
          <wp:anchor distT="0" distB="0" distL="0" distR="0" simplePos="0" relativeHeight="1096" behindDoc="0" locked="0" layoutInCell="1" allowOverlap="1">
            <wp:simplePos x="0" y="0"/>
            <wp:positionH relativeFrom="page">
              <wp:posOffset>2426970</wp:posOffset>
            </wp:positionH>
            <wp:positionV relativeFrom="paragraph">
              <wp:posOffset>123453</wp:posOffset>
            </wp:positionV>
            <wp:extent cx="3469912" cy="28575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6" cstate="print"/>
                    <a:stretch>
                      <a:fillRect/>
                    </a:stretch>
                  </pic:blipFill>
                  <pic:spPr>
                    <a:xfrm>
                      <a:off x="0" y="0"/>
                      <a:ext cx="3469912" cy="2857500"/>
                    </a:xfrm>
                    <a:prstGeom prst="rect">
                      <a:avLst/>
                    </a:prstGeom>
                  </pic:spPr>
                </pic:pic>
              </a:graphicData>
            </a:graphic>
          </wp:anchor>
        </w:drawing>
      </w:r>
    </w:p>
    <w:p w:rsidR="00F3177F" w:rsidRDefault="0089671D">
      <w:pPr>
        <w:pStyle w:val="BodyText"/>
        <w:spacing w:before="101"/>
        <w:ind w:left="1501" w:right="1032" w:firstLine="785"/>
      </w:pPr>
      <w:r>
        <w:t xml:space="preserve">Figure 6: A simplified energy management guideline </w:t>
      </w:r>
      <w:r>
        <w:rPr>
          <w:spacing w:val="-3"/>
        </w:rPr>
        <w:t xml:space="preserve">(Source:  EnergyStar, </w:t>
      </w:r>
      <w:r>
        <w:t xml:space="preserve">2013. </w:t>
      </w:r>
      <w:r>
        <w:rPr>
          <w:spacing w:val="-3"/>
        </w:rPr>
        <w:t xml:space="preserve">Guidelines </w:t>
      </w:r>
      <w:r>
        <w:t xml:space="preserve">for Energy </w:t>
      </w:r>
      <w:r>
        <w:rPr>
          <w:spacing w:val="-3"/>
        </w:rPr>
        <w:t xml:space="preserve">Management. </w:t>
      </w:r>
      <w:r>
        <w:t>p. 2.)</w:t>
      </w:r>
    </w:p>
    <w:p w:rsidR="00F3177F" w:rsidRDefault="00F3177F">
      <w:pPr>
        <w:pStyle w:val="BodyText"/>
      </w:pPr>
    </w:p>
    <w:p w:rsidR="00F3177F" w:rsidRDefault="00F3177F">
      <w:pPr>
        <w:pStyle w:val="BodyText"/>
        <w:spacing w:before="2"/>
      </w:pPr>
    </w:p>
    <w:p w:rsidR="00F3177F" w:rsidRDefault="0089671D">
      <w:pPr>
        <w:pStyle w:val="BodyText"/>
        <w:spacing w:line="360" w:lineRule="auto"/>
        <w:ind w:left="584" w:right="117"/>
        <w:jc w:val="both"/>
      </w:pPr>
      <w:r>
        <w:t>Inspecting successful samples and a detailed school energy policy matrix is a good start to build a school energy policy. For instance, KEEP can be very useful at least to have a practical guideline for a start. As an energy management matrix, the matrix by National Building Specification’s Energy Management Guide (1993) has been used directly or with some variations by various organizations, such as National College for Teaching and Leadership (National College for Teaching &amp; Leadership, n.d.) and in the guideline called “A Whole School Approach” by Carbon Trust funded by the UK Department   of</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2"/>
        <w:jc w:val="both"/>
      </w:pPr>
      <w:r>
        <w:lastRenderedPageBreak/>
        <w:t>Energy and Climate Change. It is a five-level matrix with Energy Policy, Organizing, Motivation, Information Systems, Marketing and Investment as evaluating and development variables. Some organizations such as Wiltshire Council (Wiltshire Council, 2013) use “Training, Performance Measurement and communicating as variation. The lowest level is considered as “no explicit (energy) policy” and the highest one as “energy policy action plan and regular review have active commitment of top management as part of a corporate strategy”.</w:t>
      </w:r>
    </w:p>
    <w:p w:rsidR="00F3177F" w:rsidRDefault="00F3177F">
      <w:pPr>
        <w:pStyle w:val="BodyText"/>
      </w:pPr>
    </w:p>
    <w:p w:rsidR="00F3177F" w:rsidRDefault="0089671D">
      <w:pPr>
        <w:pStyle w:val="BodyText"/>
        <w:spacing w:before="143" w:line="360" w:lineRule="auto"/>
        <w:ind w:left="584" w:right="116"/>
        <w:jc w:val="both"/>
      </w:pPr>
      <w:r>
        <w:t>School energy education is an important part of school energy policy. Schools can arrange lectures, energy efficiency/performance information sessions and meetings, in- service trainings, science fairs, informative poster competitions etc. to attract students’ and staff’s attention to energy savings and efficiency, and prompt them to take more actions. On-the-walk school energy survey with students and staff can also serve for the purpose.</w:t>
      </w:r>
    </w:p>
    <w:p w:rsidR="00F3177F" w:rsidRDefault="00F3177F">
      <w:pPr>
        <w:pStyle w:val="BodyText"/>
      </w:pPr>
    </w:p>
    <w:p w:rsidR="00F3177F" w:rsidRDefault="0089671D">
      <w:pPr>
        <w:pStyle w:val="BodyText"/>
        <w:spacing w:before="143" w:line="360" w:lineRule="auto"/>
        <w:ind w:left="584" w:right="118"/>
        <w:jc w:val="both"/>
      </w:pPr>
      <w:r>
        <w:t>A sample primary school energy policy by Court Farm Primary School (2014) is given in Appendix B.</w:t>
      </w:r>
    </w:p>
    <w:p w:rsidR="00F3177F" w:rsidRDefault="00F3177F">
      <w:pPr>
        <w:pStyle w:val="BodyText"/>
      </w:pPr>
    </w:p>
    <w:p w:rsidR="00F3177F" w:rsidRDefault="00F3177F">
      <w:pPr>
        <w:pStyle w:val="BodyText"/>
        <w:spacing w:before="9"/>
      </w:pPr>
    </w:p>
    <w:p w:rsidR="00F3177F" w:rsidRDefault="0089671D">
      <w:pPr>
        <w:pStyle w:val="Heading2"/>
        <w:numPr>
          <w:ilvl w:val="1"/>
          <w:numId w:val="31"/>
        </w:numPr>
        <w:tabs>
          <w:tab w:val="left" w:pos="1065"/>
        </w:tabs>
        <w:ind w:left="1064" w:hanging="480"/>
        <w:jc w:val="both"/>
      </w:pPr>
      <w:r>
        <w:t>Energy Consumption, School Environment &amp; Students’</w:t>
      </w:r>
      <w:r>
        <w:rPr>
          <w:spacing w:val="-18"/>
        </w:rPr>
        <w:t xml:space="preserve"> </w:t>
      </w:r>
      <w:r>
        <w:t>Comfort</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1"/>
        <w:jc w:val="both"/>
      </w:pPr>
      <w:r>
        <w:t>Energy consumption in schools keep increasing due to some factors such as the use of more equipment of technology, ventilation systems owing to the global warming, more opportunities for education and raise in life standards. Moreover, Burgos-Jiménez et al. (2013) claim that there is an affirmative and substantial link between monetary performance and “environmental performance” (Burgos-Jiménez et al., 2013). Research results, for instance in Luxembourg (Thewes et al., 2014) and in Scotland (Dobson &amp; Carter, 2010) support the notion. Consequently, energy consumption has become a student-</w:t>
      </w:r>
      <w:proofErr w:type="gramStart"/>
      <w:r>
        <w:t>comfort  related</w:t>
      </w:r>
      <w:proofErr w:type="gramEnd"/>
      <w:r>
        <w:t xml:space="preserve">  issue and  brought  about  several  scientific  researches  on the</w:t>
      </w:r>
    </w:p>
    <w:p w:rsidR="00F3177F" w:rsidRDefault="0089671D" w:rsidP="00572996">
      <w:pPr>
        <w:pStyle w:val="BodyText"/>
        <w:spacing w:before="4"/>
        <w:ind w:left="584"/>
        <w:jc w:val="both"/>
        <w:sectPr w:rsidR="00F3177F">
          <w:pgSz w:w="12240" w:h="15840"/>
          <w:pgMar w:top="1380" w:right="1320" w:bottom="2320" w:left="1720" w:header="0" w:footer="2095" w:gutter="0"/>
          <w:cols w:space="720"/>
        </w:sectPr>
      </w:pPr>
      <w:proofErr w:type="gramStart"/>
      <w:r>
        <w:t>topic</w:t>
      </w:r>
      <w:proofErr w:type="gramEnd"/>
      <w:r>
        <w:t>, as in Griffiths &amp; Eftekhari (2008) and Pegas et al. (2011). As Lourenço (2014)</w:t>
      </w:r>
      <w:r w:rsidR="00572996">
        <w:t xml:space="preserve"> </w:t>
      </w:r>
    </w:p>
    <w:p w:rsidR="00F3177F" w:rsidRDefault="0089671D">
      <w:pPr>
        <w:pStyle w:val="BodyText"/>
        <w:spacing w:before="54" w:line="360" w:lineRule="auto"/>
        <w:ind w:left="584" w:right="117"/>
        <w:jc w:val="both"/>
      </w:pPr>
      <w:proofErr w:type="gramStart"/>
      <w:r>
        <w:lastRenderedPageBreak/>
        <w:t>states</w:t>
      </w:r>
      <w:proofErr w:type="gramEnd"/>
      <w:r>
        <w:t xml:space="preserve"> this increasing relation also changes “energy consumption patterns”. One of the energy consumption related aspects is occupants’ comfort and satisfaction, and evaluation of dwellers' contentment towards IEQ is usual procedure to assess IAQ and thermal well-being (Fabbri, 2013). Frontczak and Wargocki (2013) point out through their literature review that IEQ affects efficiency, education and improvement. Furthermore, according to Bakó-Biró’s et al. (2012) investigation, </w:t>
      </w:r>
      <w:proofErr w:type="gramStart"/>
      <w:r>
        <w:t>poor  ventilation</w:t>
      </w:r>
      <w:proofErr w:type="gramEnd"/>
      <w:r>
        <w:t xml:space="preserve"> drops memory and concentration. According to Boerstra and Froukje (2010) increasing number of evidences show that poor ventilation and improper thermal conditions in classrooms are partially responsible for the decrease in students’ learning performance and the increase in their absenteeism. Yet, it is difficult to say schools provide proper indoor environmental conditions at least on average. Wargocki and Wyon (2013) assert that elementary schools even in prosperous countries often provide worse</w:t>
      </w:r>
      <w:r w:rsidR="00301F2B">
        <w:t xml:space="preserve"> </w:t>
      </w:r>
      <w:r>
        <w:t>environmental circumstances in comparison with office</w:t>
      </w:r>
      <w:r>
        <w:rPr>
          <w:spacing w:val="-8"/>
        </w:rPr>
        <w:t xml:space="preserve"> </w:t>
      </w:r>
      <w:r>
        <w:t>buildings.</w:t>
      </w:r>
    </w:p>
    <w:p w:rsidR="00F3177F" w:rsidRDefault="00F3177F">
      <w:pPr>
        <w:pStyle w:val="BodyText"/>
      </w:pPr>
    </w:p>
    <w:p w:rsidR="00F3177F" w:rsidRDefault="0089671D">
      <w:pPr>
        <w:pStyle w:val="BodyText"/>
        <w:spacing w:before="143" w:line="360" w:lineRule="auto"/>
        <w:ind w:left="584" w:right="116"/>
        <w:jc w:val="both"/>
      </w:pPr>
      <w:r>
        <w:t>The problem is not simply solved by consuming more energy since some researches show that even high energy consuming schools do not provide environmental comfort for students. For instance, in Slovenia 60% of students complained about the poor indoor air quality in their schools with the highest energy consumption (Butala &amp; Novak, 1999). Also, Berner (1993) found a relation between inadequate care for school facilities and children’s unsatisfactory school</w:t>
      </w:r>
      <w:r>
        <w:rPr>
          <w:spacing w:val="-7"/>
        </w:rPr>
        <w:t xml:space="preserve"> </w:t>
      </w:r>
      <w:r>
        <w:t>results.</w:t>
      </w:r>
    </w:p>
    <w:p w:rsidR="00F3177F" w:rsidRDefault="00F3177F">
      <w:pPr>
        <w:pStyle w:val="BodyText"/>
      </w:pPr>
    </w:p>
    <w:p w:rsidR="00F3177F" w:rsidRDefault="0089671D" w:rsidP="00301F2B">
      <w:pPr>
        <w:pStyle w:val="BodyText"/>
        <w:spacing w:before="143" w:line="360" w:lineRule="auto"/>
        <w:ind w:left="584" w:right="115"/>
        <w:jc w:val="both"/>
      </w:pPr>
      <w:r>
        <w:t>Today the concept of indoor environmental comfort mainly covers indoor thermal, visual, acoustic comfort and air quality. These four features of indoor environmental quality and consequently comfort interrelate with each other and can affect general interior well-being and energy consumption of the facility (Catalina &amp; Iordache, 2012). Thus, energy efficiency, costs and students’ comfort should be handled together and it requires co-operation of different scientific and practical fields. Figure 5 in the section “2.7.1 Energy Consumptions in Schools” provides U.S.’s school typical energy usage outline and according to the figure, 80% of school energy consumption goes to space</w:t>
      </w:r>
      <w:r w:rsidR="00301F2B">
        <w:t xml:space="preserve"> </w:t>
      </w:r>
      <w:r>
        <w:lastRenderedPageBreak/>
        <w:t>heating, lighting, cooling and ventilation as the four functions with the highest energy consumption percentages. These four functions of energy consumption are correlated with thermal and visual comfort and IAQ. These four concepts are explained in the following sections.</w:t>
      </w:r>
    </w:p>
    <w:p w:rsidR="00F3177F" w:rsidRDefault="00F3177F">
      <w:pPr>
        <w:pStyle w:val="BodyText"/>
      </w:pPr>
    </w:p>
    <w:p w:rsidR="00F3177F" w:rsidRDefault="00F3177F">
      <w:pPr>
        <w:pStyle w:val="BodyText"/>
        <w:spacing w:before="11"/>
      </w:pPr>
    </w:p>
    <w:p w:rsidR="00F3177F" w:rsidRDefault="0089671D">
      <w:pPr>
        <w:pStyle w:val="Heading2"/>
        <w:numPr>
          <w:ilvl w:val="2"/>
          <w:numId w:val="31"/>
        </w:numPr>
        <w:tabs>
          <w:tab w:val="left" w:pos="1245"/>
        </w:tabs>
        <w:jc w:val="both"/>
      </w:pPr>
      <w:r>
        <w:t>Thermal</w:t>
      </w:r>
      <w:r>
        <w:rPr>
          <w:spacing w:val="-7"/>
        </w:rPr>
        <w:t xml:space="preserve"> </w:t>
      </w:r>
      <w:r>
        <w:t>Comfort</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4"/>
        <w:jc w:val="both"/>
      </w:pPr>
      <w:r>
        <w:t>A human body’s thermal steadiness can be achieved if body temperature is balanced with the environmental heat to allow human body heat to dispel. Individual factors such as dressing and personal metabolic/mental state, and environmental factors such as surrounding temperature, ventilation rate, unfavorably cold or hot window and wall surfaces, humidity and mean radiant temperature on walls and other surfaces (Kamarruzzaman &amp; Tazila, 2013) and body heat exchange can play a role on a person’s thermal comfort. Studies on occupants’ thermal comfort show that people in a thermally comfortable environment are more productive (Huizenga et. al., 2006) and healthier (Myhren &amp; Holmberg, 2007). Wargocki and Wyon (2013) state that based on earlier studies thermal circumstances and children’s appropriate scholastic growth are strongly related.</w:t>
      </w:r>
    </w:p>
    <w:p w:rsidR="00F3177F" w:rsidRDefault="00F3177F">
      <w:pPr>
        <w:pStyle w:val="BodyText"/>
      </w:pPr>
    </w:p>
    <w:p w:rsidR="00F3177F" w:rsidRDefault="0089671D">
      <w:pPr>
        <w:pStyle w:val="BodyText"/>
        <w:spacing w:before="143" w:line="345" w:lineRule="auto"/>
        <w:ind w:left="584" w:right="116"/>
        <w:jc w:val="both"/>
      </w:pPr>
      <w:r>
        <w:t>One of the earliest researches concerning relationships between higher heats and students’ academic outcome was carried out by Holmberg and Wyon in 1969. According to their results, children’s performance in classrooms with a temperature of 27 and 30</w:t>
      </w:r>
      <w:r>
        <w:rPr>
          <w:position w:val="11"/>
          <w:sz w:val="16"/>
        </w:rPr>
        <w:t>o</w:t>
      </w:r>
      <w:r>
        <w:t>C were as lower as 30% in comparison with the students’ performance in the classroom with a temperature of 20</w:t>
      </w:r>
      <w:r>
        <w:rPr>
          <w:position w:val="11"/>
          <w:sz w:val="16"/>
        </w:rPr>
        <w:t>O</w:t>
      </w:r>
      <w:r>
        <w:t>C  (Holmberg &amp; Wyon,</w:t>
      </w:r>
      <w:r>
        <w:rPr>
          <w:spacing w:val="-7"/>
        </w:rPr>
        <w:t xml:space="preserve"> </w:t>
      </w:r>
      <w:r>
        <w:t>1969).</w:t>
      </w:r>
    </w:p>
    <w:p w:rsidR="00F3177F" w:rsidRDefault="00F3177F">
      <w:pPr>
        <w:pStyle w:val="BodyText"/>
        <w:spacing w:before="4"/>
        <w:rPr>
          <w:sz w:val="36"/>
        </w:rPr>
      </w:pPr>
    </w:p>
    <w:p w:rsidR="00F3177F" w:rsidRDefault="0089671D">
      <w:pPr>
        <w:pStyle w:val="BodyText"/>
        <w:spacing w:line="360" w:lineRule="auto"/>
        <w:ind w:left="584" w:right="113"/>
        <w:jc w:val="both"/>
      </w:pPr>
      <w:r>
        <w:t xml:space="preserve">ANSI/ASHRAE Standard 55 describes thermal comfort as mental comfort with the thermal surroundings and is evaluated by individual estimation (ANSI/ASHRAE, 2013) making thermal satisfaction the key objective in school building design (Haddad et.  </w:t>
      </w:r>
      <w:proofErr w:type="gramStart"/>
      <w:r>
        <w:t>al</w:t>
      </w:r>
      <w:proofErr w:type="gramEnd"/>
      <w:r>
        <w:t>.,</w:t>
      </w:r>
    </w:p>
    <w:p w:rsidR="00F3177F" w:rsidRDefault="0089671D" w:rsidP="00301F2B">
      <w:pPr>
        <w:pStyle w:val="BodyText"/>
        <w:spacing w:before="4"/>
        <w:ind w:left="584"/>
        <w:jc w:val="both"/>
      </w:pPr>
      <w:r>
        <w:t>2012).   According   to   Kamarruzzaman   and   Tazila   (2013),   several   factors   from</w:t>
      </w:r>
      <w:r w:rsidR="00301F2B">
        <w:t xml:space="preserve"> </w:t>
      </w:r>
      <w:r>
        <w:lastRenderedPageBreak/>
        <w:t>temperature from electrical illumination to construction envelope can affect thermal satisfaction.</w:t>
      </w:r>
    </w:p>
    <w:p w:rsidR="00F3177F" w:rsidRDefault="00F3177F">
      <w:pPr>
        <w:pStyle w:val="BodyText"/>
      </w:pPr>
    </w:p>
    <w:p w:rsidR="00F3177F" w:rsidRDefault="0089671D">
      <w:pPr>
        <w:pStyle w:val="BodyText"/>
        <w:spacing w:before="143"/>
        <w:ind w:left="584"/>
        <w:jc w:val="both"/>
      </w:pPr>
      <w:r>
        <w:t>According to the ANSI/ASHRAE Standard 55 (2013), an average person at rest with   a</w:t>
      </w:r>
    </w:p>
    <w:p w:rsidR="00F3177F" w:rsidRDefault="0089671D">
      <w:pPr>
        <w:pStyle w:val="ListParagraph"/>
        <w:numPr>
          <w:ilvl w:val="1"/>
          <w:numId w:val="29"/>
        </w:numPr>
        <w:tabs>
          <w:tab w:val="left" w:pos="973"/>
        </w:tabs>
        <w:spacing w:before="139" w:line="360" w:lineRule="auto"/>
        <w:ind w:right="118" w:firstLine="0"/>
        <w:jc w:val="both"/>
        <w:rPr>
          <w:sz w:val="24"/>
        </w:rPr>
      </w:pPr>
      <w:proofErr w:type="gramStart"/>
      <w:r>
        <w:rPr>
          <w:sz w:val="24"/>
        </w:rPr>
        <w:t>m²</w:t>
      </w:r>
      <w:proofErr w:type="gramEnd"/>
      <w:r>
        <w:rPr>
          <w:sz w:val="24"/>
        </w:rPr>
        <w:t xml:space="preserve"> body-surface area produces 1.71 Btu per hour and this average is called as ‘1 met’. A human’s metabolic rate can change between 0.7 and 2.0 (or above) met depending on the activity (s</w:t>
      </w:r>
      <w:proofErr w:type="gramStart"/>
      <w:r>
        <w:rPr>
          <w:sz w:val="24"/>
        </w:rPr>
        <w:t>)he</w:t>
      </w:r>
      <w:proofErr w:type="gramEnd"/>
      <w:r>
        <w:rPr>
          <w:sz w:val="24"/>
        </w:rPr>
        <w:t xml:space="preserve"> is involved. Along with ‘met’ as person’s thermal state, eating habits and body shape can also influence an individual’s metabolic rate and consequently thermal comfort (Szokolay, 2010, p.16-22). Furthermore, unfavorably low (&lt; 20-30%) and high (&gt; 60%) relative humidity can cause discomfort by affecting skin evaporation (Balaras et. al.,</w:t>
      </w:r>
      <w:r>
        <w:rPr>
          <w:spacing w:val="-7"/>
          <w:sz w:val="24"/>
        </w:rPr>
        <w:t xml:space="preserve"> </w:t>
      </w:r>
      <w:r>
        <w:rPr>
          <w:sz w:val="24"/>
        </w:rPr>
        <w:t>2007).</w:t>
      </w:r>
    </w:p>
    <w:p w:rsidR="00F3177F" w:rsidRDefault="00F3177F">
      <w:pPr>
        <w:pStyle w:val="BodyText"/>
      </w:pPr>
    </w:p>
    <w:p w:rsidR="00F3177F" w:rsidRDefault="0089671D">
      <w:pPr>
        <w:pStyle w:val="BodyText"/>
        <w:spacing w:before="143" w:line="360" w:lineRule="auto"/>
        <w:ind w:left="584" w:right="114"/>
        <w:jc w:val="both"/>
      </w:pPr>
      <w:r>
        <w:t xml:space="preserve">Although students spend 1/3 of their lives in schools and environmental conditions can affect their outcome more than adults in offices since they are more vulnerable </w:t>
      </w:r>
      <w:proofErr w:type="gramStart"/>
      <w:r>
        <w:t>to  hostile</w:t>
      </w:r>
      <w:proofErr w:type="gramEnd"/>
      <w:r>
        <w:t xml:space="preserve"> environment, there are fewer studies on the environmental effects on students’ comfort and success (Wyon &amp; Wargocki, 2006, p. 181-192). Yet, it can be derived from relevant literature that extreme conditions of temperature and humidity reduce students’ attention span (Zeiler &amp; Boxem, 2009), and their work speed and manual skills decrease in colder temperatures rather than warmer ones (Levin, 1995). Increasing number of electrical ventilation systems opens a new area of research on the effects </w:t>
      </w:r>
      <w:proofErr w:type="gramStart"/>
      <w:r>
        <w:t>of  new</w:t>
      </w:r>
      <w:proofErr w:type="gramEnd"/>
      <w:r>
        <w:t xml:space="preserve"> systems and mixed ventilation applications, along with the new school building designs. Unfortunately, thermal comfort in numerous naturally ventilated schools are below the American Society of Heating, Refrigeration and Air Conditioning Engineers (ASHRAE) standards (Kwok &amp; Chun, 2003) and naturally ventilated buildings are usually colder in winters and warmer in summers than the buildings with HVAC systems (Frontczak &amp; Wargocki, 2011). Elbayoumi et al. (2014) state that “the seasonal ﬂuctuation of ambient temperature and relative humidity and as a result the ventilation rate” can lead to sick building syndrome and reduce students’ acuity and</w:t>
      </w:r>
      <w:r>
        <w:rPr>
          <w:spacing w:val="-10"/>
        </w:rPr>
        <w:t xml:space="preserve"> </w:t>
      </w:r>
      <w:r>
        <w:t>output.</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4"/>
        <w:jc w:val="both"/>
      </w:pPr>
      <w:r>
        <w:lastRenderedPageBreak/>
        <w:t>The two thermal comfort models, the adaptive model which can be more suitable for naturally ventilated buildings and the Predicted Mean Vote (PMV) which can be more appropriate for the building under thermal control, are often used for thermal comfort of buildings. PMV, constructed on four environmental variables as air temperature, air rate and moisture in the air and mean radiant temperature along with two individual variables as metabolic rate and dress insulation, takes the (indoor environment) predicted percentage of people dissatisfied (PPD) into account to calculate the mean comfort vote of occupants while the adaptive model places a key role on an individual’s adaptive behavior such as activity, clothing, position and outdoor temperature (Haddad et. al., 2012). PMV index establishes a seven-level temperature scale from cold to hot. According to the PMV and PPD indexes, an individual’s thermal balance/comfort is achieved if the body heat loss and body metabolic temperature are the same (PMV=0) (Conceiçao et al., 2009). The adaptive model, the indoor comfort temperature is correlated with regional climate and individuals in various regions can feel comfortable with different temperatures (Humphreys &amp; Nicol,</w:t>
      </w:r>
      <w:r>
        <w:rPr>
          <w:spacing w:val="-9"/>
        </w:rPr>
        <w:t xml:space="preserve"> </w:t>
      </w:r>
      <w:r>
        <w:t>1998).</w:t>
      </w:r>
    </w:p>
    <w:p w:rsidR="00F3177F" w:rsidRDefault="00F3177F">
      <w:pPr>
        <w:pStyle w:val="BodyText"/>
      </w:pPr>
    </w:p>
    <w:p w:rsidR="00F3177F" w:rsidRDefault="0089671D">
      <w:pPr>
        <w:pStyle w:val="BodyText"/>
        <w:spacing w:before="143" w:line="360" w:lineRule="auto"/>
        <w:ind w:left="584" w:right="118"/>
        <w:jc w:val="both"/>
      </w:pPr>
      <w:r>
        <w:t>When it comes to the standards, CBE Thermal Comfort Tool for ANSI/ASHRAE Standard 55, European thermal comfort standards EN 15251, International Organization for Standardisation (ISO) 7730 and Predicted Percentage Dissatisfied (PPD) directories can be used for thermal comfort analysis and calculations (Olesen &amp; Parsons, 2002) although in tropic zones such as Malaysia building occupants can adapt to higher temperatures that are beyond the ASHRAE comfort zone (Hussein &amp; Rahman, 2009).</w:t>
      </w:r>
    </w:p>
    <w:p w:rsidR="00F3177F" w:rsidRDefault="00F3177F">
      <w:pPr>
        <w:pStyle w:val="BodyText"/>
      </w:pPr>
    </w:p>
    <w:p w:rsidR="00F3177F" w:rsidRDefault="00F3177F">
      <w:pPr>
        <w:pStyle w:val="BodyText"/>
        <w:spacing w:before="11"/>
      </w:pPr>
    </w:p>
    <w:p w:rsidR="00F3177F" w:rsidRDefault="0089671D">
      <w:pPr>
        <w:pStyle w:val="Heading2"/>
        <w:numPr>
          <w:ilvl w:val="2"/>
          <w:numId w:val="28"/>
        </w:numPr>
        <w:tabs>
          <w:tab w:val="left" w:pos="1245"/>
        </w:tabs>
        <w:jc w:val="both"/>
      </w:pPr>
      <w:r>
        <w:t>Indoor Air Quality</w:t>
      </w:r>
      <w:r>
        <w:rPr>
          <w:spacing w:val="-5"/>
        </w:rPr>
        <w:t xml:space="preserve"> </w:t>
      </w:r>
      <w:r>
        <w:t>(IAQ)</w:t>
      </w:r>
    </w:p>
    <w:p w:rsidR="00F3177F" w:rsidRDefault="00F3177F">
      <w:pPr>
        <w:pStyle w:val="BodyText"/>
        <w:rPr>
          <w:b/>
        </w:rPr>
      </w:pPr>
    </w:p>
    <w:p w:rsidR="00F3177F" w:rsidRDefault="00F3177F">
      <w:pPr>
        <w:pStyle w:val="BodyText"/>
        <w:spacing w:before="7"/>
        <w:rPr>
          <w:b/>
          <w:sz w:val="23"/>
        </w:rPr>
      </w:pPr>
    </w:p>
    <w:p w:rsidR="00F3177F" w:rsidRDefault="0089671D" w:rsidP="006E73E4">
      <w:pPr>
        <w:pStyle w:val="BodyText"/>
        <w:spacing w:line="360" w:lineRule="auto"/>
        <w:ind w:left="584" w:right="114"/>
        <w:jc w:val="both"/>
      </w:pPr>
      <w:r>
        <w:t>Hostile consequences related to poor IAQ on people’s health let alone children’s is obvious. Studies on IAQ and students’ comfort indicate that IAQ in numerous countries are below the satisfying levels and they, along with increasing number of students, are</w:t>
      </w:r>
      <w:r w:rsidR="006E73E4">
        <w:t xml:space="preserve"> </w:t>
      </w:r>
      <w:r>
        <w:t>the primary reason for several illnesses such as communicable ailments and sick</w:t>
      </w:r>
      <w:r w:rsidR="006E73E4">
        <w:t xml:space="preserve"> </w:t>
      </w:r>
      <w:r>
        <w:lastRenderedPageBreak/>
        <w:t>building syndrome (Daisey et. al, 2003). Additionally, poor ventilation is the cause of</w:t>
      </w:r>
      <w:r w:rsidR="006E73E4">
        <w:t xml:space="preserve"> </w:t>
      </w:r>
      <w:r>
        <w:t>up to 20% of absenteeism (Clements-Croome et. al, 2008) and poorer students’ performance (Wargocki &amp; Wyon, 2007a). On the other side, Bakó-Biró et al. (2012) displayed that better air circulations increased students’ performance of computer-based psychological diagnostic tests and writing that demand mathematical and linguistic abilities. Also, Satish’s et al. (2011, p. 574) test on people’s performance of decision making proved that at CO</w:t>
      </w:r>
      <w:r>
        <w:rPr>
          <w:position w:val="-2"/>
          <w:sz w:val="16"/>
        </w:rPr>
        <w:t xml:space="preserve">2 </w:t>
      </w:r>
      <w:r>
        <w:t>levels of 2500 ppm people’s decision making abilities become marginal or</w:t>
      </w:r>
      <w:r>
        <w:rPr>
          <w:spacing w:val="-7"/>
        </w:rPr>
        <w:t xml:space="preserve"> </w:t>
      </w:r>
      <w:r>
        <w:t>dysfunctional.</w:t>
      </w:r>
    </w:p>
    <w:p w:rsidR="00F3177F" w:rsidRDefault="00F3177F">
      <w:pPr>
        <w:pStyle w:val="BodyText"/>
      </w:pPr>
    </w:p>
    <w:p w:rsidR="00F3177F" w:rsidRDefault="0089671D">
      <w:pPr>
        <w:pStyle w:val="BodyText"/>
        <w:spacing w:before="146" w:line="360" w:lineRule="auto"/>
        <w:ind w:left="584" w:right="114"/>
        <w:jc w:val="both"/>
      </w:pPr>
      <w:r>
        <w:t>Children spending great amount of time at schools are exposed to different sources of pollution. Indoor Air pollutants can come from inside or/and outside which should be observed well in spite of use of a proper HVAC system because air pollutants include tiny particles such as fibers, dust, mold, bacteria, unfavorable gas molecules etc. Pollutants can vary according to time, season, location and societal issues. As classroom ventilation rates are poorer than the given standards and children’s metabolisms are more sensitive, they are more likely to suffer from long term consequences. Taking into consideration that increasing number of artificial ventilation systems are needed to be used in classrooms due to global warming, the issue is becoming more crucial. On the other hand, high quality of indoor air and outdoor air supply rates with more than 25 liters each second increase students’ accuracy and speed (Wargocki &amp; Wyon, 2007b).</w:t>
      </w:r>
    </w:p>
    <w:p w:rsidR="00F3177F" w:rsidRDefault="00F3177F">
      <w:pPr>
        <w:pStyle w:val="BodyText"/>
      </w:pPr>
    </w:p>
    <w:p w:rsidR="00F3177F" w:rsidRDefault="0089671D">
      <w:pPr>
        <w:pStyle w:val="BodyText"/>
        <w:spacing w:before="143" w:line="360" w:lineRule="auto"/>
        <w:ind w:left="584" w:right="117"/>
        <w:jc w:val="both"/>
      </w:pPr>
      <w:r>
        <w:t>The ASHRAE Standard 62.1 (ASHRAE, 2008) in U.S., and EN13779 (European Parliament and the Council of the EU, 2007a) and EN15251 (European Parliament and the Council of the EU, 2007b) in European Union provide standards of favorable IAQ. According to the ASHRAE Standard 55-1992, comfortable indoor temperature should range from 20°C to 25.5°C, humidity between 30% to 60% depending on the season, air ventilation between 0.4 and 1.7 cubic meter a minute per person and finally carbon dioxide levels less than 700 parts per million (ppm) above ground levels (Pennsylvania Department of Health, n.d., p. 2-3).</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3"/>
        <w:jc w:val="both"/>
      </w:pPr>
      <w:r>
        <w:lastRenderedPageBreak/>
        <w:t>EN15251 categorizes IAQ into 1200 ppm as low, 800 as moderate, 500 as medium and 250 as high quality (Jones &amp; Kirby, 2012). It is understandable that these rates also depend on the number of occupants, room dimensions, individual motion and metabolism (Persily, 1997). Despite no specification for humidity in BB101, the U.K. construction guidelines declare that a two-hour period in twelve hours should not be surpassed with a relative humidity level of 70% throughout the warming period and the same goes as one hour with 90% relative humidity (Office of Disaster Preparedness and Management, 2006).</w:t>
      </w:r>
    </w:p>
    <w:p w:rsidR="00F3177F" w:rsidRDefault="00F3177F">
      <w:pPr>
        <w:pStyle w:val="BodyText"/>
      </w:pPr>
    </w:p>
    <w:p w:rsidR="00F3177F" w:rsidRDefault="0089671D">
      <w:pPr>
        <w:pStyle w:val="BodyText"/>
        <w:spacing w:before="143" w:line="360" w:lineRule="auto"/>
        <w:ind w:left="584" w:right="116"/>
        <w:jc w:val="both"/>
      </w:pPr>
      <w:r>
        <w:t>A lot of studies show that classroom air qualities are poorer than expected. For instance, Godwin and Batterman’s (2007) research results release that only 27% of classrooms have sufficient ventilation rate and Hellwig et al.’s (2009) research indicates that 47%  of classrooms in the summer time and 89% of them in the winter time exceed 1500 ppm CO2 concentration. Along with many others, natural air circulation through windows were applied in most of these classrooms indicating that natural ventilation is not good enough for high indoor air quality, although the U.K. Government recommends natural aeration, if applicable, to lessen costs and ecological impact (DfES,</w:t>
      </w:r>
      <w:r>
        <w:rPr>
          <w:spacing w:val="-9"/>
        </w:rPr>
        <w:t xml:space="preserve"> </w:t>
      </w:r>
      <w:r>
        <w:t>2002a).</w:t>
      </w:r>
    </w:p>
    <w:p w:rsidR="00F3177F" w:rsidRDefault="00F3177F">
      <w:pPr>
        <w:pStyle w:val="BodyText"/>
      </w:pPr>
    </w:p>
    <w:p w:rsidR="00F3177F" w:rsidRDefault="0089671D">
      <w:pPr>
        <w:pStyle w:val="BodyText"/>
        <w:spacing w:before="143" w:line="357" w:lineRule="auto"/>
        <w:ind w:left="584" w:right="114"/>
        <w:jc w:val="both"/>
      </w:pPr>
      <w:r>
        <w:t>To avoid consequences of low IAQ, air circulation amounts, temperatures, humidity along with CO</w:t>
      </w:r>
      <w:r>
        <w:rPr>
          <w:position w:val="-2"/>
          <w:sz w:val="16"/>
        </w:rPr>
        <w:t xml:space="preserve">2 </w:t>
      </w:r>
      <w:r>
        <w:t>concentrations should be adjusted according to international standards. The first step to solve the IAQ problem is to obtain necessary air quality data. Having collected sufficient data, the problem can be solved (to some extend) with proper HVAC systems. For instance, Jones and Kirby (2012) suggest top-down wind driven natural ventilation system which was installed in more than 1100 schools in U.K. and it improved the IAQ considerably.</w:t>
      </w:r>
    </w:p>
    <w:p w:rsidR="00F3177F" w:rsidRDefault="00F3177F">
      <w:pPr>
        <w:pStyle w:val="BodyText"/>
      </w:pPr>
    </w:p>
    <w:p w:rsidR="00F3177F" w:rsidRDefault="0089671D">
      <w:pPr>
        <w:pStyle w:val="BodyText"/>
        <w:spacing w:before="146"/>
        <w:ind w:left="584"/>
        <w:jc w:val="both"/>
      </w:pPr>
      <w:r>
        <w:t>Some other practical measurements can be counted as follows;</w:t>
      </w:r>
    </w:p>
    <w:p w:rsidR="00F3177F" w:rsidRDefault="0089671D">
      <w:pPr>
        <w:pStyle w:val="ListParagraph"/>
        <w:numPr>
          <w:ilvl w:val="2"/>
          <w:numId w:val="29"/>
        </w:numPr>
        <w:tabs>
          <w:tab w:val="left" w:pos="1304"/>
          <w:tab w:val="left" w:pos="1305"/>
        </w:tabs>
        <w:spacing w:before="136"/>
        <w:rPr>
          <w:sz w:val="24"/>
        </w:rPr>
      </w:pPr>
      <w:r>
        <w:rPr>
          <w:sz w:val="24"/>
        </w:rPr>
        <w:t>Regular maintenance</w:t>
      </w:r>
      <w:r>
        <w:rPr>
          <w:spacing w:val="-7"/>
          <w:sz w:val="24"/>
        </w:rPr>
        <w:t xml:space="preserve"> </w:t>
      </w:r>
      <w:r>
        <w:rPr>
          <w:sz w:val="24"/>
        </w:rPr>
        <w:t>precautions</w:t>
      </w:r>
    </w:p>
    <w:p w:rsidR="00F3177F" w:rsidRDefault="0089671D">
      <w:pPr>
        <w:pStyle w:val="ListParagraph"/>
        <w:numPr>
          <w:ilvl w:val="2"/>
          <w:numId w:val="29"/>
        </w:numPr>
        <w:tabs>
          <w:tab w:val="left" w:pos="1304"/>
          <w:tab w:val="left" w:pos="1305"/>
        </w:tabs>
        <w:rPr>
          <w:sz w:val="24"/>
        </w:rPr>
      </w:pPr>
      <w:r>
        <w:rPr>
          <w:sz w:val="24"/>
        </w:rPr>
        <w:t>Source Control: not to bring needless pollutant to</w:t>
      </w:r>
      <w:r>
        <w:rPr>
          <w:spacing w:val="-8"/>
          <w:sz w:val="24"/>
        </w:rPr>
        <w:t xml:space="preserve"> </w:t>
      </w:r>
      <w:r>
        <w:rPr>
          <w:sz w:val="24"/>
        </w:rPr>
        <w:t>school</w:t>
      </w:r>
    </w:p>
    <w:p w:rsidR="00F3177F" w:rsidRDefault="00F3177F">
      <w:pPr>
        <w:rPr>
          <w:sz w:val="24"/>
        </w:rPr>
        <w:sectPr w:rsidR="00F3177F">
          <w:pgSz w:w="12240" w:h="15840"/>
          <w:pgMar w:top="1380" w:right="1320" w:bottom="2320" w:left="1720" w:header="0" w:footer="2095" w:gutter="0"/>
          <w:cols w:space="720"/>
        </w:sectPr>
      </w:pPr>
    </w:p>
    <w:p w:rsidR="00F3177F" w:rsidRDefault="0089671D" w:rsidP="002D6D7F">
      <w:pPr>
        <w:pStyle w:val="ListParagraph"/>
        <w:numPr>
          <w:ilvl w:val="2"/>
          <w:numId w:val="29"/>
        </w:numPr>
        <w:tabs>
          <w:tab w:val="left" w:pos="1304"/>
          <w:tab w:val="left" w:pos="1305"/>
        </w:tabs>
        <w:spacing w:before="34" w:line="352" w:lineRule="auto"/>
        <w:ind w:right="121"/>
        <w:jc w:val="both"/>
        <w:rPr>
          <w:sz w:val="24"/>
        </w:rPr>
      </w:pPr>
      <w:r>
        <w:rPr>
          <w:sz w:val="24"/>
        </w:rPr>
        <w:lastRenderedPageBreak/>
        <w:t>Eliminating pollutants before they are absorbed into school indoor environment, specifically</w:t>
      </w:r>
      <w:r>
        <w:rPr>
          <w:spacing w:val="-5"/>
          <w:sz w:val="24"/>
        </w:rPr>
        <w:t xml:space="preserve"> </w:t>
      </w:r>
      <w:r>
        <w:rPr>
          <w:sz w:val="24"/>
        </w:rPr>
        <w:t>air</w:t>
      </w:r>
    </w:p>
    <w:p w:rsidR="00F3177F" w:rsidRDefault="0089671D">
      <w:pPr>
        <w:pStyle w:val="ListParagraph"/>
        <w:numPr>
          <w:ilvl w:val="2"/>
          <w:numId w:val="29"/>
        </w:numPr>
        <w:tabs>
          <w:tab w:val="left" w:pos="1304"/>
          <w:tab w:val="left" w:pos="1305"/>
        </w:tabs>
        <w:spacing w:before="11"/>
        <w:rPr>
          <w:sz w:val="24"/>
        </w:rPr>
      </w:pPr>
      <w:r>
        <w:rPr>
          <w:sz w:val="24"/>
        </w:rPr>
        <w:t>Regulating duration, amount and pollutant</w:t>
      </w:r>
      <w:r>
        <w:rPr>
          <w:spacing w:val="-5"/>
          <w:sz w:val="24"/>
        </w:rPr>
        <w:t xml:space="preserve"> </w:t>
      </w:r>
      <w:r>
        <w:rPr>
          <w:sz w:val="24"/>
        </w:rPr>
        <w:t>site</w:t>
      </w:r>
    </w:p>
    <w:p w:rsidR="00F3177F" w:rsidRDefault="0089671D">
      <w:pPr>
        <w:pStyle w:val="ListParagraph"/>
        <w:numPr>
          <w:ilvl w:val="2"/>
          <w:numId w:val="29"/>
        </w:numPr>
        <w:tabs>
          <w:tab w:val="left" w:pos="1304"/>
          <w:tab w:val="left" w:pos="1305"/>
        </w:tabs>
        <w:rPr>
          <w:sz w:val="24"/>
        </w:rPr>
      </w:pPr>
      <w:r>
        <w:rPr>
          <w:sz w:val="24"/>
        </w:rPr>
        <w:t>Educating students on pollutants and classroom</w:t>
      </w:r>
      <w:r>
        <w:rPr>
          <w:spacing w:val="-8"/>
          <w:sz w:val="24"/>
        </w:rPr>
        <w:t xml:space="preserve"> </w:t>
      </w:r>
      <w:r>
        <w:rPr>
          <w:sz w:val="24"/>
        </w:rPr>
        <w:t>safety</w:t>
      </w:r>
    </w:p>
    <w:p w:rsidR="00F3177F" w:rsidRDefault="00F3177F">
      <w:pPr>
        <w:pStyle w:val="BodyText"/>
      </w:pPr>
    </w:p>
    <w:p w:rsidR="00F3177F" w:rsidRDefault="00F3177F">
      <w:pPr>
        <w:pStyle w:val="BodyText"/>
      </w:pPr>
    </w:p>
    <w:p w:rsidR="00F3177F" w:rsidRDefault="0089671D">
      <w:pPr>
        <w:pStyle w:val="Heading2"/>
        <w:numPr>
          <w:ilvl w:val="2"/>
          <w:numId w:val="28"/>
        </w:numPr>
        <w:tabs>
          <w:tab w:val="left" w:pos="1245"/>
        </w:tabs>
        <w:spacing w:before="141"/>
        <w:jc w:val="both"/>
      </w:pPr>
      <w:r>
        <w:t>Visual</w:t>
      </w:r>
      <w:r>
        <w:rPr>
          <w:spacing w:val="-4"/>
        </w:rPr>
        <w:t xml:space="preserve"> </w:t>
      </w:r>
      <w:r>
        <w:t>Comfort</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4"/>
        <w:jc w:val="both"/>
      </w:pPr>
      <w:r>
        <w:t xml:space="preserve">There are adequate number of researches and evidence that lighting in classrooms has effects on teachers and students. Preferences between natural daylight (Hathaway, 1983, p.28) </w:t>
      </w:r>
      <w:proofErr w:type="gramStart"/>
      <w:r>
        <w:t>or</w:t>
      </w:r>
      <w:proofErr w:type="gramEnd"/>
      <w:r>
        <w:t xml:space="preserve"> artificial lighting for better control on lighting (Lang, 2002) is debatable. While</w:t>
      </w:r>
      <w:r w:rsidR="002D6D7F">
        <w:t xml:space="preserve"> </w:t>
      </w:r>
      <w:r>
        <w:t>full band ﬂuorescent illumination can enhance acquiring (Lyons, 2002), Xue FJ. (2002) states that daylighting improves students’ performance and productivity, and enhance indoor   environmental   quality.   Additionally,   daylighting   reduces   general   energy</w:t>
      </w:r>
    </w:p>
    <w:p w:rsidR="00F3177F" w:rsidRDefault="0089671D">
      <w:pPr>
        <w:pStyle w:val="BodyText"/>
        <w:spacing w:before="4" w:line="352" w:lineRule="auto"/>
        <w:ind w:left="584" w:right="114"/>
        <w:jc w:val="both"/>
      </w:pPr>
      <w:proofErr w:type="gramStart"/>
      <w:r>
        <w:t>consumption</w:t>
      </w:r>
      <w:proofErr w:type="gramEnd"/>
      <w:r>
        <w:t xml:space="preserve"> of a building. For instance, environmental shading from neighboring buildings can affect a building’s energy consumption up to 25–28 kWh/m</w:t>
      </w:r>
      <w:r>
        <w:rPr>
          <w:position w:val="11"/>
          <w:sz w:val="16"/>
        </w:rPr>
        <w:t>2</w:t>
      </w:r>
      <w:r>
        <w:t>/yr (Li &amp; Wong, 2007). These values may affect total energy need and energy peaks. It is also worth mentioning that only in the USA annual energy consumption for lighting amounts to between $15 billion to $23 billion (Lee et al., 2015).</w:t>
      </w:r>
    </w:p>
    <w:p w:rsidR="00F3177F" w:rsidRDefault="00F3177F">
      <w:pPr>
        <w:pStyle w:val="BodyText"/>
      </w:pPr>
    </w:p>
    <w:p w:rsidR="00F3177F" w:rsidRDefault="0089671D" w:rsidP="004D11F1">
      <w:pPr>
        <w:pStyle w:val="BodyText"/>
        <w:spacing w:before="151" w:line="360" w:lineRule="auto"/>
        <w:ind w:left="584" w:right="114"/>
        <w:jc w:val="both"/>
        <w:sectPr w:rsidR="00F3177F">
          <w:pgSz w:w="12240" w:h="15840"/>
          <w:pgMar w:top="1400" w:right="1320" w:bottom="2320" w:left="1720" w:header="0" w:footer="2095" w:gutter="0"/>
          <w:cols w:space="720"/>
        </w:sectPr>
      </w:pPr>
      <w:r>
        <w:t>Thus, a well-balanced integration of daylight and artificial one is the key as preferable levels of daylight is not always available. Recently growing interest in energy consumption is incorporating daylighting and electricity-based lighting to lessen energy consumption (Li &amp; Lam, 2001). It should also be kept in mind that throughout technological and medical improvements better solutions can be found in the future.</w:t>
      </w:r>
      <w:r w:rsidR="002D6D7F">
        <w:t xml:space="preserve"> </w:t>
      </w:r>
      <w:r>
        <w:t>The correlation between lighting and children’s/students’ behavior and success may throw lights on sustainable educational success. According to Schreiber’s (1996) findings</w:t>
      </w:r>
      <w:r w:rsidR="002D6D7F">
        <w:t xml:space="preserve"> </w:t>
      </w:r>
      <w:r>
        <w:t>low illumination increases students’ interest and they become</w:t>
      </w:r>
      <w:r>
        <w:rPr>
          <w:spacing w:val="50"/>
        </w:rPr>
        <w:t xml:space="preserve"> </w:t>
      </w:r>
      <w:r>
        <w:t>calmer.</w:t>
      </w:r>
      <w:r w:rsidR="004D11F1">
        <w:t xml:space="preserve"> </w:t>
      </w:r>
    </w:p>
    <w:p w:rsidR="00F3177F" w:rsidRDefault="0089671D">
      <w:pPr>
        <w:pStyle w:val="BodyText"/>
        <w:spacing w:before="54" w:line="360" w:lineRule="auto"/>
        <w:ind w:left="584" w:right="124"/>
        <w:jc w:val="both"/>
      </w:pPr>
      <w:r>
        <w:lastRenderedPageBreak/>
        <w:t>Similarly, indirect diffuse of full spectrum fluorescent lamps reduces children’s maladaptive behavior (Shapiro et. al. 2001).</w:t>
      </w:r>
    </w:p>
    <w:p w:rsidR="00F3177F" w:rsidRDefault="00F3177F">
      <w:pPr>
        <w:pStyle w:val="BodyText"/>
      </w:pPr>
    </w:p>
    <w:p w:rsidR="00F3177F" w:rsidRDefault="0089671D">
      <w:pPr>
        <w:pStyle w:val="BodyText"/>
        <w:spacing w:before="143" w:line="360" w:lineRule="auto"/>
        <w:ind w:left="584" w:right="116"/>
        <w:jc w:val="both"/>
      </w:pPr>
      <w:r>
        <w:t xml:space="preserve">In comparison with ﬂuorescent lighting, incandescent lamps have an advantage that cooling of wires in incandescent lamps takes longer frequency modulation and does not change as fast as in ﬂuorescent lighting. While the standard AC supplies in </w:t>
      </w:r>
      <w:proofErr w:type="gramStart"/>
      <w:r>
        <w:t>Europa  work</w:t>
      </w:r>
      <w:proofErr w:type="gramEnd"/>
      <w:r>
        <w:rPr>
          <w:spacing w:val="20"/>
        </w:rPr>
        <w:t xml:space="preserve"> </w:t>
      </w:r>
      <w:r>
        <w:t>with</w:t>
      </w:r>
      <w:r>
        <w:rPr>
          <w:spacing w:val="20"/>
        </w:rPr>
        <w:t xml:space="preserve"> </w:t>
      </w:r>
      <w:r>
        <w:t>50</w:t>
      </w:r>
      <w:r>
        <w:rPr>
          <w:spacing w:val="22"/>
        </w:rPr>
        <w:t xml:space="preserve"> </w:t>
      </w:r>
      <w:r>
        <w:t>Hz</w:t>
      </w:r>
      <w:r>
        <w:rPr>
          <w:spacing w:val="21"/>
        </w:rPr>
        <w:t xml:space="preserve"> </w:t>
      </w:r>
      <w:r>
        <w:t>of</w:t>
      </w:r>
      <w:r>
        <w:rPr>
          <w:spacing w:val="21"/>
        </w:rPr>
        <w:t xml:space="preserve"> </w:t>
      </w:r>
      <w:r>
        <w:t>frequency,</w:t>
      </w:r>
      <w:r>
        <w:rPr>
          <w:spacing w:val="20"/>
        </w:rPr>
        <w:t xml:space="preserve"> </w:t>
      </w:r>
      <w:r>
        <w:t>this</w:t>
      </w:r>
      <w:r>
        <w:rPr>
          <w:spacing w:val="23"/>
        </w:rPr>
        <w:t xml:space="preserve"> </w:t>
      </w:r>
      <w:r>
        <w:t>frequency</w:t>
      </w:r>
      <w:r>
        <w:rPr>
          <w:spacing w:val="15"/>
        </w:rPr>
        <w:t xml:space="preserve"> </w:t>
      </w:r>
      <w:r>
        <w:t>in</w:t>
      </w:r>
      <w:r>
        <w:rPr>
          <w:spacing w:val="23"/>
        </w:rPr>
        <w:t xml:space="preserve"> </w:t>
      </w:r>
      <w:r>
        <w:t>fluorescent</w:t>
      </w:r>
      <w:r>
        <w:rPr>
          <w:spacing w:val="20"/>
        </w:rPr>
        <w:t xml:space="preserve"> </w:t>
      </w:r>
      <w:r>
        <w:t>lightings</w:t>
      </w:r>
      <w:r>
        <w:rPr>
          <w:spacing w:val="22"/>
        </w:rPr>
        <w:t xml:space="preserve"> </w:t>
      </w:r>
      <w:r>
        <w:t>can</w:t>
      </w:r>
      <w:r>
        <w:rPr>
          <w:spacing w:val="20"/>
        </w:rPr>
        <w:t xml:space="preserve"> </w:t>
      </w:r>
      <w:r>
        <w:t>reach</w:t>
      </w:r>
      <w:r>
        <w:rPr>
          <w:spacing w:val="29"/>
        </w:rPr>
        <w:t xml:space="preserve"> </w:t>
      </w:r>
      <w:r>
        <w:t>up</w:t>
      </w:r>
      <w:r>
        <w:rPr>
          <w:spacing w:val="22"/>
        </w:rPr>
        <w:t xml:space="preserve"> </w:t>
      </w:r>
      <w:r>
        <w:t>to</w:t>
      </w:r>
    </w:p>
    <w:p w:rsidR="00F3177F" w:rsidRDefault="0089671D">
      <w:pPr>
        <w:pStyle w:val="BodyText"/>
        <w:spacing w:before="4" w:line="360" w:lineRule="auto"/>
        <w:ind w:left="584" w:right="116"/>
        <w:jc w:val="both"/>
      </w:pPr>
      <w:r>
        <w:t>100 Hz (Chartered Institution of Building Services Engineers, Lighting Industry Federation (Great Britain), &amp; Society of Light and Lighting, 2004) and despite being unnoticeable 100 Hz flickering frequency can have negative effects on visual comfort (Jaen et al. 2005). However, raising the frequency to kHz levels and using high frequency controllers can reduce headaches (Wilkins et. al., 1989), increase reading accuracy in spite of reducing reading speed (Küller &amp; Laike, 1998), enhance visual search performance (Jaen et al., 2005). Thus, installing the proper ﬂuorescent lights can play an important role on students’ output. Likewise, flickers from other appliances such as computers can cause enlarged saccadic movements in response (Wilkins et al., 1989).</w:t>
      </w:r>
    </w:p>
    <w:p w:rsidR="00F3177F" w:rsidRDefault="00F3177F">
      <w:pPr>
        <w:pStyle w:val="BodyText"/>
      </w:pPr>
    </w:p>
    <w:p w:rsidR="00F3177F" w:rsidRDefault="0089671D">
      <w:pPr>
        <w:pStyle w:val="BodyText"/>
        <w:spacing w:before="143" w:line="360" w:lineRule="auto"/>
        <w:ind w:left="584" w:right="117"/>
        <w:jc w:val="both"/>
      </w:pPr>
      <w:r>
        <w:t>Chartered Institution of Building Services Engineers (CIBSE) (2004) suggests variant illumination levels between 300 and 500 lux on students’ desks depending on classroom design. Rea (1983) urges that illumination higher than 1000 lux causes discomfort for students where 300 lux is assessed as prerequisite illumination level (</w:t>
      </w:r>
      <w:proofErr w:type="gramStart"/>
      <w:r>
        <w:t>European</w:t>
      </w:r>
      <w:r w:rsidR="004D11F1">
        <w:t xml:space="preserve">  </w:t>
      </w:r>
      <w:r>
        <w:t>Standard</w:t>
      </w:r>
      <w:proofErr w:type="gramEnd"/>
      <w:r>
        <w:t xml:space="preserve"> EN 15251,</w:t>
      </w:r>
      <w:r>
        <w:rPr>
          <w:spacing w:val="-4"/>
        </w:rPr>
        <w:t xml:space="preserve"> </w:t>
      </w:r>
      <w:r>
        <w:t>2007).</w:t>
      </w:r>
    </w:p>
    <w:p w:rsidR="00F3177F" w:rsidRDefault="00F3177F">
      <w:pPr>
        <w:pStyle w:val="BodyText"/>
      </w:pPr>
    </w:p>
    <w:p w:rsidR="00F3177F" w:rsidRDefault="0089671D">
      <w:pPr>
        <w:pStyle w:val="BodyText"/>
        <w:spacing w:before="143" w:line="360" w:lineRule="auto"/>
        <w:ind w:left="584" w:right="118"/>
        <w:jc w:val="both"/>
      </w:pPr>
      <w:r>
        <w:t>Glare means visually brighter sight than the rest of the environment and it is one of the reasons that cause trouble for visual comfort of students. Strong lighting, close positioning to the light source and weaker background light can cause glare on students’ desks and consequently discomfort, even disability of sighting. Continual exposure to glare can even lead to headache and eyestrain.</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F3177F">
      <w:pPr>
        <w:pStyle w:val="BodyText"/>
        <w:spacing w:before="2"/>
      </w:pPr>
    </w:p>
    <w:p w:rsidR="00F3177F" w:rsidRDefault="0089671D">
      <w:pPr>
        <w:pStyle w:val="BodyText"/>
        <w:spacing w:before="69" w:line="360" w:lineRule="auto"/>
        <w:ind w:left="584" w:right="116"/>
        <w:jc w:val="both"/>
      </w:pPr>
      <w:r>
        <w:t xml:space="preserve">Another reason for visual discomfort can come from projectors causing difficulties for students in perceiving images (Hall &amp; Higgins, 2005) as well as reflection from </w:t>
      </w:r>
      <w:proofErr w:type="gramStart"/>
      <w:r>
        <w:t>white</w:t>
      </w:r>
      <w:r w:rsidR="004D11F1">
        <w:t xml:space="preserve">  </w:t>
      </w:r>
      <w:r>
        <w:t>or</w:t>
      </w:r>
      <w:proofErr w:type="gramEnd"/>
      <w:r>
        <w:t xml:space="preserve"> smartboards, in particular when the surface is</w:t>
      </w:r>
      <w:r>
        <w:rPr>
          <w:spacing w:val="-8"/>
        </w:rPr>
        <w:t xml:space="preserve"> </w:t>
      </w:r>
      <w:r>
        <w:t>lustrous.</w:t>
      </w:r>
    </w:p>
    <w:p w:rsidR="00F3177F" w:rsidRDefault="00F3177F">
      <w:pPr>
        <w:pStyle w:val="BodyText"/>
      </w:pPr>
    </w:p>
    <w:p w:rsidR="00F3177F" w:rsidRDefault="0089671D">
      <w:pPr>
        <w:pStyle w:val="BodyText"/>
        <w:spacing w:before="143" w:line="360" w:lineRule="auto"/>
        <w:ind w:left="584" w:right="112"/>
        <w:jc w:val="both"/>
      </w:pPr>
      <w:r>
        <w:t>Improper pattern frequency, contrasting color stripes and the size of window blinds may also cause stress (Wilkins, 1995), headache (Harle et. al., 2006), and epileptic seizure (Fisher et. al., 2005).</w:t>
      </w:r>
    </w:p>
    <w:p w:rsidR="00F3177F" w:rsidRDefault="00F3177F">
      <w:pPr>
        <w:pStyle w:val="BodyText"/>
      </w:pPr>
    </w:p>
    <w:p w:rsidR="00F3177F" w:rsidRDefault="00F3177F">
      <w:pPr>
        <w:pStyle w:val="BodyText"/>
        <w:rPr>
          <w:sz w:val="25"/>
        </w:rPr>
      </w:pPr>
    </w:p>
    <w:p w:rsidR="00F3177F" w:rsidRDefault="0089671D">
      <w:pPr>
        <w:pStyle w:val="Heading2"/>
        <w:numPr>
          <w:ilvl w:val="2"/>
          <w:numId w:val="28"/>
        </w:numPr>
        <w:tabs>
          <w:tab w:val="left" w:pos="1245"/>
        </w:tabs>
        <w:jc w:val="both"/>
      </w:pPr>
      <w:r>
        <w:t>Acoustic</w:t>
      </w:r>
      <w:r>
        <w:rPr>
          <w:spacing w:val="-5"/>
        </w:rPr>
        <w:t xml:space="preserve"> </w:t>
      </w:r>
      <w:r>
        <w:t>Comfort</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8"/>
        <w:jc w:val="both"/>
      </w:pPr>
      <w:r>
        <w:t xml:space="preserve">Sound is a function of vibration travelling as waves with various frequencies and when the sound waves hit a surface, alteration in sound direction and energy causes reverberation. Reverberation that is reflected sound from any surface will stay in until it is utterly absorbed or dissoluted. These reflections from a surface can interfere with students’’ auditory perception. Despite little variations, people’s hearing frequencies is between 20 to 20,000 hertz. However, when the frequency gets very low and high in the audible range, it starts causing hearing difficulties. For instance, when the sound frequency is lower than 500 </w:t>
      </w:r>
      <w:proofErr w:type="gramStart"/>
      <w:r>
        <w:t>Hz.,</w:t>
      </w:r>
      <w:proofErr w:type="gramEnd"/>
      <w:r>
        <w:t xml:space="preserve"> it inclines to lead to unfavorable speech mask effects with consonants in particular and people with hearing challenge are more vulnerable to this effect (National Research Council, 2006).</w:t>
      </w:r>
    </w:p>
    <w:p w:rsidR="00F3177F" w:rsidRDefault="00F3177F">
      <w:pPr>
        <w:pStyle w:val="BodyText"/>
      </w:pPr>
    </w:p>
    <w:p w:rsidR="00F3177F" w:rsidRDefault="0089671D" w:rsidP="00452DE5">
      <w:pPr>
        <w:pStyle w:val="BodyText"/>
        <w:spacing w:before="143" w:line="360" w:lineRule="auto"/>
        <w:ind w:left="584" w:right="118"/>
        <w:jc w:val="both"/>
      </w:pPr>
      <w:r>
        <w:t>Most teaching space activities depend on conversation between students and the teacher contributing great importance to the acoustic environment. Teachers are expected to deliver more student-oriented lessons and base their lessons more on practice rather</w:t>
      </w:r>
      <w:r w:rsidR="00452DE5">
        <w:t xml:space="preserve"> </w:t>
      </w:r>
      <w:r>
        <w:t>than theory. Moreover, we are moving farther from the area of severely disciplined classes, schools and any educational atmosphere. Technology and the struggle to</w:t>
      </w:r>
      <w:r w:rsidR="00452DE5">
        <w:t xml:space="preserve"> </w:t>
      </w:r>
      <w:r>
        <w:t>survive in the increasingly business-like educational atmosphere force educational</w:t>
      </w:r>
      <w:r w:rsidR="00452DE5">
        <w:t xml:space="preserve"> </w:t>
      </w:r>
      <w:r>
        <w:t>institutions</w:t>
      </w:r>
      <w:r>
        <w:rPr>
          <w:spacing w:val="50"/>
        </w:rPr>
        <w:t xml:space="preserve"> </w:t>
      </w:r>
      <w:r>
        <w:t>to</w:t>
      </w:r>
      <w:r>
        <w:rPr>
          <w:spacing w:val="52"/>
        </w:rPr>
        <w:t xml:space="preserve"> </w:t>
      </w:r>
      <w:r>
        <w:t>use</w:t>
      </w:r>
      <w:r>
        <w:rPr>
          <w:spacing w:val="50"/>
        </w:rPr>
        <w:t xml:space="preserve"> </w:t>
      </w:r>
      <w:r>
        <w:t>more</w:t>
      </w:r>
      <w:r>
        <w:rPr>
          <w:spacing w:val="52"/>
        </w:rPr>
        <w:t xml:space="preserve"> </w:t>
      </w:r>
      <w:r>
        <w:t>and</w:t>
      </w:r>
      <w:r>
        <w:rPr>
          <w:spacing w:val="51"/>
        </w:rPr>
        <w:t xml:space="preserve"> </w:t>
      </w:r>
      <w:r>
        <w:t>more</w:t>
      </w:r>
      <w:r>
        <w:rPr>
          <w:spacing w:val="50"/>
        </w:rPr>
        <w:t xml:space="preserve"> </w:t>
      </w:r>
      <w:r>
        <w:t>technological</w:t>
      </w:r>
      <w:r>
        <w:rPr>
          <w:spacing w:val="52"/>
        </w:rPr>
        <w:t xml:space="preserve"> </w:t>
      </w:r>
      <w:r>
        <w:t>gadgets</w:t>
      </w:r>
      <w:r>
        <w:rPr>
          <w:spacing w:val="52"/>
        </w:rPr>
        <w:t xml:space="preserve"> </w:t>
      </w:r>
      <w:r>
        <w:t>that</w:t>
      </w:r>
      <w:r>
        <w:rPr>
          <w:spacing w:val="51"/>
        </w:rPr>
        <w:t xml:space="preserve"> </w:t>
      </w:r>
      <w:r>
        <w:t>produce</w:t>
      </w:r>
      <w:r>
        <w:rPr>
          <w:spacing w:val="53"/>
        </w:rPr>
        <w:t xml:space="preserve"> </w:t>
      </w:r>
      <w:r>
        <w:t>higher</w:t>
      </w:r>
      <w:r>
        <w:rPr>
          <w:spacing w:val="53"/>
        </w:rPr>
        <w:t xml:space="preserve"> </w:t>
      </w:r>
      <w:r>
        <w:t>sound</w:t>
      </w:r>
    </w:p>
    <w:p w:rsidR="00F3177F" w:rsidRDefault="00F3177F">
      <w:pPr>
        <w:jc w:val="both"/>
        <w:sectPr w:rsidR="00F3177F">
          <w:pgSz w:w="12240" w:h="15840"/>
          <w:pgMar w:top="1500" w:right="1320" w:bottom="2320" w:left="1720" w:header="0" w:footer="2095" w:gutter="0"/>
          <w:cols w:space="720"/>
        </w:sectPr>
      </w:pPr>
    </w:p>
    <w:p w:rsidR="00F3177F" w:rsidRDefault="0089671D">
      <w:pPr>
        <w:pStyle w:val="BodyText"/>
        <w:spacing w:before="54" w:line="360" w:lineRule="auto"/>
        <w:ind w:left="584" w:right="113"/>
        <w:jc w:val="both"/>
      </w:pPr>
      <w:proofErr w:type="gramStart"/>
      <w:r>
        <w:lastRenderedPageBreak/>
        <w:t>pollution</w:t>
      </w:r>
      <w:proofErr w:type="gramEnd"/>
      <w:r>
        <w:t xml:space="preserve"> in learning environment. Not the last but another important issue is that global warming, higher level thermal systems and improving living standards demand HVAC systems that add to the distracting background noise in classrooms in more buildings and schools/classrooms (Nelson, 1999). Environmental acoustic noise, especially during social science lessons will not only impede students’ comprehension and consequently success level but also behavior patterns owing to lower attention and classroom discipline. </w:t>
      </w:r>
      <w:r>
        <w:rPr>
          <w:spacing w:val="-3"/>
        </w:rPr>
        <w:t xml:space="preserve">It </w:t>
      </w:r>
      <w:r>
        <w:t>has been shown that students´ social behavior becomes calmer and the teachers experience lower physiological load (heart rate) as well as less fatigue with improved room acoustic conditions (Oberdörster &amp; Tiesler,</w:t>
      </w:r>
      <w:r>
        <w:rPr>
          <w:spacing w:val="-8"/>
        </w:rPr>
        <w:t xml:space="preserve"> </w:t>
      </w:r>
      <w:r>
        <w:t>2006).</w:t>
      </w:r>
    </w:p>
    <w:p w:rsidR="00F3177F" w:rsidRDefault="00F3177F">
      <w:pPr>
        <w:pStyle w:val="BodyText"/>
      </w:pPr>
    </w:p>
    <w:p w:rsidR="007D2D2C" w:rsidRDefault="0089671D" w:rsidP="00452DE5">
      <w:pPr>
        <w:pStyle w:val="BodyText"/>
        <w:spacing w:before="143" w:line="360" w:lineRule="auto"/>
        <w:ind w:left="584" w:right="114"/>
        <w:jc w:val="both"/>
      </w:pPr>
      <w:r>
        <w:t xml:space="preserve">Acoustic pollution seem to persevere in educational environments unless classrooms are acoustically designed, effects of acoustic pollution on young students’ learning abilities in particular are taken into consideration and if school administrations rely only on teachers and students for noise in classrooms. Nelson (2003) states that students with attention, reading, learning or hearing difficulties, students under 13, students using a language as the second one suffer more from the poor acoustic environment. Although teachers are also affected by poor acoustic conditions because increasing their voice may lead to some vocal diseases and fatigue, they should keep in mind that younger learners’ speech lucidity is lower than adults and acoustic environment of classrooms are to be build or organized according to younger students (National Research Council, 2006). According to the same source noise from neighboring places, echoing sounds, HVAC and outdoor noise are sources of acoustic pollution. Ceiling &amp; Interior Systems Construction Association (CISCA) in its white paper ‘Acoustics in Schools’ (2009)  adds that reverberation, unabsorbed sound waves from surfaces and ‘signal-to-noise ratios’ which are the lowest at the back of the classroom are other acoustic pollution factors. Building Regulations, School Premises Regulations and the Independent School Standards - Part E deals with aural environments in school buildings (Department for Education, 2015). The same section also demands design and construction </w:t>
      </w:r>
      <w:proofErr w:type="gramStart"/>
      <w:r>
        <w:t>of</w:t>
      </w:r>
      <w:r>
        <w:rPr>
          <w:spacing w:val="-20"/>
        </w:rPr>
        <w:t xml:space="preserve"> </w:t>
      </w:r>
      <w:r w:rsidR="007D2D2C">
        <w:rPr>
          <w:spacing w:val="-20"/>
        </w:rPr>
        <w:t xml:space="preserve"> </w:t>
      </w:r>
      <w:r>
        <w:t>school</w:t>
      </w:r>
      <w:proofErr w:type="gramEnd"/>
      <w:r w:rsidR="007D2D2C">
        <w:t xml:space="preserve"> </w:t>
      </w:r>
    </w:p>
    <w:p w:rsidR="007D2D2C" w:rsidRDefault="007D2D2C" w:rsidP="00452DE5">
      <w:pPr>
        <w:pStyle w:val="BodyText"/>
        <w:spacing w:before="143" w:line="360" w:lineRule="auto"/>
        <w:ind w:left="584" w:right="114"/>
        <w:jc w:val="both"/>
      </w:pPr>
    </w:p>
    <w:p w:rsidR="00F3177F" w:rsidRDefault="0089671D" w:rsidP="00452DE5">
      <w:pPr>
        <w:pStyle w:val="BodyText"/>
        <w:spacing w:before="143" w:line="360" w:lineRule="auto"/>
        <w:ind w:left="584" w:right="114"/>
        <w:jc w:val="both"/>
      </w:pPr>
      <w:proofErr w:type="gramStart"/>
      <w:r>
        <w:lastRenderedPageBreak/>
        <w:t>buildings</w:t>
      </w:r>
      <w:proofErr w:type="gramEnd"/>
      <w:r>
        <w:t xml:space="preserve"> to have appropriate aural environments and insulation to prevent disturbing noise.</w:t>
      </w:r>
    </w:p>
    <w:p w:rsidR="00F3177F" w:rsidRDefault="00F3177F">
      <w:pPr>
        <w:pStyle w:val="BodyText"/>
      </w:pPr>
    </w:p>
    <w:p w:rsidR="00F3177F" w:rsidRDefault="0089671D">
      <w:pPr>
        <w:pStyle w:val="BodyText"/>
        <w:spacing w:before="143" w:line="360" w:lineRule="auto"/>
        <w:ind w:left="584" w:right="120"/>
        <w:jc w:val="both"/>
      </w:pPr>
      <w:r>
        <w:t>The Independent School Standards and School Premises Regulations pay great attention to speech intelligibility and operational noise levels in schools and all the measured acoustic comfort values are to be in accordance with the speech transmission index (STI) in new and refurbished/existing school buildings. The regulations from nursery and community education to colleges of further education also</w:t>
      </w:r>
      <w:r>
        <w:rPr>
          <w:spacing w:val="-11"/>
        </w:rPr>
        <w:t xml:space="preserve"> </w:t>
      </w:r>
      <w:r>
        <w:t>cover:</w:t>
      </w:r>
    </w:p>
    <w:p w:rsidR="00F3177F" w:rsidRDefault="0089671D">
      <w:pPr>
        <w:pStyle w:val="ListParagraph"/>
        <w:numPr>
          <w:ilvl w:val="0"/>
          <w:numId w:val="1"/>
        </w:numPr>
        <w:tabs>
          <w:tab w:val="left" w:pos="1304"/>
          <w:tab w:val="left" w:pos="1305"/>
        </w:tabs>
        <w:spacing w:before="6"/>
        <w:rPr>
          <w:sz w:val="24"/>
        </w:rPr>
      </w:pPr>
      <w:r>
        <w:rPr>
          <w:sz w:val="24"/>
        </w:rPr>
        <w:t>Equality Act for challenged</w:t>
      </w:r>
      <w:r>
        <w:rPr>
          <w:spacing w:val="-9"/>
          <w:sz w:val="24"/>
        </w:rPr>
        <w:t xml:space="preserve"> </w:t>
      </w:r>
      <w:r>
        <w:rPr>
          <w:sz w:val="24"/>
        </w:rPr>
        <w:t>students</w:t>
      </w:r>
    </w:p>
    <w:p w:rsidR="00F3177F" w:rsidRDefault="0089671D">
      <w:pPr>
        <w:pStyle w:val="ListParagraph"/>
        <w:numPr>
          <w:ilvl w:val="0"/>
          <w:numId w:val="1"/>
        </w:numPr>
        <w:tabs>
          <w:tab w:val="left" w:pos="1304"/>
          <w:tab w:val="left" w:pos="1305"/>
        </w:tabs>
        <w:rPr>
          <w:sz w:val="24"/>
        </w:rPr>
      </w:pPr>
      <w:r>
        <w:rPr>
          <w:sz w:val="24"/>
        </w:rPr>
        <w:t>Teaching and non-teaching</w:t>
      </w:r>
      <w:r>
        <w:rPr>
          <w:spacing w:val="-7"/>
          <w:sz w:val="24"/>
        </w:rPr>
        <w:t xml:space="preserve"> </w:t>
      </w:r>
      <w:r>
        <w:rPr>
          <w:sz w:val="24"/>
        </w:rPr>
        <w:t>spaces</w:t>
      </w:r>
    </w:p>
    <w:p w:rsidR="00F3177F" w:rsidRDefault="0089671D">
      <w:pPr>
        <w:pStyle w:val="ListParagraph"/>
        <w:numPr>
          <w:ilvl w:val="0"/>
          <w:numId w:val="1"/>
        </w:numPr>
        <w:tabs>
          <w:tab w:val="left" w:pos="1304"/>
          <w:tab w:val="left" w:pos="1305"/>
        </w:tabs>
        <w:spacing w:before="135"/>
        <w:rPr>
          <w:sz w:val="24"/>
        </w:rPr>
      </w:pPr>
      <w:r>
        <w:rPr>
          <w:sz w:val="24"/>
        </w:rPr>
        <w:t>New, refurbished/existing and temporary</w:t>
      </w:r>
      <w:r>
        <w:rPr>
          <w:spacing w:val="-8"/>
          <w:sz w:val="24"/>
        </w:rPr>
        <w:t xml:space="preserve"> </w:t>
      </w:r>
      <w:r>
        <w:rPr>
          <w:sz w:val="24"/>
        </w:rPr>
        <w:t>buildings</w:t>
      </w:r>
    </w:p>
    <w:p w:rsidR="00F3177F" w:rsidRDefault="0089671D">
      <w:pPr>
        <w:pStyle w:val="ListParagraph"/>
        <w:numPr>
          <w:ilvl w:val="0"/>
          <w:numId w:val="1"/>
        </w:numPr>
        <w:tabs>
          <w:tab w:val="left" w:pos="1304"/>
          <w:tab w:val="left" w:pos="1305"/>
        </w:tabs>
        <w:rPr>
          <w:sz w:val="24"/>
        </w:rPr>
      </w:pPr>
      <w:r>
        <w:rPr>
          <w:sz w:val="24"/>
        </w:rPr>
        <w:t>Material changes of</w:t>
      </w:r>
      <w:r>
        <w:rPr>
          <w:spacing w:val="-6"/>
          <w:sz w:val="24"/>
        </w:rPr>
        <w:t xml:space="preserve"> </w:t>
      </w:r>
      <w:r>
        <w:rPr>
          <w:sz w:val="24"/>
        </w:rPr>
        <w:t>use</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17"/>
        <w:jc w:val="both"/>
      </w:pPr>
      <w:r>
        <w:t>The following recommendations for the energy consuming items are supposed to reduce acoustic pollution and consequently improve students’ auditory perception in classrooms.</w:t>
      </w:r>
    </w:p>
    <w:p w:rsidR="00F3177F" w:rsidRDefault="0089671D">
      <w:pPr>
        <w:pStyle w:val="ListParagraph"/>
        <w:numPr>
          <w:ilvl w:val="0"/>
          <w:numId w:val="1"/>
        </w:numPr>
        <w:tabs>
          <w:tab w:val="left" w:pos="1304"/>
          <w:tab w:val="left" w:pos="1305"/>
        </w:tabs>
        <w:spacing w:before="3"/>
        <w:rPr>
          <w:sz w:val="24"/>
        </w:rPr>
      </w:pPr>
      <w:r>
        <w:rPr>
          <w:sz w:val="24"/>
        </w:rPr>
        <w:t>Apply to international standards as much as</w:t>
      </w:r>
      <w:r>
        <w:rPr>
          <w:spacing w:val="-8"/>
          <w:sz w:val="24"/>
        </w:rPr>
        <w:t xml:space="preserve"> </w:t>
      </w:r>
      <w:r>
        <w:rPr>
          <w:sz w:val="24"/>
        </w:rPr>
        <w:t>possible.</w:t>
      </w:r>
    </w:p>
    <w:p w:rsidR="00F3177F" w:rsidRDefault="0089671D">
      <w:pPr>
        <w:pStyle w:val="ListParagraph"/>
        <w:numPr>
          <w:ilvl w:val="0"/>
          <w:numId w:val="1"/>
        </w:numPr>
        <w:tabs>
          <w:tab w:val="left" w:pos="1305"/>
        </w:tabs>
        <w:spacing w:line="355" w:lineRule="auto"/>
        <w:ind w:right="117"/>
        <w:jc w:val="both"/>
        <w:rPr>
          <w:sz w:val="24"/>
        </w:rPr>
      </w:pPr>
      <w:r>
        <w:rPr>
          <w:sz w:val="24"/>
        </w:rPr>
        <w:t xml:space="preserve">Locate and place energy-consuming and possibly noise-producing equipment such as printers, CD players and computers accordingly to </w:t>
      </w:r>
      <w:proofErr w:type="gramStart"/>
      <w:r>
        <w:rPr>
          <w:sz w:val="24"/>
        </w:rPr>
        <w:t xml:space="preserve">reduce </w:t>
      </w:r>
      <w:r w:rsidR="00A507BB">
        <w:rPr>
          <w:sz w:val="24"/>
        </w:rPr>
        <w:t xml:space="preserve"> </w:t>
      </w:r>
      <w:r>
        <w:rPr>
          <w:sz w:val="24"/>
        </w:rPr>
        <w:t>acoustic</w:t>
      </w:r>
      <w:proofErr w:type="gramEnd"/>
      <w:r>
        <w:rPr>
          <w:sz w:val="24"/>
        </w:rPr>
        <w:t xml:space="preserve"> noise.</w:t>
      </w:r>
    </w:p>
    <w:p w:rsidR="00F3177F" w:rsidRDefault="0089671D">
      <w:pPr>
        <w:pStyle w:val="ListParagraph"/>
        <w:numPr>
          <w:ilvl w:val="0"/>
          <w:numId w:val="1"/>
        </w:numPr>
        <w:tabs>
          <w:tab w:val="left" w:pos="1304"/>
          <w:tab w:val="left" w:pos="1305"/>
        </w:tabs>
        <w:spacing w:before="11"/>
        <w:rPr>
          <w:sz w:val="24"/>
        </w:rPr>
      </w:pPr>
      <w:r>
        <w:rPr>
          <w:sz w:val="24"/>
        </w:rPr>
        <w:t>Well-balanced and softly padded equipment will produce less vibration</w:t>
      </w:r>
      <w:r>
        <w:rPr>
          <w:spacing w:val="-12"/>
          <w:sz w:val="24"/>
        </w:rPr>
        <w:t xml:space="preserve"> </w:t>
      </w:r>
      <w:r>
        <w:rPr>
          <w:sz w:val="24"/>
        </w:rPr>
        <w:t>noise.</w:t>
      </w:r>
    </w:p>
    <w:p w:rsidR="00F3177F" w:rsidRDefault="0089671D">
      <w:pPr>
        <w:pStyle w:val="ListParagraph"/>
        <w:numPr>
          <w:ilvl w:val="0"/>
          <w:numId w:val="1"/>
        </w:numPr>
        <w:tabs>
          <w:tab w:val="left" w:pos="1304"/>
          <w:tab w:val="left" w:pos="1305"/>
        </w:tabs>
        <w:spacing w:before="135"/>
        <w:rPr>
          <w:sz w:val="24"/>
        </w:rPr>
      </w:pPr>
      <w:r>
        <w:rPr>
          <w:sz w:val="24"/>
        </w:rPr>
        <w:t>Prefer fans with low velocities for less</w:t>
      </w:r>
      <w:r>
        <w:rPr>
          <w:spacing w:val="-11"/>
          <w:sz w:val="24"/>
        </w:rPr>
        <w:t xml:space="preserve"> </w:t>
      </w:r>
      <w:r>
        <w:rPr>
          <w:sz w:val="24"/>
        </w:rPr>
        <w:t>noise.</w:t>
      </w:r>
    </w:p>
    <w:p w:rsidR="00F3177F" w:rsidRDefault="0089671D">
      <w:pPr>
        <w:pStyle w:val="ListParagraph"/>
        <w:numPr>
          <w:ilvl w:val="0"/>
          <w:numId w:val="1"/>
        </w:numPr>
        <w:tabs>
          <w:tab w:val="left" w:pos="1304"/>
          <w:tab w:val="left" w:pos="1305"/>
        </w:tabs>
        <w:rPr>
          <w:sz w:val="24"/>
        </w:rPr>
      </w:pPr>
      <w:r>
        <w:rPr>
          <w:sz w:val="24"/>
        </w:rPr>
        <w:t>Enclose instructional equipment with noise insulation near classroom</w:t>
      </w:r>
      <w:r>
        <w:rPr>
          <w:spacing w:val="-14"/>
          <w:sz w:val="24"/>
        </w:rPr>
        <w:t xml:space="preserve"> </w:t>
      </w:r>
      <w:r>
        <w:rPr>
          <w:sz w:val="24"/>
        </w:rPr>
        <w:t>areas.</w:t>
      </w:r>
    </w:p>
    <w:p w:rsidR="00F3177F" w:rsidRDefault="0089671D">
      <w:pPr>
        <w:pStyle w:val="ListParagraph"/>
        <w:numPr>
          <w:ilvl w:val="0"/>
          <w:numId w:val="1"/>
        </w:numPr>
        <w:tabs>
          <w:tab w:val="left" w:pos="1305"/>
        </w:tabs>
        <w:spacing w:line="357" w:lineRule="auto"/>
        <w:ind w:right="114"/>
        <w:jc w:val="both"/>
        <w:rPr>
          <w:sz w:val="24"/>
        </w:rPr>
      </w:pPr>
      <w:r>
        <w:rPr>
          <w:sz w:val="24"/>
        </w:rPr>
        <w:t>Keep HVAC, instructional and mechanical equipment as far as possible from listening/speaking activity areas. It should be noted that classroom speech intelligibility ratings in the United States are around 75% or less meaning that ¼ of verbal word is not comprehended (Seep et al.,</w:t>
      </w:r>
      <w:r>
        <w:rPr>
          <w:spacing w:val="-6"/>
          <w:sz w:val="24"/>
        </w:rPr>
        <w:t xml:space="preserve"> </w:t>
      </w:r>
      <w:r>
        <w:rPr>
          <w:sz w:val="24"/>
        </w:rPr>
        <w:t>2000).</w:t>
      </w:r>
    </w:p>
    <w:p w:rsidR="00F3177F" w:rsidRDefault="0089671D">
      <w:pPr>
        <w:pStyle w:val="ListParagraph"/>
        <w:numPr>
          <w:ilvl w:val="0"/>
          <w:numId w:val="1"/>
        </w:numPr>
        <w:tabs>
          <w:tab w:val="left" w:pos="1304"/>
          <w:tab w:val="left" w:pos="1305"/>
        </w:tabs>
        <w:spacing w:before="8"/>
        <w:rPr>
          <w:sz w:val="24"/>
        </w:rPr>
      </w:pPr>
      <w:r>
        <w:rPr>
          <w:sz w:val="24"/>
        </w:rPr>
        <w:t>Prioritize natural ventilation systems when</w:t>
      </w:r>
      <w:r>
        <w:rPr>
          <w:spacing w:val="-9"/>
          <w:sz w:val="24"/>
        </w:rPr>
        <w:t xml:space="preserve"> </w:t>
      </w:r>
      <w:r>
        <w:rPr>
          <w:sz w:val="24"/>
        </w:rPr>
        <w:t>possible.</w:t>
      </w:r>
    </w:p>
    <w:p w:rsidR="00F3177F" w:rsidRDefault="00F3177F">
      <w:pPr>
        <w:rPr>
          <w:sz w:val="24"/>
        </w:rPr>
        <w:sectPr w:rsidR="00F3177F">
          <w:pgSz w:w="12240" w:h="15840"/>
          <w:pgMar w:top="1380" w:right="1320" w:bottom="2320" w:left="1720" w:header="0" w:footer="2095" w:gutter="0"/>
          <w:cols w:space="720"/>
        </w:sectPr>
      </w:pPr>
    </w:p>
    <w:p w:rsidR="00F3177F" w:rsidRDefault="0089671D" w:rsidP="00A507BB">
      <w:pPr>
        <w:pStyle w:val="ListParagraph"/>
        <w:numPr>
          <w:ilvl w:val="0"/>
          <w:numId w:val="1"/>
        </w:numPr>
        <w:tabs>
          <w:tab w:val="left" w:pos="1304"/>
          <w:tab w:val="left" w:pos="1305"/>
        </w:tabs>
        <w:spacing w:before="34" w:line="352" w:lineRule="auto"/>
        <w:ind w:right="121"/>
        <w:jc w:val="both"/>
        <w:rPr>
          <w:sz w:val="24"/>
        </w:rPr>
      </w:pPr>
      <w:r>
        <w:rPr>
          <w:sz w:val="24"/>
        </w:rPr>
        <w:lastRenderedPageBreak/>
        <w:t>Use insulation and plastic supports for the pipes, joints and other structural material to reduce vibration noise from the</w:t>
      </w:r>
      <w:r>
        <w:rPr>
          <w:spacing w:val="-9"/>
          <w:sz w:val="24"/>
        </w:rPr>
        <w:t xml:space="preserve"> </w:t>
      </w:r>
      <w:r>
        <w:rPr>
          <w:sz w:val="24"/>
        </w:rPr>
        <w:t>building.</w:t>
      </w:r>
    </w:p>
    <w:p w:rsidR="00F3177F" w:rsidRDefault="0089671D">
      <w:pPr>
        <w:pStyle w:val="ListParagraph"/>
        <w:numPr>
          <w:ilvl w:val="0"/>
          <w:numId w:val="1"/>
        </w:numPr>
        <w:tabs>
          <w:tab w:val="left" w:pos="1304"/>
          <w:tab w:val="left" w:pos="1305"/>
        </w:tabs>
        <w:spacing w:before="11"/>
        <w:rPr>
          <w:sz w:val="24"/>
        </w:rPr>
      </w:pPr>
      <w:r>
        <w:rPr>
          <w:sz w:val="24"/>
        </w:rPr>
        <w:t>Take regular maintenance precautions for school</w:t>
      </w:r>
      <w:r>
        <w:rPr>
          <w:spacing w:val="-12"/>
          <w:sz w:val="24"/>
        </w:rPr>
        <w:t xml:space="preserve"> </w:t>
      </w:r>
      <w:r>
        <w:rPr>
          <w:sz w:val="24"/>
        </w:rPr>
        <w:t>equipment.</w:t>
      </w:r>
    </w:p>
    <w:p w:rsidR="00F3177F" w:rsidRDefault="0089671D">
      <w:pPr>
        <w:pStyle w:val="ListParagraph"/>
        <w:numPr>
          <w:ilvl w:val="0"/>
          <w:numId w:val="1"/>
        </w:numPr>
        <w:tabs>
          <w:tab w:val="left" w:pos="1304"/>
          <w:tab w:val="left" w:pos="1305"/>
        </w:tabs>
        <w:rPr>
          <w:sz w:val="24"/>
        </w:rPr>
      </w:pPr>
      <w:r>
        <w:rPr>
          <w:sz w:val="24"/>
        </w:rPr>
        <w:t>Prefer quieter lighting systems in</w:t>
      </w:r>
      <w:r>
        <w:rPr>
          <w:spacing w:val="-11"/>
          <w:sz w:val="24"/>
        </w:rPr>
        <w:t xml:space="preserve"> </w:t>
      </w:r>
      <w:r>
        <w:rPr>
          <w:sz w:val="24"/>
        </w:rPr>
        <w:t>classrooms.</w:t>
      </w:r>
    </w:p>
    <w:p w:rsidR="00F3177F" w:rsidRDefault="00F3177F">
      <w:pPr>
        <w:pStyle w:val="BodyText"/>
      </w:pPr>
    </w:p>
    <w:p w:rsidR="00F3177F" w:rsidRDefault="00F3177F">
      <w:pPr>
        <w:pStyle w:val="BodyText"/>
      </w:pPr>
    </w:p>
    <w:p w:rsidR="00F3177F" w:rsidRDefault="0089671D">
      <w:pPr>
        <w:pStyle w:val="Heading2"/>
        <w:numPr>
          <w:ilvl w:val="1"/>
          <w:numId w:val="27"/>
        </w:numPr>
        <w:tabs>
          <w:tab w:val="left" w:pos="1065"/>
        </w:tabs>
        <w:spacing w:before="141"/>
        <w:jc w:val="both"/>
      </w:pPr>
      <w:r>
        <w:t>Bases of the</w:t>
      </w:r>
      <w:r>
        <w:rPr>
          <w:spacing w:val="-7"/>
        </w:rPr>
        <w:t xml:space="preserve"> </w:t>
      </w:r>
      <w:r>
        <w:t>Hypotheses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4"/>
        <w:jc w:val="both"/>
      </w:pPr>
      <w:r>
        <w:t>Kosovo is the youngest independent country in Europe and she achieved a successful economic growth according to World Bank (2014). Although according to the same resource the growth percentage is expected to continue at around 4%, it presents “increased demands for electricity” with poor reliability as one of the main limitations for businesses in Kosovo making her depend on untrustworthy electricity importations (World Bank, 2014). For space and water heating purposes, the country relies on firewood and electricity that account for 80% of total heating consumption (World Bank</w:t>
      </w:r>
    </w:p>
    <w:p w:rsidR="00F3177F" w:rsidRDefault="0089671D">
      <w:pPr>
        <w:pStyle w:val="BodyText"/>
        <w:spacing w:before="6" w:line="350" w:lineRule="auto"/>
        <w:ind w:left="584" w:right="114"/>
        <w:jc w:val="both"/>
      </w:pPr>
      <w:r>
        <w:t>Groups, 2016, p.1-3). Although state schools’ percentage in all building sector was 3.75%, the total area of municipality school buildings in all Kosovo was 1690000 m</w:t>
      </w:r>
      <w:r>
        <w:rPr>
          <w:position w:val="11"/>
          <w:sz w:val="16"/>
        </w:rPr>
        <w:t xml:space="preserve">2 </w:t>
      </w:r>
      <w:r>
        <w:t>and they covered 71.61% of all public municipality and 66.48% of all public central buildings in all Kosovo in 2013 (World Bank, 2014).</w:t>
      </w:r>
    </w:p>
    <w:p w:rsidR="00F3177F" w:rsidRDefault="00F3177F">
      <w:pPr>
        <w:pStyle w:val="BodyText"/>
      </w:pPr>
    </w:p>
    <w:p w:rsidR="00F3177F" w:rsidRDefault="0089671D">
      <w:pPr>
        <w:pStyle w:val="BodyText"/>
        <w:spacing w:before="153" w:line="360" w:lineRule="auto"/>
        <w:ind w:left="584" w:right="110"/>
        <w:jc w:val="both"/>
      </w:pPr>
      <w:r>
        <w:rPr>
          <w:spacing w:val="-3"/>
        </w:rPr>
        <w:t xml:space="preserve">Kosovo </w:t>
      </w:r>
      <w:r>
        <w:t xml:space="preserve">decided </w:t>
      </w:r>
      <w:r>
        <w:rPr>
          <w:spacing w:val="-2"/>
        </w:rPr>
        <w:t xml:space="preserve">“to </w:t>
      </w:r>
      <w:r>
        <w:t xml:space="preserve">adopt </w:t>
      </w:r>
      <w:r>
        <w:rPr>
          <w:spacing w:val="-3"/>
        </w:rPr>
        <w:t xml:space="preserve">and </w:t>
      </w:r>
      <w:r>
        <w:t xml:space="preserve">implement selected EU energy </w:t>
      </w:r>
      <w:r>
        <w:rPr>
          <w:i/>
        </w:rPr>
        <w:t>acquis</w:t>
      </w:r>
      <w:r>
        <w:t xml:space="preserve">, including energy efficiency by signing the Energy Community </w:t>
      </w:r>
      <w:r>
        <w:rPr>
          <w:spacing w:val="-3"/>
        </w:rPr>
        <w:t xml:space="preserve">Treaty, </w:t>
      </w:r>
      <w:r>
        <w:t xml:space="preserve">as Contracting Parties, in 2005” </w:t>
      </w:r>
      <w:r>
        <w:rPr>
          <w:spacing w:val="-3"/>
        </w:rPr>
        <w:t xml:space="preserve">(Kogalniceanu </w:t>
      </w:r>
      <w:r>
        <w:t xml:space="preserve">&amp; </w:t>
      </w:r>
      <w:r>
        <w:rPr>
          <w:spacing w:val="-3"/>
        </w:rPr>
        <w:t xml:space="preserve">Raicevic, 2013). </w:t>
      </w:r>
      <w:r>
        <w:t xml:space="preserve">World </w:t>
      </w:r>
      <w:r>
        <w:rPr>
          <w:spacing w:val="-3"/>
        </w:rPr>
        <w:t xml:space="preserve">Bank Groups (2016) </w:t>
      </w:r>
      <w:r>
        <w:t xml:space="preserve">counts Energy </w:t>
      </w:r>
      <w:r>
        <w:rPr>
          <w:spacing w:val="-3"/>
        </w:rPr>
        <w:t xml:space="preserve">Performance </w:t>
      </w:r>
      <w:r>
        <w:t xml:space="preserve">in Buildings </w:t>
      </w:r>
      <w:r>
        <w:rPr>
          <w:spacing w:val="-3"/>
        </w:rPr>
        <w:t xml:space="preserve">and </w:t>
      </w:r>
      <w:r>
        <w:t xml:space="preserve">Energy Labeling of </w:t>
      </w:r>
      <w:r>
        <w:rPr>
          <w:spacing w:val="-3"/>
        </w:rPr>
        <w:t xml:space="preserve">Household Appliances </w:t>
      </w:r>
      <w:r>
        <w:t xml:space="preserve">as the major </w:t>
      </w:r>
      <w:r>
        <w:rPr>
          <w:spacing w:val="-3"/>
        </w:rPr>
        <w:t>energy-related</w:t>
      </w:r>
      <w:r>
        <w:rPr>
          <w:spacing w:val="-16"/>
        </w:rPr>
        <w:t xml:space="preserve"> </w:t>
      </w:r>
      <w:r>
        <w:t>directives.</w:t>
      </w:r>
    </w:p>
    <w:p w:rsidR="00F3177F" w:rsidRDefault="00F3177F">
      <w:pPr>
        <w:pStyle w:val="BodyText"/>
      </w:pPr>
    </w:p>
    <w:p w:rsidR="00A507BB" w:rsidRDefault="0089671D" w:rsidP="00A507BB">
      <w:pPr>
        <w:pStyle w:val="BodyText"/>
        <w:spacing w:before="143" w:line="360" w:lineRule="auto"/>
        <w:ind w:left="584" w:right="114"/>
        <w:jc w:val="both"/>
      </w:pPr>
      <w:r>
        <w:t>The key elements and potential changes in the Kosovo Legislative Framework as in World Bank Groups (2016) are given in Appendix C. As the legislations ask for energy efficiency action plans, Kosovo aims at 9% energy conservation by the year 2018 and</w:t>
      </w:r>
      <w:r w:rsidR="00A507BB">
        <w:t xml:space="preserve"> </w:t>
      </w:r>
    </w:p>
    <w:p w:rsidR="00F3177F" w:rsidRDefault="0089671D" w:rsidP="00A507BB">
      <w:pPr>
        <w:pStyle w:val="BodyText"/>
        <w:spacing w:before="143" w:line="360" w:lineRule="auto"/>
        <w:ind w:left="584" w:right="114"/>
        <w:jc w:val="both"/>
      </w:pPr>
      <w:proofErr w:type="gramStart"/>
      <w:r>
        <w:lastRenderedPageBreak/>
        <w:t>the</w:t>
      </w:r>
      <w:proofErr w:type="gramEnd"/>
      <w:r>
        <w:t xml:space="preserve"> aim was accomplished by 3% for the period 2010-2012 (The Government of Kosovo, 2013).</w:t>
      </w:r>
    </w:p>
    <w:p w:rsidR="00F3177F" w:rsidRDefault="00F3177F">
      <w:pPr>
        <w:pStyle w:val="BodyText"/>
      </w:pPr>
    </w:p>
    <w:p w:rsidR="00F3177F" w:rsidRDefault="0089671D">
      <w:pPr>
        <w:pStyle w:val="BodyText"/>
        <w:spacing w:before="143" w:line="360" w:lineRule="auto"/>
        <w:ind w:left="584" w:right="116"/>
        <w:jc w:val="both"/>
      </w:pPr>
      <w:r>
        <w:t>Having scheduled the first inclusive energy auditors’ training and energy auditing agenda in 2010, Kosovo implemented the 30 most attractive high energy performance projects in state buildings owned by municipalities supported by Western Balkan Investment Framework (WBIF) in 2011 and 2012 (Kogalniceanu &amp; Raicevic, 2013). However, developing countries encounter more difficulties implementing energy efficiency measures. Kogalniceanu and Raicevic (2013) count main obstacles to</w:t>
      </w:r>
      <w:r w:rsidR="00A507BB">
        <w:t xml:space="preserve"> </w:t>
      </w:r>
      <w:r>
        <w:t>improve energy efficiency</w:t>
      </w:r>
      <w:r>
        <w:rPr>
          <w:spacing w:val="-9"/>
        </w:rPr>
        <w:t xml:space="preserve"> </w:t>
      </w:r>
      <w:r>
        <w:t>as:</w:t>
      </w:r>
    </w:p>
    <w:p w:rsidR="00F3177F" w:rsidRDefault="0089671D">
      <w:pPr>
        <w:pStyle w:val="ListParagraph"/>
        <w:numPr>
          <w:ilvl w:val="2"/>
          <w:numId w:val="27"/>
        </w:numPr>
        <w:tabs>
          <w:tab w:val="left" w:pos="1304"/>
          <w:tab w:val="left" w:pos="1305"/>
        </w:tabs>
        <w:spacing w:before="6"/>
        <w:rPr>
          <w:sz w:val="24"/>
        </w:rPr>
      </w:pPr>
      <w:r>
        <w:rPr>
          <w:sz w:val="24"/>
        </w:rPr>
        <w:t>High energy inefficiency in most consumption</w:t>
      </w:r>
      <w:r>
        <w:rPr>
          <w:spacing w:val="-9"/>
          <w:sz w:val="24"/>
        </w:rPr>
        <w:t xml:space="preserve"> </w:t>
      </w:r>
      <w:r>
        <w:rPr>
          <w:sz w:val="24"/>
        </w:rPr>
        <w:t>sectors</w:t>
      </w:r>
    </w:p>
    <w:p w:rsidR="00F3177F" w:rsidRDefault="0089671D">
      <w:pPr>
        <w:pStyle w:val="ListParagraph"/>
        <w:numPr>
          <w:ilvl w:val="2"/>
          <w:numId w:val="27"/>
        </w:numPr>
        <w:tabs>
          <w:tab w:val="left" w:pos="1304"/>
          <w:tab w:val="left" w:pos="1305"/>
        </w:tabs>
        <w:rPr>
          <w:sz w:val="24"/>
        </w:rPr>
      </w:pPr>
      <w:r>
        <w:rPr>
          <w:sz w:val="24"/>
        </w:rPr>
        <w:t>Low</w:t>
      </w:r>
      <w:r>
        <w:rPr>
          <w:spacing w:val="-3"/>
          <w:sz w:val="24"/>
        </w:rPr>
        <w:t xml:space="preserve"> </w:t>
      </w:r>
      <w:r>
        <w:rPr>
          <w:sz w:val="24"/>
        </w:rPr>
        <w:t>income</w:t>
      </w:r>
    </w:p>
    <w:p w:rsidR="00F3177F" w:rsidRDefault="0089671D">
      <w:pPr>
        <w:pStyle w:val="ListParagraph"/>
        <w:numPr>
          <w:ilvl w:val="2"/>
          <w:numId w:val="27"/>
        </w:numPr>
        <w:tabs>
          <w:tab w:val="left" w:pos="1304"/>
          <w:tab w:val="left" w:pos="1305"/>
        </w:tabs>
        <w:spacing w:before="135"/>
        <w:rPr>
          <w:sz w:val="24"/>
        </w:rPr>
      </w:pPr>
      <w:r>
        <w:rPr>
          <w:sz w:val="24"/>
        </w:rPr>
        <w:t>High public budget</w:t>
      </w:r>
      <w:r>
        <w:rPr>
          <w:spacing w:val="-8"/>
          <w:sz w:val="24"/>
        </w:rPr>
        <w:t xml:space="preserve"> </w:t>
      </w:r>
      <w:r>
        <w:rPr>
          <w:sz w:val="24"/>
        </w:rPr>
        <w:t>constraints</w:t>
      </w:r>
    </w:p>
    <w:p w:rsidR="00F3177F" w:rsidRDefault="0089671D">
      <w:pPr>
        <w:pStyle w:val="ListParagraph"/>
        <w:numPr>
          <w:ilvl w:val="2"/>
          <w:numId w:val="27"/>
        </w:numPr>
        <w:tabs>
          <w:tab w:val="left" w:pos="1304"/>
          <w:tab w:val="left" w:pos="1305"/>
        </w:tabs>
        <w:rPr>
          <w:sz w:val="24"/>
        </w:rPr>
      </w:pPr>
      <w:r>
        <w:rPr>
          <w:sz w:val="24"/>
        </w:rPr>
        <w:t>Severe influence of global economic</w:t>
      </w:r>
      <w:r>
        <w:rPr>
          <w:spacing w:val="-9"/>
          <w:sz w:val="24"/>
        </w:rPr>
        <w:t xml:space="preserve"> </w:t>
      </w:r>
      <w:r>
        <w:rPr>
          <w:sz w:val="24"/>
        </w:rPr>
        <w:t>crisis</w:t>
      </w:r>
    </w:p>
    <w:p w:rsidR="00F3177F" w:rsidRDefault="0089671D">
      <w:pPr>
        <w:pStyle w:val="ListParagraph"/>
        <w:numPr>
          <w:ilvl w:val="2"/>
          <w:numId w:val="27"/>
        </w:numPr>
        <w:tabs>
          <w:tab w:val="left" w:pos="1304"/>
          <w:tab w:val="left" w:pos="1305"/>
        </w:tabs>
        <w:rPr>
          <w:sz w:val="24"/>
        </w:rPr>
      </w:pPr>
      <w:r>
        <w:rPr>
          <w:sz w:val="24"/>
        </w:rPr>
        <w:t>Weak institutional</w:t>
      </w:r>
      <w:r>
        <w:rPr>
          <w:spacing w:val="-5"/>
          <w:sz w:val="24"/>
        </w:rPr>
        <w:t xml:space="preserve"> </w:t>
      </w:r>
      <w:r>
        <w:rPr>
          <w:sz w:val="24"/>
        </w:rPr>
        <w:t>framework</w:t>
      </w:r>
    </w:p>
    <w:p w:rsidR="00F3177F" w:rsidRDefault="0089671D">
      <w:pPr>
        <w:pStyle w:val="ListParagraph"/>
        <w:numPr>
          <w:ilvl w:val="2"/>
          <w:numId w:val="27"/>
        </w:numPr>
        <w:tabs>
          <w:tab w:val="left" w:pos="1304"/>
          <w:tab w:val="left" w:pos="1305"/>
        </w:tabs>
        <w:spacing w:before="135"/>
        <w:rPr>
          <w:sz w:val="24"/>
        </w:rPr>
      </w:pPr>
      <w:r>
        <w:rPr>
          <w:sz w:val="24"/>
        </w:rPr>
        <w:t>Incomplete legal and regulatory</w:t>
      </w:r>
      <w:r>
        <w:rPr>
          <w:spacing w:val="-13"/>
          <w:sz w:val="24"/>
        </w:rPr>
        <w:t xml:space="preserve"> </w:t>
      </w:r>
      <w:r>
        <w:rPr>
          <w:sz w:val="24"/>
        </w:rPr>
        <w:t>framework</w:t>
      </w:r>
    </w:p>
    <w:p w:rsidR="00F3177F" w:rsidRDefault="0089671D">
      <w:pPr>
        <w:pStyle w:val="ListParagraph"/>
        <w:numPr>
          <w:ilvl w:val="2"/>
          <w:numId w:val="27"/>
        </w:numPr>
        <w:tabs>
          <w:tab w:val="left" w:pos="1304"/>
          <w:tab w:val="left" w:pos="1305"/>
        </w:tabs>
        <w:rPr>
          <w:sz w:val="24"/>
        </w:rPr>
      </w:pPr>
      <w:r>
        <w:rPr>
          <w:sz w:val="24"/>
        </w:rPr>
        <w:t>Low energy</w:t>
      </w:r>
      <w:r>
        <w:rPr>
          <w:spacing w:val="-8"/>
          <w:sz w:val="24"/>
        </w:rPr>
        <w:t xml:space="preserve"> </w:t>
      </w:r>
      <w:r>
        <w:rPr>
          <w:sz w:val="24"/>
        </w:rPr>
        <w:t>prices.</w:t>
      </w:r>
    </w:p>
    <w:p w:rsidR="00F3177F" w:rsidRDefault="00F3177F">
      <w:pPr>
        <w:pStyle w:val="BodyText"/>
      </w:pPr>
    </w:p>
    <w:p w:rsidR="00F3177F" w:rsidRDefault="00F3177F">
      <w:pPr>
        <w:pStyle w:val="BodyText"/>
      </w:pPr>
    </w:p>
    <w:p w:rsidR="00F3177F" w:rsidRDefault="0089671D">
      <w:pPr>
        <w:pStyle w:val="BodyText"/>
        <w:spacing w:before="198" w:line="360" w:lineRule="auto"/>
        <w:ind w:left="584" w:right="114"/>
        <w:jc w:val="both"/>
      </w:pPr>
      <w:r>
        <w:t xml:space="preserve">World </w:t>
      </w:r>
      <w:r>
        <w:rPr>
          <w:spacing w:val="-3"/>
        </w:rPr>
        <w:t xml:space="preserve">Bank Groups (2016) </w:t>
      </w:r>
      <w:r>
        <w:t xml:space="preserve">add low energy bill </w:t>
      </w:r>
      <w:r>
        <w:rPr>
          <w:spacing w:val="-3"/>
        </w:rPr>
        <w:t xml:space="preserve">collection rates and </w:t>
      </w:r>
      <w:r>
        <w:rPr>
          <w:spacing w:val="-2"/>
        </w:rPr>
        <w:t xml:space="preserve">higher </w:t>
      </w:r>
      <w:r>
        <w:t xml:space="preserve">than 18% </w:t>
      </w:r>
      <w:r>
        <w:rPr>
          <w:spacing w:val="-3"/>
        </w:rPr>
        <w:t>thermal</w:t>
      </w:r>
      <w:r>
        <w:rPr>
          <w:spacing w:val="-6"/>
        </w:rPr>
        <w:t xml:space="preserve"> </w:t>
      </w:r>
      <w:r>
        <w:rPr>
          <w:spacing w:val="-2"/>
        </w:rPr>
        <w:t>losses</w:t>
      </w:r>
      <w:r>
        <w:rPr>
          <w:spacing w:val="-4"/>
        </w:rPr>
        <w:t xml:space="preserve"> </w:t>
      </w:r>
      <w:r>
        <w:t>as</w:t>
      </w:r>
      <w:r>
        <w:rPr>
          <w:spacing w:val="-3"/>
        </w:rPr>
        <w:t xml:space="preserve"> </w:t>
      </w:r>
      <w:r>
        <w:t>the</w:t>
      </w:r>
      <w:r>
        <w:rPr>
          <w:spacing w:val="-5"/>
        </w:rPr>
        <w:t xml:space="preserve"> </w:t>
      </w:r>
      <w:r>
        <w:t>other</w:t>
      </w:r>
      <w:r>
        <w:rPr>
          <w:spacing w:val="-7"/>
        </w:rPr>
        <w:t xml:space="preserve"> </w:t>
      </w:r>
      <w:r>
        <w:rPr>
          <w:spacing w:val="-3"/>
        </w:rPr>
        <w:t>factors</w:t>
      </w:r>
      <w:r>
        <w:rPr>
          <w:spacing w:val="-4"/>
        </w:rPr>
        <w:t xml:space="preserve"> </w:t>
      </w:r>
      <w:r>
        <w:t>in</w:t>
      </w:r>
      <w:r>
        <w:rPr>
          <w:spacing w:val="-4"/>
        </w:rPr>
        <w:t xml:space="preserve"> </w:t>
      </w:r>
      <w:r>
        <w:rPr>
          <w:spacing w:val="-3"/>
        </w:rPr>
        <w:t>Kosovo</w:t>
      </w:r>
      <w:r>
        <w:rPr>
          <w:spacing w:val="-4"/>
        </w:rPr>
        <w:t xml:space="preserve"> </w:t>
      </w:r>
      <w:r>
        <w:t>although</w:t>
      </w:r>
      <w:r>
        <w:rPr>
          <w:spacing w:val="-6"/>
        </w:rPr>
        <w:t xml:space="preserve"> </w:t>
      </w:r>
      <w:r>
        <w:t>there</w:t>
      </w:r>
      <w:r>
        <w:rPr>
          <w:spacing w:val="-8"/>
        </w:rPr>
        <w:t xml:space="preserve"> </w:t>
      </w:r>
      <w:r>
        <w:t>is</w:t>
      </w:r>
      <w:r>
        <w:rPr>
          <w:spacing w:val="-4"/>
        </w:rPr>
        <w:t xml:space="preserve"> </w:t>
      </w:r>
      <w:r>
        <w:rPr>
          <w:spacing w:val="-3"/>
        </w:rPr>
        <w:t>continual improvement.</w:t>
      </w:r>
      <w:r>
        <w:rPr>
          <w:spacing w:val="-4"/>
        </w:rPr>
        <w:t xml:space="preserve"> </w:t>
      </w:r>
      <w:r>
        <w:t>An Energy</w:t>
      </w:r>
      <w:r>
        <w:rPr>
          <w:spacing w:val="-10"/>
        </w:rPr>
        <w:t xml:space="preserve"> </w:t>
      </w:r>
      <w:r>
        <w:t>Efficiency</w:t>
      </w:r>
      <w:r>
        <w:rPr>
          <w:spacing w:val="-10"/>
        </w:rPr>
        <w:t xml:space="preserve"> </w:t>
      </w:r>
      <w:r>
        <w:t>Barrier</w:t>
      </w:r>
      <w:r>
        <w:rPr>
          <w:spacing w:val="-4"/>
        </w:rPr>
        <w:t xml:space="preserve"> </w:t>
      </w:r>
      <w:r>
        <w:rPr>
          <w:spacing w:val="-3"/>
        </w:rPr>
        <w:t>Matrix</w:t>
      </w:r>
      <w:r>
        <w:rPr>
          <w:spacing w:val="-4"/>
        </w:rPr>
        <w:t xml:space="preserve"> </w:t>
      </w:r>
      <w:r>
        <w:t>for</w:t>
      </w:r>
      <w:r>
        <w:rPr>
          <w:spacing w:val="-8"/>
        </w:rPr>
        <w:t xml:space="preserve"> </w:t>
      </w:r>
      <w:r>
        <w:rPr>
          <w:spacing w:val="-2"/>
        </w:rPr>
        <w:t>Public</w:t>
      </w:r>
      <w:r>
        <w:rPr>
          <w:spacing w:val="-5"/>
        </w:rPr>
        <w:t xml:space="preserve"> </w:t>
      </w:r>
      <w:r>
        <w:rPr>
          <w:spacing w:val="-2"/>
        </w:rPr>
        <w:t>Sector</w:t>
      </w:r>
      <w:r>
        <w:rPr>
          <w:spacing w:val="-5"/>
        </w:rPr>
        <w:t xml:space="preserve"> </w:t>
      </w:r>
      <w:r>
        <w:t>by</w:t>
      </w:r>
      <w:r>
        <w:rPr>
          <w:spacing w:val="-12"/>
        </w:rPr>
        <w:t xml:space="preserve"> </w:t>
      </w:r>
      <w:r>
        <w:t>World</w:t>
      </w:r>
      <w:r>
        <w:rPr>
          <w:spacing w:val="-5"/>
        </w:rPr>
        <w:t xml:space="preserve"> </w:t>
      </w:r>
      <w:r>
        <w:rPr>
          <w:spacing w:val="-3"/>
        </w:rPr>
        <w:t>Bank</w:t>
      </w:r>
      <w:r>
        <w:rPr>
          <w:spacing w:val="-7"/>
        </w:rPr>
        <w:t xml:space="preserve"> </w:t>
      </w:r>
      <w:r>
        <w:t>(2013)</w:t>
      </w:r>
      <w:r>
        <w:rPr>
          <w:spacing w:val="-8"/>
        </w:rPr>
        <w:t xml:space="preserve"> </w:t>
      </w:r>
      <w:r>
        <w:t>is</w:t>
      </w:r>
      <w:r>
        <w:rPr>
          <w:spacing w:val="-4"/>
        </w:rPr>
        <w:t xml:space="preserve"> </w:t>
      </w:r>
      <w:r>
        <w:rPr>
          <w:spacing w:val="-3"/>
        </w:rPr>
        <w:t>also</w:t>
      </w:r>
      <w:r>
        <w:rPr>
          <w:spacing w:val="-5"/>
        </w:rPr>
        <w:t xml:space="preserve"> </w:t>
      </w:r>
      <w:r>
        <w:rPr>
          <w:spacing w:val="-3"/>
        </w:rPr>
        <w:t>given</w:t>
      </w:r>
      <w:r>
        <w:rPr>
          <w:spacing w:val="-7"/>
        </w:rPr>
        <w:t xml:space="preserve"> </w:t>
      </w:r>
      <w:r>
        <w:t xml:space="preserve">in </w:t>
      </w:r>
      <w:r>
        <w:rPr>
          <w:spacing w:val="-3"/>
        </w:rPr>
        <w:t>Appendix</w:t>
      </w:r>
      <w:r>
        <w:t xml:space="preserve"> D.</w:t>
      </w:r>
    </w:p>
    <w:p w:rsidR="00F3177F" w:rsidRDefault="00F3177F">
      <w:pPr>
        <w:pStyle w:val="BodyText"/>
      </w:pPr>
    </w:p>
    <w:p w:rsidR="00F3177F" w:rsidRDefault="0089671D">
      <w:pPr>
        <w:pStyle w:val="BodyText"/>
        <w:spacing w:before="143" w:line="360" w:lineRule="auto"/>
        <w:ind w:left="584" w:right="122"/>
        <w:jc w:val="both"/>
      </w:pPr>
      <w:r>
        <w:t>According to World Bank Groups (2016) energy intensity of Kosovo in comparison</w:t>
      </w:r>
      <w:r w:rsidR="00A507BB">
        <w:t xml:space="preserve"> </w:t>
      </w:r>
      <w:r>
        <w:t>with other countries is as given in Figure 7</w:t>
      </w:r>
      <w:r>
        <w:rPr>
          <w:spacing w:val="-10"/>
        </w:rPr>
        <w:t xml:space="preserve"> </w:t>
      </w:r>
      <w:r>
        <w:t>below.</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ind w:left="584"/>
        <w:rPr>
          <w:sz w:val="20"/>
        </w:rPr>
      </w:pPr>
      <w:r>
        <w:rPr>
          <w:noProof/>
          <w:sz w:val="20"/>
        </w:rPr>
        <w:lastRenderedPageBreak/>
        <w:drawing>
          <wp:inline distT="0" distB="0" distL="0" distR="0">
            <wp:extent cx="5414014" cy="338909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7" cstate="print"/>
                    <a:stretch>
                      <a:fillRect/>
                    </a:stretch>
                  </pic:blipFill>
                  <pic:spPr>
                    <a:xfrm>
                      <a:off x="0" y="0"/>
                      <a:ext cx="5414014" cy="3389090"/>
                    </a:xfrm>
                    <a:prstGeom prst="rect">
                      <a:avLst/>
                    </a:prstGeom>
                  </pic:spPr>
                </pic:pic>
              </a:graphicData>
            </a:graphic>
          </wp:inline>
        </w:drawing>
      </w:r>
    </w:p>
    <w:p w:rsidR="00F3177F" w:rsidRDefault="0089671D">
      <w:pPr>
        <w:pStyle w:val="BodyText"/>
        <w:spacing w:before="117"/>
        <w:ind w:left="584"/>
        <w:jc w:val="both"/>
      </w:pPr>
      <w:r>
        <w:t>Figure 7: Energy Intensity of Kosovo and Other Countries</w:t>
      </w:r>
    </w:p>
    <w:p w:rsidR="00F3177F" w:rsidRDefault="0089671D">
      <w:pPr>
        <w:pStyle w:val="BodyText"/>
        <w:ind w:left="584" w:right="115"/>
        <w:jc w:val="both"/>
      </w:pPr>
      <w:r>
        <w:t>(Source: World Bank Groups. 2016. Kosovo: Options for Financing Energy Efficiency in Public Buildings. p.1)</w:t>
      </w:r>
    </w:p>
    <w:p w:rsidR="00F3177F" w:rsidRDefault="00F3177F">
      <w:pPr>
        <w:pStyle w:val="BodyText"/>
      </w:pPr>
    </w:p>
    <w:p w:rsidR="00F3177F" w:rsidRDefault="0089671D">
      <w:pPr>
        <w:pStyle w:val="BodyText"/>
        <w:spacing w:before="139" w:line="360" w:lineRule="auto"/>
        <w:ind w:left="584" w:right="111"/>
        <w:jc w:val="both"/>
      </w:pPr>
      <w:r>
        <w:rPr>
          <w:spacing w:val="-3"/>
        </w:rPr>
        <w:t xml:space="preserve">According </w:t>
      </w:r>
      <w:r>
        <w:t xml:space="preserve">to </w:t>
      </w:r>
      <w:r>
        <w:rPr>
          <w:spacing w:val="-3"/>
        </w:rPr>
        <w:t xml:space="preserve">Figure </w:t>
      </w:r>
      <w:r>
        <w:t xml:space="preserve">7 </w:t>
      </w:r>
      <w:r>
        <w:rPr>
          <w:spacing w:val="-3"/>
        </w:rPr>
        <w:t xml:space="preserve">above, </w:t>
      </w:r>
      <w:r>
        <w:t xml:space="preserve">the energy intensity of </w:t>
      </w:r>
      <w:r>
        <w:rPr>
          <w:spacing w:val="-3"/>
        </w:rPr>
        <w:t xml:space="preserve">Kosovo (0.46 </w:t>
      </w:r>
      <w:r>
        <w:rPr>
          <w:spacing w:val="-2"/>
        </w:rPr>
        <w:t>(</w:t>
      </w:r>
      <w:hyperlink r:id="rId48">
        <w:r>
          <w:rPr>
            <w:spacing w:val="-2"/>
          </w:rPr>
          <w:t xml:space="preserve">total </w:t>
        </w:r>
        <w:r>
          <w:t>primary energy</w:t>
        </w:r>
      </w:hyperlink>
      <w:r>
        <w:t xml:space="preserve"> </w:t>
      </w:r>
      <w:hyperlink r:id="rId49">
        <w:r>
          <w:t>supply</w:t>
        </w:r>
      </w:hyperlink>
      <w:r>
        <w:t xml:space="preserve"> </w:t>
      </w:r>
      <w:r>
        <w:rPr>
          <w:spacing w:val="-3"/>
        </w:rPr>
        <w:t xml:space="preserve">(tpes)/000 </w:t>
      </w:r>
      <w:r>
        <w:t xml:space="preserve">US$ </w:t>
      </w:r>
      <w:r>
        <w:rPr>
          <w:spacing w:val="-3"/>
        </w:rPr>
        <w:t xml:space="preserve">General </w:t>
      </w:r>
      <w:r>
        <w:t xml:space="preserve">Domestic </w:t>
      </w:r>
      <w:r>
        <w:rPr>
          <w:spacing w:val="-3"/>
        </w:rPr>
        <w:t xml:space="preserve">Product (GDP)) </w:t>
      </w:r>
      <w:r>
        <w:t xml:space="preserve">is </w:t>
      </w:r>
      <w:r>
        <w:rPr>
          <w:spacing w:val="-3"/>
        </w:rPr>
        <w:t xml:space="preserve">much </w:t>
      </w:r>
      <w:r>
        <w:rPr>
          <w:spacing w:val="-2"/>
        </w:rPr>
        <w:t xml:space="preserve">higher </w:t>
      </w:r>
      <w:r>
        <w:rPr>
          <w:spacing w:val="-3"/>
        </w:rPr>
        <w:t xml:space="preserve">than those </w:t>
      </w:r>
      <w:r>
        <w:t xml:space="preserve">of  the </w:t>
      </w:r>
      <w:r>
        <w:rPr>
          <w:spacing w:val="-3"/>
        </w:rPr>
        <w:t xml:space="preserve">world (0.24) </w:t>
      </w:r>
      <w:r>
        <w:t xml:space="preserve">and The </w:t>
      </w:r>
      <w:r>
        <w:rPr>
          <w:spacing w:val="-3"/>
        </w:rPr>
        <w:t xml:space="preserve">Organization </w:t>
      </w:r>
      <w:r>
        <w:t xml:space="preserve">for Economic </w:t>
      </w:r>
      <w:r>
        <w:rPr>
          <w:spacing w:val="-3"/>
        </w:rPr>
        <w:t xml:space="preserve">Cooperation </w:t>
      </w:r>
      <w:r>
        <w:t xml:space="preserve">and </w:t>
      </w:r>
      <w:r>
        <w:rPr>
          <w:spacing w:val="-3"/>
        </w:rPr>
        <w:t xml:space="preserve">Development (OECD) countries (0.13) although close </w:t>
      </w:r>
      <w:r>
        <w:t xml:space="preserve">to neighboring </w:t>
      </w:r>
      <w:r>
        <w:rPr>
          <w:spacing w:val="-3"/>
        </w:rPr>
        <w:t xml:space="preserve">countries. In addition, Kosovo’s </w:t>
      </w:r>
      <w:r>
        <w:t xml:space="preserve">energy </w:t>
      </w:r>
      <w:r>
        <w:rPr>
          <w:spacing w:val="-3"/>
        </w:rPr>
        <w:t xml:space="preserve">consumption </w:t>
      </w:r>
      <w:r>
        <w:t xml:space="preserve">per </w:t>
      </w:r>
      <w:r>
        <w:rPr>
          <w:spacing w:val="-3"/>
        </w:rPr>
        <w:t xml:space="preserve">capita </w:t>
      </w:r>
      <w:r>
        <w:t xml:space="preserve">is </w:t>
      </w:r>
      <w:r>
        <w:rPr>
          <w:spacing w:val="-3"/>
        </w:rPr>
        <w:t xml:space="preserve">1.29 </w:t>
      </w:r>
      <w:r>
        <w:t xml:space="preserve">tpes which is </w:t>
      </w:r>
      <w:r>
        <w:rPr>
          <w:spacing w:val="-3"/>
        </w:rPr>
        <w:t xml:space="preserve">around </w:t>
      </w:r>
      <w:r>
        <w:t xml:space="preserve">31% of the OECD </w:t>
      </w:r>
      <w:r>
        <w:rPr>
          <w:spacing w:val="-3"/>
        </w:rPr>
        <w:t xml:space="preserve">countries </w:t>
      </w:r>
      <w:r>
        <w:t>at</w:t>
      </w:r>
      <w:r>
        <w:rPr>
          <w:spacing w:val="-10"/>
        </w:rPr>
        <w:t xml:space="preserve"> </w:t>
      </w:r>
      <w:r>
        <w:t>4.2</w:t>
      </w:r>
      <w:r>
        <w:rPr>
          <w:spacing w:val="-10"/>
        </w:rPr>
        <w:t xml:space="preserve"> </w:t>
      </w:r>
      <w:r>
        <w:t>tpes</w:t>
      </w:r>
      <w:r>
        <w:rPr>
          <w:spacing w:val="-10"/>
        </w:rPr>
        <w:t xml:space="preserve"> </w:t>
      </w:r>
      <w:r>
        <w:t>per</w:t>
      </w:r>
      <w:r>
        <w:rPr>
          <w:spacing w:val="-9"/>
        </w:rPr>
        <w:t xml:space="preserve"> </w:t>
      </w:r>
      <w:r>
        <w:rPr>
          <w:spacing w:val="-2"/>
        </w:rPr>
        <w:t>capita</w:t>
      </w:r>
      <w:r>
        <w:rPr>
          <w:spacing w:val="-8"/>
        </w:rPr>
        <w:t xml:space="preserve"> </w:t>
      </w:r>
      <w:r>
        <w:t>(IEA,</w:t>
      </w:r>
      <w:r>
        <w:rPr>
          <w:spacing w:val="-10"/>
        </w:rPr>
        <w:t xml:space="preserve"> </w:t>
      </w:r>
      <w:r>
        <w:t>2015,</w:t>
      </w:r>
      <w:r>
        <w:rPr>
          <w:spacing w:val="-10"/>
        </w:rPr>
        <w:t xml:space="preserve"> </w:t>
      </w:r>
      <w:r>
        <w:rPr>
          <w:spacing w:val="-3"/>
        </w:rPr>
        <w:t>p.1-33).</w:t>
      </w:r>
    </w:p>
    <w:p w:rsidR="00F3177F" w:rsidRDefault="00F3177F">
      <w:pPr>
        <w:pStyle w:val="BodyText"/>
      </w:pPr>
    </w:p>
    <w:p w:rsidR="00F3177F" w:rsidRDefault="0089671D">
      <w:pPr>
        <w:pStyle w:val="BodyText"/>
        <w:spacing w:before="143" w:line="360" w:lineRule="auto"/>
        <w:ind w:left="584" w:right="118"/>
        <w:jc w:val="both"/>
      </w:pPr>
      <w:r>
        <w:t>According to Energy Statistics of non-OECD Countries (2012) and Western Balkans Investment Framework (2013), although Kosovo produces more energy than Albania and Macedonia, she spends 40% less than Albania and around 33% less than Macedonia.</w:t>
      </w:r>
    </w:p>
    <w:p w:rsidR="00F3177F" w:rsidRDefault="00F3177F">
      <w:pPr>
        <w:spacing w:line="360" w:lineRule="auto"/>
        <w:jc w:val="both"/>
        <w:sectPr w:rsidR="00F3177F">
          <w:pgSz w:w="12240" w:h="15840"/>
          <w:pgMar w:top="1440" w:right="1320" w:bottom="2320" w:left="1720" w:header="0" w:footer="2095" w:gutter="0"/>
          <w:cols w:space="720"/>
        </w:sectPr>
      </w:pPr>
    </w:p>
    <w:p w:rsidR="00F3177F" w:rsidRDefault="0089671D">
      <w:pPr>
        <w:pStyle w:val="BodyText"/>
        <w:spacing w:before="54" w:line="360" w:lineRule="auto"/>
        <w:ind w:left="584" w:right="116"/>
        <w:jc w:val="both"/>
      </w:pPr>
      <w:r>
        <w:lastRenderedPageBreak/>
        <w:t>World Bank (2014) provides Energy Consumption by Sector in Kosovo in Figure 8 below and according to World Bank (2015) between 38% and 47% of energy can be saved in municipal buildings and the same figure can be up to 49% from the €24.3 million/year energy budget. World Bank (2015) also states that around 20-30% saving</w:t>
      </w:r>
      <w:r w:rsidR="009E0FA0">
        <w:t xml:space="preserve"> </w:t>
      </w:r>
      <w:r>
        <w:t>is possible only with energy efficiency measures. Furthermore, the payback period for cost-effective energy conservation practices for municipal and central government buildings is evaluated as between 4.9 and 5.3 years (World Bank,</w:t>
      </w:r>
      <w:r>
        <w:rPr>
          <w:spacing w:val="-10"/>
        </w:rPr>
        <w:t xml:space="preserve"> </w:t>
      </w:r>
      <w:r>
        <w:t>2013).</w:t>
      </w:r>
    </w:p>
    <w:p w:rsidR="00F3177F" w:rsidRDefault="00F3177F">
      <w:pPr>
        <w:pStyle w:val="BodyText"/>
        <w:rPr>
          <w:sz w:val="20"/>
        </w:rPr>
      </w:pPr>
    </w:p>
    <w:p w:rsidR="00F3177F" w:rsidRDefault="0089671D">
      <w:pPr>
        <w:pStyle w:val="BodyText"/>
        <w:spacing w:before="5"/>
        <w:rPr>
          <w:sz w:val="13"/>
        </w:rPr>
      </w:pPr>
      <w:r>
        <w:rPr>
          <w:noProof/>
        </w:rPr>
        <w:drawing>
          <wp:anchor distT="0" distB="0" distL="0" distR="0" simplePos="0" relativeHeight="1120" behindDoc="0" locked="0" layoutInCell="1" allowOverlap="1">
            <wp:simplePos x="0" y="0"/>
            <wp:positionH relativeFrom="page">
              <wp:posOffset>1836420</wp:posOffset>
            </wp:positionH>
            <wp:positionV relativeFrom="paragraph">
              <wp:posOffset>123453</wp:posOffset>
            </wp:positionV>
            <wp:extent cx="4654598" cy="219170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0" cstate="print"/>
                    <a:stretch>
                      <a:fillRect/>
                    </a:stretch>
                  </pic:blipFill>
                  <pic:spPr>
                    <a:xfrm>
                      <a:off x="0" y="0"/>
                      <a:ext cx="4654598" cy="2191702"/>
                    </a:xfrm>
                    <a:prstGeom prst="rect">
                      <a:avLst/>
                    </a:prstGeom>
                  </pic:spPr>
                </pic:pic>
              </a:graphicData>
            </a:graphic>
          </wp:anchor>
        </w:drawing>
      </w:r>
    </w:p>
    <w:p w:rsidR="00F3177F" w:rsidRDefault="0089671D">
      <w:pPr>
        <w:pStyle w:val="BodyText"/>
        <w:spacing w:before="101"/>
        <w:ind w:left="584"/>
        <w:jc w:val="both"/>
      </w:pPr>
      <w:r>
        <w:t>Figure 8: Energy Consumption in Kosovo by Sectors.</w:t>
      </w:r>
    </w:p>
    <w:p w:rsidR="00F3177F" w:rsidRDefault="0089671D">
      <w:pPr>
        <w:pStyle w:val="BodyText"/>
        <w:ind w:left="584" w:right="122"/>
        <w:jc w:val="both"/>
      </w:pPr>
      <w:r>
        <w:t>(Source: WBIF. 2013. National Program for Energy Efficiency in Buildings for Kosovo: Financing and Delivery Options. Prepared by GreenMax Capital Advisors, Washington,</w:t>
      </w:r>
      <w:r>
        <w:rPr>
          <w:spacing w:val="-4"/>
        </w:rPr>
        <w:t xml:space="preserve"> </w:t>
      </w:r>
      <w:r>
        <w:t>DC.)</w:t>
      </w:r>
    </w:p>
    <w:p w:rsidR="00F3177F" w:rsidRDefault="00F3177F">
      <w:pPr>
        <w:pStyle w:val="BodyText"/>
      </w:pPr>
    </w:p>
    <w:p w:rsidR="00F3177F" w:rsidRDefault="0089671D">
      <w:pPr>
        <w:pStyle w:val="BodyText"/>
        <w:spacing w:before="139" w:line="360" w:lineRule="auto"/>
        <w:ind w:left="584" w:right="113"/>
        <w:jc w:val="both"/>
      </w:pPr>
      <w:r>
        <w:t xml:space="preserve">There have been </w:t>
      </w:r>
      <w:r>
        <w:rPr>
          <w:spacing w:val="-3"/>
        </w:rPr>
        <w:t xml:space="preserve">efforts </w:t>
      </w:r>
      <w:r>
        <w:t xml:space="preserve">to </w:t>
      </w:r>
      <w:r>
        <w:rPr>
          <w:spacing w:val="-3"/>
        </w:rPr>
        <w:t xml:space="preserve">increase </w:t>
      </w:r>
      <w:r>
        <w:t xml:space="preserve">energy </w:t>
      </w:r>
      <w:r>
        <w:rPr>
          <w:spacing w:val="-3"/>
        </w:rPr>
        <w:t xml:space="preserve">performances </w:t>
      </w:r>
      <w:r>
        <w:t xml:space="preserve">of state </w:t>
      </w:r>
      <w:r>
        <w:rPr>
          <w:spacing w:val="-3"/>
        </w:rPr>
        <w:t xml:space="preserve">constructions </w:t>
      </w:r>
      <w:r>
        <w:t xml:space="preserve">including </w:t>
      </w:r>
      <w:r>
        <w:rPr>
          <w:spacing w:val="-3"/>
        </w:rPr>
        <w:t xml:space="preserve">educational </w:t>
      </w:r>
      <w:r>
        <w:t xml:space="preserve">ones in </w:t>
      </w:r>
      <w:r>
        <w:rPr>
          <w:spacing w:val="-3"/>
        </w:rPr>
        <w:t xml:space="preserve">Kosovo, </w:t>
      </w:r>
      <w:r>
        <w:t xml:space="preserve">and Draft </w:t>
      </w:r>
      <w:r>
        <w:rPr>
          <w:spacing w:val="-3"/>
        </w:rPr>
        <w:t xml:space="preserve">Final </w:t>
      </w:r>
      <w:r>
        <w:t xml:space="preserve">Report by World </w:t>
      </w:r>
      <w:r>
        <w:rPr>
          <w:spacing w:val="-3"/>
        </w:rPr>
        <w:t xml:space="preserve">Bank (2013) </w:t>
      </w:r>
      <w:r>
        <w:t xml:space="preserve">- </w:t>
      </w:r>
      <w:r>
        <w:rPr>
          <w:spacing w:val="-3"/>
        </w:rPr>
        <w:t xml:space="preserve">National Building </w:t>
      </w:r>
      <w:r>
        <w:t xml:space="preserve">Energy Efficiency Study for Kosovo </w:t>
      </w:r>
      <w:r>
        <w:rPr>
          <w:spacing w:val="-3"/>
        </w:rPr>
        <w:t xml:space="preserve">summarizes </w:t>
      </w:r>
      <w:r>
        <w:t xml:space="preserve">these </w:t>
      </w:r>
      <w:r>
        <w:rPr>
          <w:spacing w:val="-3"/>
        </w:rPr>
        <w:t xml:space="preserve">efforts concerning </w:t>
      </w:r>
      <w:r>
        <w:t xml:space="preserve">state </w:t>
      </w:r>
      <w:r>
        <w:rPr>
          <w:spacing w:val="-3"/>
        </w:rPr>
        <w:t xml:space="preserve">schools </w:t>
      </w:r>
      <w:r>
        <w:t xml:space="preserve">as </w:t>
      </w:r>
      <w:r>
        <w:rPr>
          <w:spacing w:val="-3"/>
        </w:rPr>
        <w:t xml:space="preserve">given </w:t>
      </w:r>
      <w:r>
        <w:t>below:</w:t>
      </w:r>
    </w:p>
    <w:p w:rsidR="00F3177F" w:rsidRDefault="0089671D">
      <w:pPr>
        <w:pStyle w:val="ListParagraph"/>
        <w:numPr>
          <w:ilvl w:val="2"/>
          <w:numId w:val="27"/>
        </w:numPr>
        <w:tabs>
          <w:tab w:val="left" w:pos="1305"/>
        </w:tabs>
        <w:spacing w:before="4" w:line="357" w:lineRule="auto"/>
        <w:ind w:right="116"/>
        <w:jc w:val="both"/>
        <w:rPr>
          <w:sz w:val="24"/>
        </w:rPr>
      </w:pPr>
      <w:r>
        <w:rPr>
          <w:sz w:val="24"/>
        </w:rPr>
        <w:t>Projects by West Balkans Investment Framework (WBIF)/KfW-2011/12) to apply methods to improve energy performances of state buildings provided energy audit results for 27 elementary schools, 4 high schools, 1 kindergarten and 1 dormitory in 7 municipalities (pp.</w:t>
      </w:r>
      <w:r>
        <w:rPr>
          <w:spacing w:val="-7"/>
          <w:sz w:val="24"/>
        </w:rPr>
        <w:t xml:space="preserve"> </w:t>
      </w:r>
      <w:r>
        <w:rPr>
          <w:sz w:val="24"/>
        </w:rPr>
        <w:t>59)</w:t>
      </w:r>
    </w:p>
    <w:p w:rsidR="00F3177F" w:rsidRDefault="00F3177F">
      <w:pPr>
        <w:spacing w:line="357" w:lineRule="auto"/>
        <w:jc w:val="both"/>
        <w:rPr>
          <w:sz w:val="24"/>
        </w:rPr>
        <w:sectPr w:rsidR="00F3177F">
          <w:pgSz w:w="12240" w:h="15840"/>
          <w:pgMar w:top="1380" w:right="1320" w:bottom="2320" w:left="1720" w:header="0" w:footer="2095" w:gutter="0"/>
          <w:cols w:space="720"/>
        </w:sectPr>
      </w:pPr>
    </w:p>
    <w:p w:rsidR="00F3177F" w:rsidRDefault="0089671D">
      <w:pPr>
        <w:pStyle w:val="ListParagraph"/>
        <w:numPr>
          <w:ilvl w:val="2"/>
          <w:numId w:val="27"/>
        </w:numPr>
        <w:tabs>
          <w:tab w:val="left" w:pos="1305"/>
        </w:tabs>
        <w:spacing w:before="34" w:line="355" w:lineRule="auto"/>
        <w:ind w:right="116"/>
        <w:jc w:val="both"/>
        <w:rPr>
          <w:sz w:val="24"/>
        </w:rPr>
      </w:pPr>
      <w:r>
        <w:rPr>
          <w:sz w:val="24"/>
        </w:rPr>
        <w:lastRenderedPageBreak/>
        <w:t>“Study and Implementation of EE measures in Municipalities (63 schools and 2 hospitals), financed by EU (€15.6 m)” as the EU’s main energy  efficiency project (pp.</w:t>
      </w:r>
      <w:r>
        <w:rPr>
          <w:spacing w:val="-3"/>
          <w:sz w:val="24"/>
        </w:rPr>
        <w:t xml:space="preserve"> </w:t>
      </w:r>
      <w:r>
        <w:rPr>
          <w:sz w:val="24"/>
        </w:rPr>
        <w:t>71)</w:t>
      </w:r>
    </w:p>
    <w:p w:rsidR="00F3177F" w:rsidRDefault="0089671D">
      <w:pPr>
        <w:pStyle w:val="ListParagraph"/>
        <w:numPr>
          <w:ilvl w:val="2"/>
          <w:numId w:val="27"/>
        </w:numPr>
        <w:tabs>
          <w:tab w:val="left" w:pos="1305"/>
        </w:tabs>
        <w:spacing w:before="11" w:line="355" w:lineRule="auto"/>
        <w:ind w:right="120"/>
        <w:jc w:val="both"/>
        <w:rPr>
          <w:sz w:val="24"/>
        </w:rPr>
      </w:pPr>
      <w:r>
        <w:rPr>
          <w:sz w:val="24"/>
        </w:rPr>
        <w:t>The GIZ project “Modernization of Municipal Services” (MMS) that was in application between 2006 and 2012. The project covered 56 energy efficiency projects including 31 schools</w:t>
      </w:r>
      <w:r>
        <w:rPr>
          <w:spacing w:val="-5"/>
          <w:sz w:val="24"/>
        </w:rPr>
        <w:t xml:space="preserve"> </w:t>
      </w:r>
      <w:r>
        <w:rPr>
          <w:sz w:val="24"/>
        </w:rPr>
        <w:t>(pp.72).</w:t>
      </w:r>
    </w:p>
    <w:p w:rsidR="00F3177F" w:rsidRDefault="0089671D">
      <w:pPr>
        <w:pStyle w:val="ListParagraph"/>
        <w:numPr>
          <w:ilvl w:val="2"/>
          <w:numId w:val="27"/>
        </w:numPr>
        <w:tabs>
          <w:tab w:val="left" w:pos="1305"/>
        </w:tabs>
        <w:spacing w:before="9" w:line="355" w:lineRule="auto"/>
        <w:ind w:right="117"/>
        <w:jc w:val="both"/>
        <w:rPr>
          <w:sz w:val="24"/>
        </w:rPr>
      </w:pPr>
      <w:r>
        <w:rPr>
          <w:sz w:val="24"/>
        </w:rPr>
        <w:t>Training for Energy Auditors (Sept. 2009 – Sept. 2010) (pp. 73). A sample questionnaire to determine energy consumption in buildings by World Bank (2013) is given in Appendix E.</w:t>
      </w:r>
    </w:p>
    <w:p w:rsidR="00F3177F" w:rsidRDefault="0089671D">
      <w:pPr>
        <w:pStyle w:val="ListParagraph"/>
        <w:numPr>
          <w:ilvl w:val="2"/>
          <w:numId w:val="27"/>
        </w:numPr>
        <w:tabs>
          <w:tab w:val="left" w:pos="1305"/>
        </w:tabs>
        <w:spacing w:before="12" w:line="355" w:lineRule="auto"/>
        <w:ind w:right="114"/>
        <w:jc w:val="both"/>
        <w:rPr>
          <w:sz w:val="24"/>
        </w:rPr>
      </w:pPr>
      <w:r>
        <w:rPr>
          <w:sz w:val="24"/>
        </w:rPr>
        <w:t>Public Awareness Campaign for Energy Efficiency and Renewable Energy Resources (Sept. 2009 – Dec. 2010) that covered The European Union pilot projects including 4 schools (pp.</w:t>
      </w:r>
      <w:r>
        <w:rPr>
          <w:spacing w:val="-4"/>
          <w:sz w:val="24"/>
        </w:rPr>
        <w:t xml:space="preserve"> </w:t>
      </w:r>
      <w:r>
        <w:rPr>
          <w:sz w:val="24"/>
        </w:rPr>
        <w:t>73)</w:t>
      </w:r>
    </w:p>
    <w:p w:rsidR="00F3177F" w:rsidRDefault="00F3177F">
      <w:pPr>
        <w:pStyle w:val="BodyText"/>
      </w:pPr>
    </w:p>
    <w:p w:rsidR="00F3177F" w:rsidRDefault="00F3177F">
      <w:pPr>
        <w:pStyle w:val="BodyText"/>
        <w:spacing w:before="9"/>
        <w:rPr>
          <w:sz w:val="19"/>
        </w:rPr>
      </w:pPr>
    </w:p>
    <w:p w:rsidR="00F3177F" w:rsidRDefault="0089671D">
      <w:pPr>
        <w:pStyle w:val="BodyText"/>
        <w:spacing w:line="360" w:lineRule="auto"/>
        <w:ind w:left="584" w:right="112"/>
        <w:jc w:val="both"/>
      </w:pPr>
      <w:r>
        <w:t>World Bank Groups’ (2016) publication titled as Kosovo: Options for Financing Energy Efficiency in Public Buildings about energy consumption in Kosovo provides one of the latest and most detailed information about the energy consumptions in Kosovo and the following information is summarized from the publication.</w:t>
      </w:r>
    </w:p>
    <w:p w:rsidR="00F3177F" w:rsidRDefault="0089671D">
      <w:pPr>
        <w:pStyle w:val="ListParagraph"/>
        <w:numPr>
          <w:ilvl w:val="2"/>
          <w:numId w:val="27"/>
        </w:numPr>
        <w:tabs>
          <w:tab w:val="left" w:pos="1305"/>
        </w:tabs>
        <w:spacing w:before="3" w:line="352" w:lineRule="auto"/>
        <w:ind w:right="114"/>
        <w:jc w:val="both"/>
        <w:rPr>
          <w:sz w:val="24"/>
        </w:rPr>
      </w:pPr>
      <w:r>
        <w:rPr>
          <w:sz w:val="24"/>
        </w:rPr>
        <w:t xml:space="preserve">There are 37 </w:t>
      </w:r>
      <w:r>
        <w:rPr>
          <w:spacing w:val="-3"/>
          <w:sz w:val="24"/>
        </w:rPr>
        <w:t xml:space="preserve">municipalities </w:t>
      </w:r>
      <w:r>
        <w:rPr>
          <w:sz w:val="24"/>
        </w:rPr>
        <w:t xml:space="preserve">and they are </w:t>
      </w:r>
      <w:r>
        <w:rPr>
          <w:spacing w:val="-3"/>
          <w:sz w:val="24"/>
        </w:rPr>
        <w:t xml:space="preserve">responsible </w:t>
      </w:r>
      <w:r>
        <w:rPr>
          <w:sz w:val="24"/>
        </w:rPr>
        <w:t xml:space="preserve">for energy consumption </w:t>
      </w:r>
      <w:r>
        <w:rPr>
          <w:spacing w:val="-3"/>
          <w:sz w:val="24"/>
        </w:rPr>
        <w:t xml:space="preserve">procedures </w:t>
      </w:r>
      <w:r>
        <w:rPr>
          <w:sz w:val="24"/>
        </w:rPr>
        <w:t xml:space="preserve">in state </w:t>
      </w:r>
      <w:r>
        <w:rPr>
          <w:spacing w:val="-3"/>
          <w:sz w:val="24"/>
        </w:rPr>
        <w:t xml:space="preserve">buildings </w:t>
      </w:r>
      <w:r>
        <w:rPr>
          <w:sz w:val="24"/>
        </w:rPr>
        <w:t>including</w:t>
      </w:r>
      <w:r>
        <w:rPr>
          <w:spacing w:val="-29"/>
          <w:sz w:val="24"/>
        </w:rPr>
        <w:t xml:space="preserve"> </w:t>
      </w:r>
      <w:r>
        <w:rPr>
          <w:spacing w:val="-3"/>
          <w:sz w:val="24"/>
        </w:rPr>
        <w:t>schools.</w:t>
      </w:r>
    </w:p>
    <w:p w:rsidR="00F3177F" w:rsidRDefault="0089671D">
      <w:pPr>
        <w:pStyle w:val="ListParagraph"/>
        <w:numPr>
          <w:ilvl w:val="2"/>
          <w:numId w:val="27"/>
        </w:numPr>
        <w:tabs>
          <w:tab w:val="left" w:pos="1305"/>
        </w:tabs>
        <w:spacing w:before="11" w:line="352" w:lineRule="auto"/>
        <w:ind w:right="115"/>
        <w:jc w:val="both"/>
        <w:rPr>
          <w:sz w:val="24"/>
        </w:rPr>
      </w:pPr>
      <w:r>
        <w:rPr>
          <w:spacing w:val="-3"/>
          <w:sz w:val="24"/>
        </w:rPr>
        <w:t>Pristina</w:t>
      </w:r>
      <w:r>
        <w:rPr>
          <w:spacing w:val="-8"/>
          <w:sz w:val="24"/>
        </w:rPr>
        <w:t xml:space="preserve"> </w:t>
      </w:r>
      <w:r>
        <w:rPr>
          <w:sz w:val="24"/>
        </w:rPr>
        <w:t>has</w:t>
      </w:r>
      <w:r>
        <w:rPr>
          <w:spacing w:val="-4"/>
          <w:sz w:val="24"/>
        </w:rPr>
        <w:t xml:space="preserve"> </w:t>
      </w:r>
      <w:r>
        <w:rPr>
          <w:spacing w:val="-3"/>
          <w:sz w:val="24"/>
        </w:rPr>
        <w:t>got</w:t>
      </w:r>
      <w:r>
        <w:rPr>
          <w:spacing w:val="-6"/>
          <w:sz w:val="24"/>
        </w:rPr>
        <w:t xml:space="preserve"> </w:t>
      </w:r>
      <w:r>
        <w:rPr>
          <w:sz w:val="24"/>
        </w:rPr>
        <w:t>the</w:t>
      </w:r>
      <w:r>
        <w:rPr>
          <w:spacing w:val="-8"/>
          <w:sz w:val="24"/>
        </w:rPr>
        <w:t xml:space="preserve"> </w:t>
      </w:r>
      <w:r>
        <w:rPr>
          <w:sz w:val="24"/>
        </w:rPr>
        <w:t>highest</w:t>
      </w:r>
      <w:r>
        <w:rPr>
          <w:spacing w:val="-6"/>
          <w:sz w:val="24"/>
        </w:rPr>
        <w:t xml:space="preserve"> </w:t>
      </w:r>
      <w:r>
        <w:rPr>
          <w:spacing w:val="-3"/>
          <w:sz w:val="24"/>
        </w:rPr>
        <w:t>total</w:t>
      </w:r>
      <w:r>
        <w:rPr>
          <w:spacing w:val="-6"/>
          <w:sz w:val="24"/>
        </w:rPr>
        <w:t xml:space="preserve"> </w:t>
      </w:r>
      <w:r>
        <w:rPr>
          <w:sz w:val="24"/>
        </w:rPr>
        <w:t>building</w:t>
      </w:r>
      <w:r>
        <w:rPr>
          <w:spacing w:val="-7"/>
          <w:sz w:val="24"/>
        </w:rPr>
        <w:t xml:space="preserve"> </w:t>
      </w:r>
      <w:r>
        <w:rPr>
          <w:sz w:val="24"/>
        </w:rPr>
        <w:t>space</w:t>
      </w:r>
      <w:r>
        <w:rPr>
          <w:spacing w:val="-8"/>
          <w:sz w:val="24"/>
        </w:rPr>
        <w:t xml:space="preserve"> </w:t>
      </w:r>
      <w:r>
        <w:rPr>
          <w:sz w:val="24"/>
        </w:rPr>
        <w:t>with</w:t>
      </w:r>
      <w:r>
        <w:rPr>
          <w:spacing w:val="-6"/>
          <w:sz w:val="24"/>
        </w:rPr>
        <w:t xml:space="preserve"> </w:t>
      </w:r>
      <w:r>
        <w:rPr>
          <w:spacing w:val="-3"/>
          <w:sz w:val="24"/>
        </w:rPr>
        <w:t>200,000</w:t>
      </w:r>
      <w:r>
        <w:rPr>
          <w:spacing w:val="-4"/>
          <w:sz w:val="24"/>
        </w:rPr>
        <w:t xml:space="preserve"> </w:t>
      </w:r>
      <w:r>
        <w:rPr>
          <w:sz w:val="24"/>
        </w:rPr>
        <w:t>m²</w:t>
      </w:r>
      <w:r>
        <w:rPr>
          <w:spacing w:val="-7"/>
          <w:sz w:val="24"/>
        </w:rPr>
        <w:t xml:space="preserve"> </w:t>
      </w:r>
      <w:r>
        <w:rPr>
          <w:sz w:val="24"/>
        </w:rPr>
        <w:t>out</w:t>
      </w:r>
      <w:r>
        <w:rPr>
          <w:spacing w:val="-6"/>
          <w:sz w:val="24"/>
        </w:rPr>
        <w:t xml:space="preserve"> </w:t>
      </w:r>
      <w:r>
        <w:rPr>
          <w:sz w:val="24"/>
        </w:rPr>
        <w:t>of</w:t>
      </w:r>
      <w:r>
        <w:rPr>
          <w:spacing w:val="-8"/>
          <w:sz w:val="24"/>
        </w:rPr>
        <w:t xml:space="preserve"> </w:t>
      </w:r>
      <w:r>
        <w:rPr>
          <w:sz w:val="24"/>
        </w:rPr>
        <w:t>1.6</w:t>
      </w:r>
      <w:r>
        <w:rPr>
          <w:spacing w:val="-5"/>
          <w:sz w:val="24"/>
        </w:rPr>
        <w:t xml:space="preserve"> </w:t>
      </w:r>
      <w:r>
        <w:rPr>
          <w:sz w:val="24"/>
        </w:rPr>
        <w:t>million m².</w:t>
      </w:r>
    </w:p>
    <w:p w:rsidR="00F3177F" w:rsidRPr="00720031" w:rsidRDefault="0089671D" w:rsidP="00720031">
      <w:pPr>
        <w:pStyle w:val="ListParagraph"/>
        <w:numPr>
          <w:ilvl w:val="2"/>
          <w:numId w:val="27"/>
        </w:numPr>
        <w:tabs>
          <w:tab w:val="left" w:pos="1305"/>
        </w:tabs>
        <w:spacing w:before="14" w:line="357" w:lineRule="auto"/>
        <w:ind w:right="112"/>
        <w:jc w:val="both"/>
        <w:rPr>
          <w:sz w:val="24"/>
        </w:rPr>
        <w:sectPr w:rsidR="00F3177F" w:rsidRPr="00720031">
          <w:pgSz w:w="12240" w:h="15840"/>
          <w:pgMar w:top="1400" w:right="1320" w:bottom="2320" w:left="1720" w:header="0" w:footer="2095" w:gutter="0"/>
          <w:cols w:space="720"/>
        </w:sectPr>
      </w:pPr>
      <w:r w:rsidRPr="00720031">
        <w:rPr>
          <w:spacing w:val="-3"/>
          <w:sz w:val="24"/>
        </w:rPr>
        <w:t xml:space="preserve">More </w:t>
      </w:r>
      <w:r w:rsidRPr="00720031">
        <w:rPr>
          <w:sz w:val="24"/>
        </w:rPr>
        <w:t xml:space="preserve">than 50% of state </w:t>
      </w:r>
      <w:r w:rsidRPr="00720031">
        <w:rPr>
          <w:spacing w:val="-3"/>
          <w:sz w:val="24"/>
        </w:rPr>
        <w:t xml:space="preserve">buildings </w:t>
      </w:r>
      <w:r w:rsidRPr="00720031">
        <w:rPr>
          <w:sz w:val="24"/>
        </w:rPr>
        <w:t xml:space="preserve">were built </w:t>
      </w:r>
      <w:r w:rsidRPr="00720031">
        <w:rPr>
          <w:spacing w:val="-3"/>
          <w:sz w:val="24"/>
        </w:rPr>
        <w:t xml:space="preserve">between 1970 and 1985. </w:t>
      </w:r>
      <w:r w:rsidRPr="00720031">
        <w:rPr>
          <w:sz w:val="24"/>
        </w:rPr>
        <w:t xml:space="preserve">Thus, they are in need of </w:t>
      </w:r>
      <w:r w:rsidRPr="00720031">
        <w:rPr>
          <w:spacing w:val="-3"/>
          <w:sz w:val="24"/>
        </w:rPr>
        <w:t xml:space="preserve">urgent </w:t>
      </w:r>
      <w:r w:rsidRPr="00720031">
        <w:rPr>
          <w:sz w:val="24"/>
        </w:rPr>
        <w:t xml:space="preserve">thermal </w:t>
      </w:r>
      <w:r w:rsidRPr="00720031">
        <w:rPr>
          <w:spacing w:val="-3"/>
          <w:sz w:val="24"/>
        </w:rPr>
        <w:t xml:space="preserve">insulation, efficient window </w:t>
      </w:r>
      <w:r w:rsidRPr="00720031">
        <w:rPr>
          <w:sz w:val="24"/>
        </w:rPr>
        <w:t xml:space="preserve">glazing and </w:t>
      </w:r>
      <w:r w:rsidRPr="00720031">
        <w:rPr>
          <w:spacing w:val="-3"/>
          <w:sz w:val="24"/>
        </w:rPr>
        <w:t xml:space="preserve">efficient heating </w:t>
      </w:r>
      <w:r w:rsidRPr="00720031">
        <w:rPr>
          <w:sz w:val="24"/>
        </w:rPr>
        <w:t xml:space="preserve">systems to </w:t>
      </w:r>
      <w:r w:rsidRPr="00720031">
        <w:rPr>
          <w:spacing w:val="-3"/>
          <w:sz w:val="24"/>
        </w:rPr>
        <w:t xml:space="preserve">provide users environmental comfort and </w:t>
      </w:r>
      <w:r w:rsidRPr="00720031">
        <w:rPr>
          <w:sz w:val="24"/>
        </w:rPr>
        <w:t xml:space="preserve">to </w:t>
      </w:r>
      <w:r w:rsidRPr="00720031">
        <w:rPr>
          <w:spacing w:val="-3"/>
          <w:sz w:val="24"/>
        </w:rPr>
        <w:t xml:space="preserve">sustain their value. Draft Final </w:t>
      </w:r>
      <w:r w:rsidRPr="00720031">
        <w:rPr>
          <w:spacing w:val="-2"/>
          <w:sz w:val="24"/>
        </w:rPr>
        <w:t xml:space="preserve">Report </w:t>
      </w:r>
      <w:r w:rsidRPr="00720031">
        <w:rPr>
          <w:sz w:val="24"/>
        </w:rPr>
        <w:t xml:space="preserve">of National </w:t>
      </w:r>
      <w:r w:rsidRPr="00720031">
        <w:rPr>
          <w:spacing w:val="-3"/>
          <w:sz w:val="24"/>
        </w:rPr>
        <w:t xml:space="preserve">Building </w:t>
      </w:r>
      <w:r w:rsidRPr="00720031">
        <w:rPr>
          <w:sz w:val="24"/>
        </w:rPr>
        <w:t>Energy Efficiency Study for Kosovo by World</w:t>
      </w:r>
      <w:r w:rsidRPr="00720031">
        <w:rPr>
          <w:spacing w:val="-11"/>
          <w:sz w:val="24"/>
        </w:rPr>
        <w:t xml:space="preserve"> </w:t>
      </w:r>
      <w:r w:rsidRPr="00720031">
        <w:rPr>
          <w:spacing w:val="-3"/>
          <w:sz w:val="24"/>
        </w:rPr>
        <w:t>Bank</w:t>
      </w:r>
      <w:r w:rsidRPr="00720031">
        <w:rPr>
          <w:spacing w:val="-11"/>
          <w:sz w:val="24"/>
        </w:rPr>
        <w:t xml:space="preserve"> </w:t>
      </w:r>
      <w:r w:rsidRPr="00720031">
        <w:rPr>
          <w:spacing w:val="-3"/>
          <w:sz w:val="24"/>
        </w:rPr>
        <w:t>(2013)</w:t>
      </w:r>
      <w:r w:rsidRPr="00720031">
        <w:rPr>
          <w:spacing w:val="-11"/>
          <w:sz w:val="24"/>
        </w:rPr>
        <w:t xml:space="preserve"> </w:t>
      </w:r>
      <w:r w:rsidRPr="00720031">
        <w:rPr>
          <w:sz w:val="24"/>
        </w:rPr>
        <w:t>describes</w:t>
      </w:r>
      <w:r w:rsidRPr="00720031">
        <w:rPr>
          <w:spacing w:val="-13"/>
          <w:sz w:val="24"/>
        </w:rPr>
        <w:t xml:space="preserve"> </w:t>
      </w:r>
      <w:r w:rsidRPr="00720031">
        <w:rPr>
          <w:sz w:val="24"/>
        </w:rPr>
        <w:t>these</w:t>
      </w:r>
      <w:r w:rsidRPr="00720031">
        <w:rPr>
          <w:spacing w:val="-12"/>
          <w:sz w:val="24"/>
        </w:rPr>
        <w:t xml:space="preserve"> </w:t>
      </w:r>
      <w:r w:rsidRPr="00720031">
        <w:rPr>
          <w:sz w:val="24"/>
        </w:rPr>
        <w:t>buildings</w:t>
      </w:r>
      <w:r w:rsidRPr="00720031">
        <w:rPr>
          <w:spacing w:val="-13"/>
          <w:sz w:val="24"/>
        </w:rPr>
        <w:t xml:space="preserve"> </w:t>
      </w:r>
      <w:r w:rsidRPr="00720031">
        <w:rPr>
          <w:spacing w:val="-3"/>
          <w:sz w:val="24"/>
        </w:rPr>
        <w:t>constructed</w:t>
      </w:r>
      <w:r w:rsidRPr="00720031">
        <w:rPr>
          <w:spacing w:val="-13"/>
          <w:sz w:val="24"/>
        </w:rPr>
        <w:t xml:space="preserve"> </w:t>
      </w:r>
      <w:r w:rsidRPr="00720031">
        <w:rPr>
          <w:sz w:val="24"/>
        </w:rPr>
        <w:t>before</w:t>
      </w:r>
      <w:r w:rsidRPr="00720031">
        <w:rPr>
          <w:spacing w:val="-13"/>
          <w:sz w:val="24"/>
        </w:rPr>
        <w:t xml:space="preserve"> </w:t>
      </w:r>
      <w:r w:rsidRPr="00720031">
        <w:rPr>
          <w:sz w:val="24"/>
        </w:rPr>
        <w:t>1999</w:t>
      </w:r>
      <w:r w:rsidRPr="00720031">
        <w:rPr>
          <w:spacing w:val="-11"/>
          <w:sz w:val="24"/>
        </w:rPr>
        <w:t xml:space="preserve"> </w:t>
      </w:r>
      <w:r w:rsidRPr="00720031">
        <w:rPr>
          <w:sz w:val="24"/>
        </w:rPr>
        <w:t>as</w:t>
      </w:r>
      <w:r w:rsidRPr="00720031">
        <w:rPr>
          <w:spacing w:val="-13"/>
          <w:sz w:val="24"/>
        </w:rPr>
        <w:t xml:space="preserve"> </w:t>
      </w:r>
      <w:r w:rsidRPr="00720031">
        <w:rPr>
          <w:sz w:val="24"/>
        </w:rPr>
        <w:t xml:space="preserve">buildings with relatively poor </w:t>
      </w:r>
      <w:r w:rsidRPr="00720031">
        <w:rPr>
          <w:spacing w:val="-3"/>
          <w:sz w:val="24"/>
        </w:rPr>
        <w:t xml:space="preserve">construction characteristics </w:t>
      </w:r>
      <w:r w:rsidRPr="00720031">
        <w:rPr>
          <w:sz w:val="24"/>
        </w:rPr>
        <w:t xml:space="preserve">“supplied by boilers with </w:t>
      </w:r>
      <w:r w:rsidRPr="00720031">
        <w:rPr>
          <w:spacing w:val="-3"/>
          <w:sz w:val="24"/>
        </w:rPr>
        <w:t xml:space="preserve">efficiencies </w:t>
      </w:r>
      <w:r w:rsidRPr="00720031">
        <w:rPr>
          <w:sz w:val="24"/>
        </w:rPr>
        <w:t xml:space="preserve">typically ranging between 60% </w:t>
      </w:r>
      <w:r w:rsidRPr="00720031">
        <w:rPr>
          <w:spacing w:val="-3"/>
          <w:sz w:val="24"/>
        </w:rPr>
        <w:t xml:space="preserve">and </w:t>
      </w:r>
      <w:r w:rsidRPr="00720031">
        <w:rPr>
          <w:sz w:val="24"/>
        </w:rPr>
        <w:t xml:space="preserve">65% using mostly coal and </w:t>
      </w:r>
      <w:r w:rsidRPr="00720031">
        <w:rPr>
          <w:spacing w:val="20"/>
          <w:sz w:val="24"/>
        </w:rPr>
        <w:t xml:space="preserve"> </w:t>
      </w:r>
      <w:r w:rsidRPr="00720031">
        <w:rPr>
          <w:sz w:val="24"/>
        </w:rPr>
        <w:t>little</w:t>
      </w:r>
      <w:r w:rsidR="00720031" w:rsidRPr="00720031">
        <w:rPr>
          <w:sz w:val="24"/>
        </w:rPr>
        <w:t xml:space="preserve"> </w:t>
      </w:r>
    </w:p>
    <w:p w:rsidR="00F3177F" w:rsidRDefault="0089671D">
      <w:pPr>
        <w:pStyle w:val="BodyText"/>
        <w:spacing w:before="54" w:line="360" w:lineRule="auto"/>
        <w:ind w:left="1304" w:right="112"/>
        <w:jc w:val="both"/>
      </w:pPr>
      <w:proofErr w:type="gramStart"/>
      <w:r>
        <w:rPr>
          <w:spacing w:val="-3"/>
        </w:rPr>
        <w:lastRenderedPageBreak/>
        <w:t>amount</w:t>
      </w:r>
      <w:proofErr w:type="gramEnd"/>
      <w:r>
        <w:rPr>
          <w:spacing w:val="-3"/>
        </w:rPr>
        <w:t xml:space="preserve"> </w:t>
      </w:r>
      <w:r>
        <w:t xml:space="preserve">of oil”. </w:t>
      </w:r>
      <w:r>
        <w:rPr>
          <w:spacing w:val="-3"/>
        </w:rPr>
        <w:t xml:space="preserve">However, </w:t>
      </w:r>
      <w:r>
        <w:t xml:space="preserve">heating systems started using more effective heat </w:t>
      </w:r>
      <w:r>
        <w:rPr>
          <w:spacing w:val="-3"/>
        </w:rPr>
        <w:t xml:space="preserve">pumps/AC </w:t>
      </w:r>
      <w:r>
        <w:t xml:space="preserve">from the </w:t>
      </w:r>
      <w:r>
        <w:rPr>
          <w:spacing w:val="-3"/>
        </w:rPr>
        <w:t xml:space="preserve">year 2000. In addition, improper </w:t>
      </w:r>
      <w:r>
        <w:t xml:space="preserve">type or quality of energy </w:t>
      </w:r>
      <w:r>
        <w:rPr>
          <w:spacing w:val="-3"/>
        </w:rPr>
        <w:t xml:space="preserve">resource and </w:t>
      </w:r>
      <w:r>
        <w:t xml:space="preserve">poor building </w:t>
      </w:r>
      <w:r>
        <w:rPr>
          <w:spacing w:val="-3"/>
        </w:rPr>
        <w:t xml:space="preserve">insulation </w:t>
      </w:r>
      <w:r>
        <w:t xml:space="preserve">are other major </w:t>
      </w:r>
      <w:r>
        <w:rPr>
          <w:spacing w:val="-3"/>
        </w:rPr>
        <w:t xml:space="preserve">factors </w:t>
      </w:r>
      <w:r>
        <w:t>for</w:t>
      </w:r>
      <w:r>
        <w:rPr>
          <w:spacing w:val="-41"/>
        </w:rPr>
        <w:t xml:space="preserve"> </w:t>
      </w:r>
      <w:r>
        <w:rPr>
          <w:spacing w:val="-3"/>
        </w:rPr>
        <w:t xml:space="preserve">inefficient </w:t>
      </w:r>
      <w:r>
        <w:t xml:space="preserve">energy </w:t>
      </w:r>
      <w:r>
        <w:rPr>
          <w:spacing w:val="-3"/>
        </w:rPr>
        <w:t xml:space="preserve">consumptions </w:t>
      </w:r>
      <w:r>
        <w:t xml:space="preserve">in </w:t>
      </w:r>
      <w:r>
        <w:rPr>
          <w:spacing w:val="-3"/>
        </w:rPr>
        <w:t xml:space="preserve">state schools. </w:t>
      </w:r>
      <w:r>
        <w:t xml:space="preserve">Again, according to World </w:t>
      </w:r>
      <w:r>
        <w:rPr>
          <w:spacing w:val="-3"/>
        </w:rPr>
        <w:t xml:space="preserve">Bank’s (2013) Draft Final </w:t>
      </w:r>
      <w:r>
        <w:t xml:space="preserve">Report, 65.12% of </w:t>
      </w:r>
      <w:r>
        <w:rPr>
          <w:spacing w:val="-3"/>
        </w:rPr>
        <w:t xml:space="preserve">total </w:t>
      </w:r>
      <w:r>
        <w:t xml:space="preserve">energy </w:t>
      </w:r>
      <w:r>
        <w:rPr>
          <w:spacing w:val="-3"/>
        </w:rPr>
        <w:t xml:space="preserve">consumptions </w:t>
      </w:r>
      <w:r>
        <w:t xml:space="preserve">in </w:t>
      </w:r>
      <w:r>
        <w:rPr>
          <w:spacing w:val="-3"/>
        </w:rPr>
        <w:t xml:space="preserve">public </w:t>
      </w:r>
      <w:r>
        <w:t xml:space="preserve">buildings were </w:t>
      </w:r>
      <w:r>
        <w:rPr>
          <w:spacing w:val="-2"/>
        </w:rPr>
        <w:t xml:space="preserve">met </w:t>
      </w:r>
      <w:r>
        <w:t>by</w:t>
      </w:r>
      <w:r>
        <w:rPr>
          <w:spacing w:val="-16"/>
        </w:rPr>
        <w:t xml:space="preserve"> </w:t>
      </w:r>
      <w:r>
        <w:t>coal</w:t>
      </w:r>
      <w:r>
        <w:rPr>
          <w:spacing w:val="-13"/>
        </w:rPr>
        <w:t xml:space="preserve"> </w:t>
      </w:r>
      <w:r>
        <w:t>and</w:t>
      </w:r>
      <w:r>
        <w:rPr>
          <w:spacing w:val="-13"/>
        </w:rPr>
        <w:t xml:space="preserve"> </w:t>
      </w:r>
      <w:r>
        <w:t>50%</w:t>
      </w:r>
      <w:r>
        <w:rPr>
          <w:spacing w:val="-14"/>
        </w:rPr>
        <w:t xml:space="preserve"> </w:t>
      </w:r>
      <w:r>
        <w:t>of</w:t>
      </w:r>
      <w:r>
        <w:rPr>
          <w:spacing w:val="-14"/>
        </w:rPr>
        <w:t xml:space="preserve"> </w:t>
      </w:r>
      <w:r>
        <w:t>electricity</w:t>
      </w:r>
      <w:r>
        <w:rPr>
          <w:spacing w:val="-18"/>
        </w:rPr>
        <w:t xml:space="preserve"> </w:t>
      </w:r>
      <w:r>
        <w:t>was</w:t>
      </w:r>
      <w:r>
        <w:rPr>
          <w:spacing w:val="-12"/>
        </w:rPr>
        <w:t xml:space="preserve"> </w:t>
      </w:r>
      <w:r>
        <w:t>consumed</w:t>
      </w:r>
      <w:r>
        <w:rPr>
          <w:spacing w:val="-13"/>
        </w:rPr>
        <w:t xml:space="preserve"> </w:t>
      </w:r>
      <w:r>
        <w:t>as</w:t>
      </w:r>
      <w:r>
        <w:rPr>
          <w:spacing w:val="-13"/>
        </w:rPr>
        <w:t xml:space="preserve"> </w:t>
      </w:r>
      <w:r>
        <w:t>heating</w:t>
      </w:r>
      <w:r>
        <w:rPr>
          <w:spacing w:val="-16"/>
        </w:rPr>
        <w:t xml:space="preserve"> </w:t>
      </w:r>
      <w:r>
        <w:t>during</w:t>
      </w:r>
      <w:r>
        <w:rPr>
          <w:spacing w:val="-16"/>
        </w:rPr>
        <w:t xml:space="preserve"> </w:t>
      </w:r>
      <w:r>
        <w:t>2010.</w:t>
      </w:r>
    </w:p>
    <w:p w:rsidR="00F3177F" w:rsidRDefault="0089671D">
      <w:pPr>
        <w:pStyle w:val="ListParagraph"/>
        <w:numPr>
          <w:ilvl w:val="2"/>
          <w:numId w:val="27"/>
        </w:numPr>
        <w:tabs>
          <w:tab w:val="left" w:pos="1304"/>
          <w:tab w:val="left" w:pos="1305"/>
        </w:tabs>
        <w:spacing w:before="6" w:line="352" w:lineRule="auto"/>
        <w:ind w:right="115"/>
        <w:rPr>
          <w:sz w:val="24"/>
        </w:rPr>
      </w:pPr>
      <w:r>
        <w:rPr>
          <w:sz w:val="24"/>
        </w:rPr>
        <w:t xml:space="preserve">The mediocre electric energy usage for </w:t>
      </w:r>
      <w:r>
        <w:rPr>
          <w:spacing w:val="-3"/>
          <w:sz w:val="24"/>
        </w:rPr>
        <w:t xml:space="preserve">municipal </w:t>
      </w:r>
      <w:r>
        <w:rPr>
          <w:sz w:val="24"/>
        </w:rPr>
        <w:t xml:space="preserve">buildings </w:t>
      </w:r>
      <w:r>
        <w:rPr>
          <w:spacing w:val="-3"/>
          <w:sz w:val="24"/>
        </w:rPr>
        <w:t xml:space="preserve">was calculated </w:t>
      </w:r>
      <w:r>
        <w:rPr>
          <w:sz w:val="24"/>
        </w:rPr>
        <w:t>as</w:t>
      </w:r>
      <w:r>
        <w:rPr>
          <w:spacing w:val="-39"/>
          <w:sz w:val="24"/>
        </w:rPr>
        <w:t xml:space="preserve"> </w:t>
      </w:r>
      <w:r>
        <w:rPr>
          <w:sz w:val="24"/>
        </w:rPr>
        <w:t>134 kWh/m²</w:t>
      </w:r>
      <w:r>
        <w:rPr>
          <w:spacing w:val="-14"/>
          <w:sz w:val="24"/>
        </w:rPr>
        <w:t xml:space="preserve"> </w:t>
      </w:r>
      <w:r>
        <w:rPr>
          <w:sz w:val="24"/>
        </w:rPr>
        <w:t>with</w:t>
      </w:r>
      <w:r>
        <w:rPr>
          <w:spacing w:val="-14"/>
          <w:sz w:val="24"/>
        </w:rPr>
        <w:t xml:space="preserve"> </w:t>
      </w:r>
      <w:r>
        <w:rPr>
          <w:sz w:val="24"/>
        </w:rPr>
        <w:t>a</w:t>
      </w:r>
      <w:r>
        <w:rPr>
          <w:spacing w:val="-15"/>
          <w:sz w:val="24"/>
        </w:rPr>
        <w:t xml:space="preserve"> </w:t>
      </w:r>
      <w:r>
        <w:rPr>
          <w:sz w:val="24"/>
        </w:rPr>
        <w:t>total</w:t>
      </w:r>
      <w:r>
        <w:rPr>
          <w:spacing w:val="-14"/>
          <w:sz w:val="24"/>
        </w:rPr>
        <w:t xml:space="preserve"> </w:t>
      </w:r>
      <w:r>
        <w:rPr>
          <w:sz w:val="24"/>
        </w:rPr>
        <w:t>217,196</w:t>
      </w:r>
      <w:r>
        <w:rPr>
          <w:spacing w:val="-14"/>
          <w:sz w:val="24"/>
        </w:rPr>
        <w:t xml:space="preserve"> </w:t>
      </w:r>
      <w:r>
        <w:rPr>
          <w:sz w:val="24"/>
        </w:rPr>
        <w:t>MWh</w:t>
      </w:r>
      <w:r>
        <w:rPr>
          <w:spacing w:val="-14"/>
          <w:sz w:val="24"/>
        </w:rPr>
        <w:t xml:space="preserve"> </w:t>
      </w:r>
      <w:r>
        <w:rPr>
          <w:sz w:val="24"/>
        </w:rPr>
        <w:t>costing</w:t>
      </w:r>
      <w:r>
        <w:rPr>
          <w:spacing w:val="-15"/>
          <w:sz w:val="24"/>
        </w:rPr>
        <w:t xml:space="preserve"> </w:t>
      </w:r>
      <w:r>
        <w:rPr>
          <w:sz w:val="24"/>
        </w:rPr>
        <w:t>Euro</w:t>
      </w:r>
      <w:r>
        <w:rPr>
          <w:spacing w:val="-14"/>
          <w:sz w:val="24"/>
        </w:rPr>
        <w:t xml:space="preserve"> </w:t>
      </w:r>
      <w:r>
        <w:rPr>
          <w:sz w:val="24"/>
        </w:rPr>
        <w:t>15.8</w:t>
      </w:r>
      <w:r>
        <w:rPr>
          <w:spacing w:val="-14"/>
          <w:sz w:val="24"/>
        </w:rPr>
        <w:t xml:space="preserve"> </w:t>
      </w:r>
      <w:r>
        <w:rPr>
          <w:sz w:val="24"/>
        </w:rPr>
        <w:t>million</w:t>
      </w:r>
      <w:r>
        <w:rPr>
          <w:spacing w:val="-14"/>
          <w:sz w:val="24"/>
        </w:rPr>
        <w:t xml:space="preserve"> </w:t>
      </w:r>
      <w:r>
        <w:rPr>
          <w:sz w:val="24"/>
        </w:rPr>
        <w:t>in</w:t>
      </w:r>
      <w:r>
        <w:rPr>
          <w:spacing w:val="-14"/>
          <w:sz w:val="24"/>
        </w:rPr>
        <w:t xml:space="preserve"> </w:t>
      </w:r>
      <w:r>
        <w:rPr>
          <w:sz w:val="24"/>
        </w:rPr>
        <w:t>2013.</w:t>
      </w:r>
    </w:p>
    <w:p w:rsidR="00F3177F" w:rsidRDefault="0089671D" w:rsidP="001C066E">
      <w:pPr>
        <w:pStyle w:val="ListParagraph"/>
        <w:numPr>
          <w:ilvl w:val="2"/>
          <w:numId w:val="27"/>
        </w:numPr>
        <w:tabs>
          <w:tab w:val="left" w:pos="1304"/>
          <w:tab w:val="left" w:pos="1305"/>
        </w:tabs>
        <w:spacing w:before="11" w:line="352" w:lineRule="auto"/>
        <w:ind w:right="116"/>
        <w:jc w:val="both"/>
        <w:rPr>
          <w:sz w:val="24"/>
        </w:rPr>
      </w:pPr>
      <w:r>
        <w:rPr>
          <w:spacing w:val="-3"/>
          <w:sz w:val="24"/>
        </w:rPr>
        <w:t xml:space="preserve">Pristina district heating network </w:t>
      </w:r>
      <w:r>
        <w:rPr>
          <w:sz w:val="24"/>
        </w:rPr>
        <w:t xml:space="preserve">(Termokos) </w:t>
      </w:r>
      <w:r>
        <w:rPr>
          <w:spacing w:val="-3"/>
          <w:sz w:val="24"/>
        </w:rPr>
        <w:t xml:space="preserve">was </w:t>
      </w:r>
      <w:r>
        <w:rPr>
          <w:sz w:val="24"/>
        </w:rPr>
        <w:t xml:space="preserve">completed in </w:t>
      </w:r>
      <w:r>
        <w:rPr>
          <w:spacing w:val="-3"/>
          <w:sz w:val="24"/>
        </w:rPr>
        <w:t xml:space="preserve">2014 and </w:t>
      </w:r>
      <w:r>
        <w:rPr>
          <w:sz w:val="24"/>
        </w:rPr>
        <w:t>it significantly</w:t>
      </w:r>
      <w:r>
        <w:rPr>
          <w:spacing w:val="-14"/>
          <w:sz w:val="24"/>
        </w:rPr>
        <w:t xml:space="preserve"> </w:t>
      </w:r>
      <w:r>
        <w:rPr>
          <w:spacing w:val="-3"/>
          <w:sz w:val="24"/>
        </w:rPr>
        <w:t>reduced</w:t>
      </w:r>
      <w:r>
        <w:rPr>
          <w:spacing w:val="-11"/>
          <w:sz w:val="24"/>
        </w:rPr>
        <w:t xml:space="preserve"> </w:t>
      </w:r>
      <w:r>
        <w:rPr>
          <w:sz w:val="24"/>
        </w:rPr>
        <w:t>heating</w:t>
      </w:r>
      <w:r>
        <w:rPr>
          <w:spacing w:val="-11"/>
          <w:sz w:val="24"/>
        </w:rPr>
        <w:t xml:space="preserve"> </w:t>
      </w:r>
      <w:r>
        <w:rPr>
          <w:sz w:val="24"/>
        </w:rPr>
        <w:t>energy</w:t>
      </w:r>
      <w:r>
        <w:rPr>
          <w:spacing w:val="-14"/>
          <w:sz w:val="24"/>
        </w:rPr>
        <w:t xml:space="preserve"> </w:t>
      </w:r>
      <w:r>
        <w:rPr>
          <w:spacing w:val="-3"/>
          <w:sz w:val="24"/>
        </w:rPr>
        <w:t>consumptions</w:t>
      </w:r>
      <w:r>
        <w:rPr>
          <w:spacing w:val="-10"/>
          <w:sz w:val="24"/>
        </w:rPr>
        <w:t xml:space="preserve"> </w:t>
      </w:r>
      <w:r>
        <w:rPr>
          <w:spacing w:val="-3"/>
          <w:sz w:val="24"/>
        </w:rPr>
        <w:t>and</w:t>
      </w:r>
      <w:r>
        <w:rPr>
          <w:spacing w:val="-10"/>
          <w:sz w:val="24"/>
        </w:rPr>
        <w:t xml:space="preserve"> </w:t>
      </w:r>
      <w:r>
        <w:rPr>
          <w:spacing w:val="-3"/>
          <w:sz w:val="24"/>
        </w:rPr>
        <w:t>fuel</w:t>
      </w:r>
      <w:r>
        <w:rPr>
          <w:spacing w:val="-9"/>
          <w:sz w:val="24"/>
        </w:rPr>
        <w:t xml:space="preserve"> </w:t>
      </w:r>
      <w:r>
        <w:rPr>
          <w:sz w:val="24"/>
        </w:rPr>
        <w:t>oil</w:t>
      </w:r>
      <w:r>
        <w:rPr>
          <w:spacing w:val="-11"/>
          <w:sz w:val="24"/>
        </w:rPr>
        <w:t xml:space="preserve"> </w:t>
      </w:r>
      <w:r>
        <w:rPr>
          <w:sz w:val="24"/>
        </w:rPr>
        <w:t>costs.</w:t>
      </w:r>
    </w:p>
    <w:p w:rsidR="00F3177F" w:rsidRDefault="0089671D">
      <w:pPr>
        <w:pStyle w:val="ListParagraph"/>
        <w:numPr>
          <w:ilvl w:val="2"/>
          <w:numId w:val="27"/>
        </w:numPr>
        <w:tabs>
          <w:tab w:val="left" w:pos="1304"/>
          <w:tab w:val="left" w:pos="1305"/>
        </w:tabs>
        <w:spacing w:before="11" w:line="352" w:lineRule="auto"/>
        <w:ind w:right="120"/>
        <w:rPr>
          <w:sz w:val="24"/>
        </w:rPr>
      </w:pPr>
      <w:r>
        <w:rPr>
          <w:spacing w:val="-3"/>
          <w:sz w:val="24"/>
        </w:rPr>
        <w:t xml:space="preserve">Schools, hospitals </w:t>
      </w:r>
      <w:r>
        <w:rPr>
          <w:sz w:val="24"/>
        </w:rPr>
        <w:t xml:space="preserve">and offices are the main </w:t>
      </w:r>
      <w:r>
        <w:rPr>
          <w:spacing w:val="-2"/>
          <w:sz w:val="24"/>
        </w:rPr>
        <w:t xml:space="preserve">types </w:t>
      </w:r>
      <w:r>
        <w:rPr>
          <w:sz w:val="24"/>
        </w:rPr>
        <w:t xml:space="preserve">of </w:t>
      </w:r>
      <w:r>
        <w:rPr>
          <w:spacing w:val="-3"/>
          <w:sz w:val="24"/>
        </w:rPr>
        <w:t xml:space="preserve">buildings </w:t>
      </w:r>
      <w:r>
        <w:rPr>
          <w:sz w:val="24"/>
        </w:rPr>
        <w:t xml:space="preserve">in </w:t>
      </w:r>
      <w:r>
        <w:rPr>
          <w:spacing w:val="-3"/>
          <w:sz w:val="24"/>
        </w:rPr>
        <w:t>municipalities. Their</w:t>
      </w:r>
      <w:r>
        <w:rPr>
          <w:spacing w:val="-11"/>
          <w:sz w:val="24"/>
        </w:rPr>
        <w:t xml:space="preserve"> </w:t>
      </w:r>
      <w:r>
        <w:rPr>
          <w:sz w:val="24"/>
        </w:rPr>
        <w:t>average</w:t>
      </w:r>
      <w:r>
        <w:rPr>
          <w:spacing w:val="-13"/>
          <w:sz w:val="24"/>
        </w:rPr>
        <w:t xml:space="preserve"> </w:t>
      </w:r>
      <w:r>
        <w:rPr>
          <w:sz w:val="24"/>
        </w:rPr>
        <w:t>energy</w:t>
      </w:r>
      <w:r>
        <w:rPr>
          <w:spacing w:val="-17"/>
          <w:sz w:val="24"/>
        </w:rPr>
        <w:t xml:space="preserve"> </w:t>
      </w:r>
      <w:r>
        <w:rPr>
          <w:sz w:val="24"/>
        </w:rPr>
        <w:t>related</w:t>
      </w:r>
      <w:r>
        <w:rPr>
          <w:spacing w:val="-12"/>
          <w:sz w:val="24"/>
        </w:rPr>
        <w:t xml:space="preserve"> </w:t>
      </w:r>
      <w:r>
        <w:rPr>
          <w:sz w:val="24"/>
        </w:rPr>
        <w:t>figures</w:t>
      </w:r>
      <w:r>
        <w:rPr>
          <w:spacing w:val="-12"/>
          <w:sz w:val="24"/>
        </w:rPr>
        <w:t xml:space="preserve"> </w:t>
      </w:r>
      <w:r>
        <w:rPr>
          <w:sz w:val="24"/>
        </w:rPr>
        <w:t>are</w:t>
      </w:r>
      <w:r>
        <w:rPr>
          <w:spacing w:val="-8"/>
          <w:sz w:val="24"/>
        </w:rPr>
        <w:t xml:space="preserve"> </w:t>
      </w:r>
      <w:r>
        <w:rPr>
          <w:spacing w:val="-3"/>
          <w:sz w:val="24"/>
        </w:rPr>
        <w:t>given</w:t>
      </w:r>
      <w:r>
        <w:rPr>
          <w:spacing w:val="-12"/>
          <w:sz w:val="24"/>
        </w:rPr>
        <w:t xml:space="preserve"> </w:t>
      </w:r>
      <w:r>
        <w:rPr>
          <w:sz w:val="24"/>
        </w:rPr>
        <w:t>in</w:t>
      </w:r>
      <w:r>
        <w:rPr>
          <w:spacing w:val="-11"/>
          <w:sz w:val="24"/>
        </w:rPr>
        <w:t xml:space="preserve"> </w:t>
      </w:r>
      <w:r>
        <w:rPr>
          <w:sz w:val="24"/>
        </w:rPr>
        <w:t>Table</w:t>
      </w:r>
      <w:r>
        <w:rPr>
          <w:spacing w:val="-11"/>
          <w:sz w:val="24"/>
        </w:rPr>
        <w:t xml:space="preserve"> </w:t>
      </w:r>
      <w:r>
        <w:rPr>
          <w:sz w:val="24"/>
        </w:rPr>
        <w:t>2</w:t>
      </w:r>
      <w:r>
        <w:rPr>
          <w:spacing w:val="-12"/>
          <w:sz w:val="24"/>
        </w:rPr>
        <w:t xml:space="preserve"> </w:t>
      </w:r>
      <w:r>
        <w:rPr>
          <w:sz w:val="24"/>
        </w:rPr>
        <w:t>below.</w:t>
      </w:r>
    </w:p>
    <w:p w:rsidR="00F3177F" w:rsidRDefault="00F3177F">
      <w:pPr>
        <w:pStyle w:val="BodyText"/>
      </w:pPr>
    </w:p>
    <w:p w:rsidR="00F3177F" w:rsidRDefault="0089671D">
      <w:pPr>
        <w:pStyle w:val="BodyText"/>
        <w:spacing w:before="148"/>
        <w:ind w:left="584"/>
        <w:jc w:val="both"/>
      </w:pPr>
      <w:r>
        <w:t>Table 2: Energy Consumption by Building Type in Municipalities</w:t>
      </w:r>
    </w:p>
    <w:p w:rsidR="00F3177F" w:rsidRDefault="0089671D">
      <w:pPr>
        <w:pStyle w:val="BodyText"/>
        <w:spacing w:before="2"/>
        <w:rPr>
          <w:sz w:val="21"/>
        </w:rPr>
      </w:pPr>
      <w:r>
        <w:rPr>
          <w:noProof/>
        </w:rPr>
        <w:drawing>
          <wp:anchor distT="0" distB="0" distL="0" distR="0" simplePos="0" relativeHeight="1144" behindDoc="0" locked="0" layoutInCell="1" allowOverlap="1">
            <wp:simplePos x="0" y="0"/>
            <wp:positionH relativeFrom="page">
              <wp:posOffset>1509013</wp:posOffset>
            </wp:positionH>
            <wp:positionV relativeFrom="paragraph">
              <wp:posOffset>179759</wp:posOffset>
            </wp:positionV>
            <wp:extent cx="5326210" cy="204396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1" cstate="print"/>
                    <a:stretch>
                      <a:fillRect/>
                    </a:stretch>
                  </pic:blipFill>
                  <pic:spPr>
                    <a:xfrm>
                      <a:off x="0" y="0"/>
                      <a:ext cx="5326210" cy="2043969"/>
                    </a:xfrm>
                    <a:prstGeom prst="rect">
                      <a:avLst/>
                    </a:prstGeom>
                  </pic:spPr>
                </pic:pic>
              </a:graphicData>
            </a:graphic>
          </wp:anchor>
        </w:drawing>
      </w:r>
    </w:p>
    <w:p w:rsidR="00F3177F" w:rsidRDefault="0089671D">
      <w:pPr>
        <w:pStyle w:val="BodyText"/>
        <w:spacing w:before="93"/>
        <w:ind w:left="584" w:right="120"/>
        <w:jc w:val="both"/>
      </w:pPr>
      <w:r>
        <w:t xml:space="preserve">(Source: World Bank. 2015. Building Stock Study Kosovo: Feasibility Study of Energy Efficiency and Implementation Measures in Public Buildings in Kosovo, prepared by </w:t>
      </w:r>
      <w:proofErr w:type="gramStart"/>
      <w:r>
        <w:t>iC</w:t>
      </w:r>
      <w:proofErr w:type="gramEnd"/>
      <w:r>
        <w:t xml:space="preserve"> clean energy solutions GesmbH, Washington, DC)</w:t>
      </w:r>
    </w:p>
    <w:p w:rsidR="001C066E" w:rsidRDefault="0089671D" w:rsidP="001C066E">
      <w:pPr>
        <w:pStyle w:val="BodyText"/>
        <w:spacing w:before="3" w:line="360" w:lineRule="auto"/>
        <w:ind w:left="584" w:right="117"/>
        <w:jc w:val="both"/>
      </w:pPr>
      <w:r>
        <w:t>According to the Table 2 above, offices and hospitals have the highest average electricity consumption per meter square. Although schools have got the highest energy consumption in total, their average electricity consumption is 133 kWh/m² and it is lower than those of other main types of municipal buildings. World Bank (2013) in its</w:t>
      </w:r>
      <w:r w:rsidR="001C066E">
        <w:t xml:space="preserve"> </w:t>
      </w:r>
    </w:p>
    <w:p w:rsidR="001C066E" w:rsidRDefault="001C066E" w:rsidP="001C066E">
      <w:pPr>
        <w:pStyle w:val="BodyText"/>
        <w:spacing w:before="3" w:line="360" w:lineRule="auto"/>
        <w:ind w:left="584" w:right="117"/>
        <w:jc w:val="both"/>
      </w:pPr>
    </w:p>
    <w:p w:rsidR="00F3177F" w:rsidRDefault="0089671D" w:rsidP="001C066E">
      <w:pPr>
        <w:pStyle w:val="BodyText"/>
        <w:spacing w:before="3" w:line="360" w:lineRule="auto"/>
        <w:ind w:left="584" w:right="117"/>
        <w:jc w:val="both"/>
      </w:pPr>
      <w:r>
        <w:lastRenderedPageBreak/>
        <w:t>Draft Final Report states that “at municipality level, the share of total energy expenditure on schools is 53.3%, on health service buildings 18.3% and is 11.7%, for other</w:t>
      </w:r>
      <w:r>
        <w:rPr>
          <w:spacing w:val="-4"/>
        </w:rPr>
        <w:t xml:space="preserve"> </w:t>
      </w:r>
      <w:r>
        <w:t>buildings.”</w:t>
      </w:r>
    </w:p>
    <w:p w:rsidR="00F3177F" w:rsidRDefault="0089671D">
      <w:pPr>
        <w:pStyle w:val="ListParagraph"/>
        <w:numPr>
          <w:ilvl w:val="2"/>
          <w:numId w:val="27"/>
        </w:numPr>
        <w:tabs>
          <w:tab w:val="left" w:pos="1305"/>
        </w:tabs>
        <w:spacing w:before="3" w:line="357" w:lineRule="auto"/>
        <w:ind w:right="111"/>
        <w:jc w:val="both"/>
        <w:rPr>
          <w:sz w:val="24"/>
        </w:rPr>
      </w:pPr>
      <w:r>
        <w:rPr>
          <w:sz w:val="24"/>
        </w:rPr>
        <w:t xml:space="preserve">Low energy </w:t>
      </w:r>
      <w:r>
        <w:rPr>
          <w:spacing w:val="-3"/>
          <w:sz w:val="24"/>
        </w:rPr>
        <w:t xml:space="preserve">consumptions </w:t>
      </w:r>
      <w:r>
        <w:rPr>
          <w:sz w:val="24"/>
        </w:rPr>
        <w:t xml:space="preserve">in </w:t>
      </w:r>
      <w:r>
        <w:rPr>
          <w:spacing w:val="-3"/>
          <w:sz w:val="24"/>
        </w:rPr>
        <w:t xml:space="preserve">schools and hospitals </w:t>
      </w:r>
      <w:r>
        <w:rPr>
          <w:sz w:val="24"/>
        </w:rPr>
        <w:t xml:space="preserve">may lead to users’ </w:t>
      </w:r>
      <w:r>
        <w:rPr>
          <w:spacing w:val="-3"/>
          <w:sz w:val="24"/>
        </w:rPr>
        <w:t xml:space="preserve">discomfort </w:t>
      </w:r>
      <w:r>
        <w:rPr>
          <w:sz w:val="24"/>
        </w:rPr>
        <w:t xml:space="preserve">as </w:t>
      </w:r>
      <w:r>
        <w:rPr>
          <w:spacing w:val="-3"/>
          <w:sz w:val="24"/>
        </w:rPr>
        <w:t xml:space="preserve">their average </w:t>
      </w:r>
      <w:r>
        <w:rPr>
          <w:sz w:val="24"/>
        </w:rPr>
        <w:t xml:space="preserve">energy </w:t>
      </w:r>
      <w:r>
        <w:rPr>
          <w:spacing w:val="-3"/>
          <w:sz w:val="24"/>
        </w:rPr>
        <w:t xml:space="preserve">consumption should </w:t>
      </w:r>
      <w:r>
        <w:rPr>
          <w:sz w:val="24"/>
        </w:rPr>
        <w:t xml:space="preserve">be </w:t>
      </w:r>
      <w:r>
        <w:rPr>
          <w:spacing w:val="-3"/>
          <w:sz w:val="24"/>
        </w:rPr>
        <w:t xml:space="preserve">around </w:t>
      </w:r>
      <w:r>
        <w:rPr>
          <w:sz w:val="24"/>
        </w:rPr>
        <w:t xml:space="preserve">180 kWh/m² </w:t>
      </w:r>
      <w:r>
        <w:rPr>
          <w:spacing w:val="-3"/>
          <w:sz w:val="24"/>
        </w:rPr>
        <w:t xml:space="preserve">for schools and </w:t>
      </w:r>
      <w:r>
        <w:rPr>
          <w:sz w:val="24"/>
        </w:rPr>
        <w:t xml:space="preserve">255 kwh/m² for hospitals if they were operated in </w:t>
      </w:r>
      <w:r>
        <w:rPr>
          <w:spacing w:val="-3"/>
          <w:sz w:val="24"/>
        </w:rPr>
        <w:t xml:space="preserve">accordance </w:t>
      </w:r>
      <w:r>
        <w:rPr>
          <w:sz w:val="24"/>
        </w:rPr>
        <w:t xml:space="preserve">with building </w:t>
      </w:r>
      <w:r>
        <w:rPr>
          <w:spacing w:val="-3"/>
          <w:sz w:val="24"/>
        </w:rPr>
        <w:t>standards (World Bank,</w:t>
      </w:r>
      <w:r>
        <w:rPr>
          <w:spacing w:val="14"/>
          <w:sz w:val="24"/>
        </w:rPr>
        <w:t xml:space="preserve"> </w:t>
      </w:r>
      <w:r>
        <w:rPr>
          <w:spacing w:val="-3"/>
          <w:sz w:val="24"/>
        </w:rPr>
        <w:t>2015).</w:t>
      </w:r>
    </w:p>
    <w:p w:rsidR="00F3177F" w:rsidRDefault="0089671D">
      <w:pPr>
        <w:pStyle w:val="ListParagraph"/>
        <w:numPr>
          <w:ilvl w:val="2"/>
          <w:numId w:val="27"/>
        </w:numPr>
        <w:tabs>
          <w:tab w:val="left" w:pos="1305"/>
        </w:tabs>
        <w:spacing w:before="8" w:after="22" w:line="350" w:lineRule="auto"/>
        <w:ind w:right="116"/>
        <w:jc w:val="both"/>
        <w:rPr>
          <w:sz w:val="24"/>
        </w:rPr>
      </w:pPr>
      <w:r>
        <w:rPr>
          <w:spacing w:val="-3"/>
          <w:sz w:val="24"/>
        </w:rPr>
        <w:t xml:space="preserve">Firewood </w:t>
      </w:r>
      <w:r>
        <w:rPr>
          <w:sz w:val="24"/>
        </w:rPr>
        <w:t xml:space="preserve">is often </w:t>
      </w:r>
      <w:r>
        <w:rPr>
          <w:spacing w:val="-3"/>
          <w:sz w:val="24"/>
        </w:rPr>
        <w:t xml:space="preserve">used </w:t>
      </w:r>
      <w:r>
        <w:rPr>
          <w:sz w:val="24"/>
        </w:rPr>
        <w:t xml:space="preserve">in </w:t>
      </w:r>
      <w:r>
        <w:rPr>
          <w:spacing w:val="-3"/>
          <w:sz w:val="24"/>
        </w:rPr>
        <w:t xml:space="preserve">schools </w:t>
      </w:r>
      <w:r>
        <w:rPr>
          <w:sz w:val="24"/>
        </w:rPr>
        <w:t xml:space="preserve">to </w:t>
      </w:r>
      <w:r>
        <w:rPr>
          <w:spacing w:val="-2"/>
          <w:sz w:val="24"/>
        </w:rPr>
        <w:t xml:space="preserve">reduce </w:t>
      </w:r>
      <w:r>
        <w:rPr>
          <w:sz w:val="24"/>
        </w:rPr>
        <w:t xml:space="preserve">energy </w:t>
      </w:r>
      <w:r>
        <w:rPr>
          <w:spacing w:val="-3"/>
          <w:sz w:val="24"/>
        </w:rPr>
        <w:t xml:space="preserve">costs. </w:t>
      </w:r>
      <w:r>
        <w:rPr>
          <w:sz w:val="24"/>
        </w:rPr>
        <w:t xml:space="preserve">Figure 9 below </w:t>
      </w:r>
      <w:r>
        <w:rPr>
          <w:spacing w:val="-3"/>
          <w:sz w:val="24"/>
        </w:rPr>
        <w:t xml:space="preserve">shows </w:t>
      </w:r>
      <w:r>
        <w:rPr>
          <w:sz w:val="24"/>
        </w:rPr>
        <w:t>energy</w:t>
      </w:r>
      <w:r>
        <w:rPr>
          <w:spacing w:val="-10"/>
          <w:sz w:val="24"/>
        </w:rPr>
        <w:t xml:space="preserve"> </w:t>
      </w:r>
      <w:r>
        <w:rPr>
          <w:spacing w:val="-3"/>
          <w:sz w:val="24"/>
        </w:rPr>
        <w:t>cost</w:t>
      </w:r>
      <w:r>
        <w:rPr>
          <w:spacing w:val="-6"/>
          <w:sz w:val="24"/>
        </w:rPr>
        <w:t xml:space="preserve"> </w:t>
      </w:r>
      <w:r>
        <w:rPr>
          <w:spacing w:val="-3"/>
          <w:sz w:val="24"/>
        </w:rPr>
        <w:t>percentages</w:t>
      </w:r>
      <w:r>
        <w:rPr>
          <w:spacing w:val="-7"/>
          <w:sz w:val="24"/>
        </w:rPr>
        <w:t xml:space="preserve"> </w:t>
      </w:r>
      <w:r>
        <w:rPr>
          <w:sz w:val="24"/>
        </w:rPr>
        <w:t>by</w:t>
      </w:r>
      <w:r>
        <w:rPr>
          <w:spacing w:val="-10"/>
          <w:sz w:val="24"/>
        </w:rPr>
        <w:t xml:space="preserve"> </w:t>
      </w:r>
      <w:r>
        <w:rPr>
          <w:sz w:val="24"/>
        </w:rPr>
        <w:t>fuel</w:t>
      </w:r>
      <w:r>
        <w:rPr>
          <w:spacing w:val="-7"/>
          <w:sz w:val="24"/>
        </w:rPr>
        <w:t xml:space="preserve"> </w:t>
      </w:r>
      <w:r>
        <w:rPr>
          <w:spacing w:val="-2"/>
          <w:sz w:val="24"/>
        </w:rPr>
        <w:t>types</w:t>
      </w:r>
      <w:r>
        <w:rPr>
          <w:spacing w:val="-7"/>
          <w:sz w:val="24"/>
        </w:rPr>
        <w:t xml:space="preserve"> </w:t>
      </w:r>
      <w:r>
        <w:rPr>
          <w:sz w:val="24"/>
        </w:rPr>
        <w:t>in</w:t>
      </w:r>
      <w:r>
        <w:rPr>
          <w:spacing w:val="-7"/>
          <w:sz w:val="24"/>
        </w:rPr>
        <w:t xml:space="preserve"> </w:t>
      </w:r>
      <w:r>
        <w:rPr>
          <w:sz w:val="24"/>
        </w:rPr>
        <w:t>municipal</w:t>
      </w:r>
      <w:r>
        <w:rPr>
          <w:spacing w:val="-4"/>
          <w:sz w:val="24"/>
        </w:rPr>
        <w:t xml:space="preserve"> </w:t>
      </w:r>
      <w:r>
        <w:rPr>
          <w:spacing w:val="-3"/>
          <w:sz w:val="24"/>
        </w:rPr>
        <w:t>buildings.</w:t>
      </w:r>
    </w:p>
    <w:p w:rsidR="00F3177F" w:rsidRDefault="0089671D">
      <w:pPr>
        <w:pStyle w:val="BodyText"/>
        <w:ind w:left="1304"/>
        <w:rPr>
          <w:sz w:val="20"/>
        </w:rPr>
      </w:pPr>
      <w:r>
        <w:rPr>
          <w:noProof/>
          <w:sz w:val="20"/>
        </w:rPr>
        <w:drawing>
          <wp:inline distT="0" distB="0" distL="0" distR="0">
            <wp:extent cx="4267183" cy="229733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2" cstate="print"/>
                    <a:stretch>
                      <a:fillRect/>
                    </a:stretch>
                  </pic:blipFill>
                  <pic:spPr>
                    <a:xfrm>
                      <a:off x="0" y="0"/>
                      <a:ext cx="4267183" cy="2297334"/>
                    </a:xfrm>
                    <a:prstGeom prst="rect">
                      <a:avLst/>
                    </a:prstGeom>
                  </pic:spPr>
                </pic:pic>
              </a:graphicData>
            </a:graphic>
          </wp:inline>
        </w:drawing>
      </w:r>
    </w:p>
    <w:p w:rsidR="00F3177F" w:rsidRDefault="0089671D">
      <w:pPr>
        <w:pStyle w:val="BodyText"/>
        <w:spacing w:before="145"/>
        <w:ind w:left="584" w:right="119"/>
      </w:pPr>
      <w:r>
        <w:t xml:space="preserve">Figure 9: Energy Cost Percentages by Fuel Type in Municipal Buildings – 2013 (Source: World Bank, 2015. Building Stock Study Kosovo: Feasibility Study of Energy Efficiency and Implementation Measures in Public Buildings in Kosovo, prepared by </w:t>
      </w:r>
      <w:proofErr w:type="gramStart"/>
      <w:r>
        <w:t>iC</w:t>
      </w:r>
      <w:proofErr w:type="gramEnd"/>
      <w:r>
        <w:t xml:space="preserve"> clean energy solutions GesmbH, Washington,</w:t>
      </w:r>
      <w:r>
        <w:rPr>
          <w:spacing w:val="-9"/>
        </w:rPr>
        <w:t xml:space="preserve"> </w:t>
      </w:r>
      <w:r>
        <w:t>DC)</w:t>
      </w:r>
    </w:p>
    <w:p w:rsidR="00F3177F" w:rsidRDefault="00F3177F">
      <w:pPr>
        <w:pStyle w:val="BodyText"/>
      </w:pPr>
    </w:p>
    <w:p w:rsidR="00F3177F" w:rsidRDefault="0089671D">
      <w:pPr>
        <w:pStyle w:val="ListParagraph"/>
        <w:numPr>
          <w:ilvl w:val="2"/>
          <w:numId w:val="27"/>
        </w:numPr>
        <w:tabs>
          <w:tab w:val="left" w:pos="1305"/>
        </w:tabs>
        <w:spacing w:before="139" w:line="357" w:lineRule="auto"/>
        <w:ind w:right="115"/>
        <w:jc w:val="both"/>
        <w:rPr>
          <w:sz w:val="24"/>
        </w:rPr>
      </w:pPr>
      <w:r>
        <w:rPr>
          <w:sz w:val="24"/>
        </w:rPr>
        <w:t xml:space="preserve">The </w:t>
      </w:r>
      <w:r>
        <w:rPr>
          <w:spacing w:val="-3"/>
          <w:sz w:val="24"/>
        </w:rPr>
        <w:t xml:space="preserve">average </w:t>
      </w:r>
      <w:r>
        <w:rPr>
          <w:sz w:val="24"/>
        </w:rPr>
        <w:t xml:space="preserve">energy </w:t>
      </w:r>
      <w:r>
        <w:rPr>
          <w:spacing w:val="-3"/>
          <w:sz w:val="24"/>
        </w:rPr>
        <w:t xml:space="preserve">consumption </w:t>
      </w:r>
      <w:r>
        <w:rPr>
          <w:sz w:val="24"/>
        </w:rPr>
        <w:t xml:space="preserve">in </w:t>
      </w:r>
      <w:r>
        <w:rPr>
          <w:spacing w:val="-3"/>
          <w:sz w:val="24"/>
        </w:rPr>
        <w:t xml:space="preserve">Central Governmental Buildings </w:t>
      </w:r>
      <w:r>
        <w:rPr>
          <w:sz w:val="24"/>
        </w:rPr>
        <w:t xml:space="preserve">is </w:t>
      </w:r>
      <w:r>
        <w:rPr>
          <w:spacing w:val="-3"/>
          <w:sz w:val="24"/>
        </w:rPr>
        <w:t xml:space="preserve">between </w:t>
      </w:r>
      <w:r>
        <w:rPr>
          <w:sz w:val="24"/>
        </w:rPr>
        <w:t xml:space="preserve">123 and 194 kWh/m² and these </w:t>
      </w:r>
      <w:r>
        <w:rPr>
          <w:spacing w:val="-3"/>
          <w:sz w:val="24"/>
        </w:rPr>
        <w:t xml:space="preserve">figures show that </w:t>
      </w:r>
      <w:r>
        <w:rPr>
          <w:sz w:val="24"/>
        </w:rPr>
        <w:t xml:space="preserve">most of these </w:t>
      </w:r>
      <w:r>
        <w:rPr>
          <w:spacing w:val="-3"/>
          <w:sz w:val="24"/>
        </w:rPr>
        <w:t xml:space="preserve">buildings </w:t>
      </w:r>
      <w:r>
        <w:rPr>
          <w:sz w:val="24"/>
        </w:rPr>
        <w:t xml:space="preserve">are not </w:t>
      </w:r>
      <w:r>
        <w:rPr>
          <w:spacing w:val="-3"/>
          <w:sz w:val="24"/>
        </w:rPr>
        <w:t xml:space="preserve">operated </w:t>
      </w:r>
      <w:r>
        <w:rPr>
          <w:sz w:val="24"/>
        </w:rPr>
        <w:t xml:space="preserve">on the </w:t>
      </w:r>
      <w:r>
        <w:rPr>
          <w:spacing w:val="-3"/>
          <w:sz w:val="24"/>
        </w:rPr>
        <w:t xml:space="preserve">comfort </w:t>
      </w:r>
      <w:r>
        <w:rPr>
          <w:sz w:val="24"/>
        </w:rPr>
        <w:t xml:space="preserve">level. According to </w:t>
      </w:r>
      <w:r>
        <w:rPr>
          <w:spacing w:val="-3"/>
          <w:sz w:val="24"/>
        </w:rPr>
        <w:t xml:space="preserve">national </w:t>
      </w:r>
      <w:r>
        <w:rPr>
          <w:sz w:val="24"/>
        </w:rPr>
        <w:t xml:space="preserve">building standards, </w:t>
      </w:r>
      <w:r>
        <w:rPr>
          <w:spacing w:val="-3"/>
          <w:sz w:val="24"/>
        </w:rPr>
        <w:t xml:space="preserve">their consumptions </w:t>
      </w:r>
      <w:r>
        <w:rPr>
          <w:sz w:val="24"/>
        </w:rPr>
        <w:t xml:space="preserve">should be </w:t>
      </w:r>
      <w:r>
        <w:rPr>
          <w:spacing w:val="-3"/>
          <w:sz w:val="24"/>
        </w:rPr>
        <w:t xml:space="preserve">between </w:t>
      </w:r>
      <w:r>
        <w:rPr>
          <w:sz w:val="24"/>
        </w:rPr>
        <w:t xml:space="preserve">166 </w:t>
      </w:r>
      <w:r>
        <w:rPr>
          <w:spacing w:val="-3"/>
          <w:sz w:val="24"/>
        </w:rPr>
        <w:t xml:space="preserve">and </w:t>
      </w:r>
      <w:r>
        <w:rPr>
          <w:sz w:val="24"/>
        </w:rPr>
        <w:t xml:space="preserve">262 kWh/m² with an average of 20° C </w:t>
      </w:r>
      <w:r>
        <w:rPr>
          <w:spacing w:val="-3"/>
          <w:sz w:val="24"/>
        </w:rPr>
        <w:t xml:space="preserve">indoor </w:t>
      </w:r>
      <w:r>
        <w:rPr>
          <w:sz w:val="24"/>
        </w:rPr>
        <w:t xml:space="preserve">temperature </w:t>
      </w:r>
      <w:r>
        <w:rPr>
          <w:spacing w:val="-2"/>
          <w:sz w:val="24"/>
        </w:rPr>
        <w:t xml:space="preserve">(World </w:t>
      </w:r>
      <w:r>
        <w:rPr>
          <w:spacing w:val="-3"/>
          <w:sz w:val="24"/>
        </w:rPr>
        <w:t>Bank,</w:t>
      </w:r>
      <w:r>
        <w:rPr>
          <w:spacing w:val="-22"/>
          <w:sz w:val="24"/>
        </w:rPr>
        <w:t xml:space="preserve"> </w:t>
      </w:r>
      <w:r>
        <w:rPr>
          <w:spacing w:val="-3"/>
          <w:sz w:val="24"/>
        </w:rPr>
        <w:t>2015).</w:t>
      </w:r>
    </w:p>
    <w:p w:rsidR="00F3177F" w:rsidRDefault="0089671D">
      <w:pPr>
        <w:pStyle w:val="ListParagraph"/>
        <w:numPr>
          <w:ilvl w:val="2"/>
          <w:numId w:val="27"/>
        </w:numPr>
        <w:tabs>
          <w:tab w:val="left" w:pos="1305"/>
        </w:tabs>
        <w:spacing w:before="6" w:line="352" w:lineRule="auto"/>
        <w:ind w:right="119"/>
        <w:jc w:val="both"/>
        <w:rPr>
          <w:sz w:val="24"/>
        </w:rPr>
      </w:pPr>
      <w:r>
        <w:rPr>
          <w:spacing w:val="-3"/>
          <w:sz w:val="24"/>
        </w:rPr>
        <w:t xml:space="preserve">Heat and </w:t>
      </w:r>
      <w:r>
        <w:rPr>
          <w:sz w:val="24"/>
        </w:rPr>
        <w:t xml:space="preserve">light levels in </w:t>
      </w:r>
      <w:r>
        <w:rPr>
          <w:spacing w:val="-3"/>
          <w:sz w:val="24"/>
        </w:rPr>
        <w:t xml:space="preserve">municipal </w:t>
      </w:r>
      <w:r>
        <w:rPr>
          <w:sz w:val="24"/>
        </w:rPr>
        <w:t xml:space="preserve">buildings especially in </w:t>
      </w:r>
      <w:r>
        <w:rPr>
          <w:spacing w:val="-3"/>
          <w:sz w:val="24"/>
        </w:rPr>
        <w:t xml:space="preserve">municipalities </w:t>
      </w:r>
      <w:r>
        <w:rPr>
          <w:sz w:val="24"/>
        </w:rPr>
        <w:t xml:space="preserve">outside </w:t>
      </w:r>
      <w:r>
        <w:rPr>
          <w:spacing w:val="-3"/>
          <w:sz w:val="24"/>
        </w:rPr>
        <w:t xml:space="preserve">Pristina </w:t>
      </w:r>
      <w:r>
        <w:rPr>
          <w:sz w:val="24"/>
        </w:rPr>
        <w:t xml:space="preserve">are much lower </w:t>
      </w:r>
      <w:r>
        <w:rPr>
          <w:spacing w:val="-3"/>
          <w:sz w:val="24"/>
        </w:rPr>
        <w:t>than</w:t>
      </w:r>
      <w:r>
        <w:rPr>
          <w:spacing w:val="-24"/>
          <w:sz w:val="24"/>
        </w:rPr>
        <w:t xml:space="preserve"> </w:t>
      </w:r>
      <w:r>
        <w:rPr>
          <w:spacing w:val="-3"/>
          <w:sz w:val="24"/>
        </w:rPr>
        <w:t>required.</w:t>
      </w:r>
    </w:p>
    <w:p w:rsidR="00F3177F" w:rsidRDefault="00F3177F">
      <w:pPr>
        <w:spacing w:line="352" w:lineRule="auto"/>
        <w:jc w:val="both"/>
        <w:rPr>
          <w:sz w:val="24"/>
        </w:rPr>
        <w:sectPr w:rsidR="00F3177F">
          <w:pgSz w:w="12240" w:h="15840"/>
          <w:pgMar w:top="1380" w:right="1320" w:bottom="2320" w:left="1720" w:header="0" w:footer="2095" w:gutter="0"/>
          <w:cols w:space="720"/>
        </w:sectPr>
      </w:pPr>
    </w:p>
    <w:p w:rsidR="00F3177F" w:rsidRDefault="0089671D">
      <w:pPr>
        <w:pStyle w:val="ListParagraph"/>
        <w:numPr>
          <w:ilvl w:val="2"/>
          <w:numId w:val="27"/>
        </w:numPr>
        <w:tabs>
          <w:tab w:val="left" w:pos="1305"/>
        </w:tabs>
        <w:spacing w:before="34" w:line="357" w:lineRule="auto"/>
        <w:ind w:right="116"/>
        <w:jc w:val="both"/>
        <w:rPr>
          <w:sz w:val="24"/>
        </w:rPr>
      </w:pPr>
      <w:r>
        <w:rPr>
          <w:sz w:val="24"/>
        </w:rPr>
        <w:lastRenderedPageBreak/>
        <w:t xml:space="preserve">There is a </w:t>
      </w:r>
      <w:r>
        <w:rPr>
          <w:spacing w:val="-3"/>
          <w:sz w:val="24"/>
        </w:rPr>
        <w:t xml:space="preserve">great </w:t>
      </w:r>
      <w:r>
        <w:rPr>
          <w:sz w:val="24"/>
        </w:rPr>
        <w:t xml:space="preserve">energy saving opportunity in state buildings. Table 3 </w:t>
      </w:r>
      <w:r>
        <w:rPr>
          <w:spacing w:val="-3"/>
          <w:sz w:val="24"/>
        </w:rPr>
        <w:t xml:space="preserve">and </w:t>
      </w:r>
      <w:r>
        <w:rPr>
          <w:sz w:val="24"/>
        </w:rPr>
        <w:t xml:space="preserve">Table 4 </w:t>
      </w:r>
      <w:r>
        <w:rPr>
          <w:spacing w:val="-3"/>
          <w:sz w:val="24"/>
        </w:rPr>
        <w:t xml:space="preserve">below provide </w:t>
      </w:r>
      <w:r>
        <w:rPr>
          <w:sz w:val="24"/>
        </w:rPr>
        <w:t xml:space="preserve">information on “Energy Efficiency Measures and </w:t>
      </w:r>
      <w:r>
        <w:rPr>
          <w:spacing w:val="-3"/>
          <w:sz w:val="24"/>
        </w:rPr>
        <w:t xml:space="preserve">Potential Savings” and “Results </w:t>
      </w:r>
      <w:r>
        <w:rPr>
          <w:sz w:val="24"/>
        </w:rPr>
        <w:t xml:space="preserve">of Energy Audits” </w:t>
      </w:r>
      <w:r>
        <w:rPr>
          <w:spacing w:val="-3"/>
          <w:sz w:val="24"/>
        </w:rPr>
        <w:t xml:space="preserve">conducted </w:t>
      </w:r>
      <w:r>
        <w:rPr>
          <w:sz w:val="24"/>
        </w:rPr>
        <w:t xml:space="preserve">in the </w:t>
      </w:r>
      <w:r>
        <w:rPr>
          <w:spacing w:val="-3"/>
          <w:sz w:val="24"/>
        </w:rPr>
        <w:t xml:space="preserve">current </w:t>
      </w:r>
      <w:r>
        <w:rPr>
          <w:sz w:val="24"/>
        </w:rPr>
        <w:t xml:space="preserve">World </w:t>
      </w:r>
      <w:r>
        <w:rPr>
          <w:spacing w:val="-3"/>
          <w:sz w:val="24"/>
        </w:rPr>
        <w:t>Bank project,</w:t>
      </w:r>
      <w:r>
        <w:rPr>
          <w:spacing w:val="8"/>
          <w:sz w:val="24"/>
        </w:rPr>
        <w:t xml:space="preserve"> </w:t>
      </w:r>
      <w:r>
        <w:rPr>
          <w:spacing w:val="-3"/>
          <w:sz w:val="24"/>
        </w:rPr>
        <w:t>respectively.</w:t>
      </w:r>
    </w:p>
    <w:p w:rsidR="00F3177F" w:rsidRDefault="00F3177F">
      <w:pPr>
        <w:pStyle w:val="BodyText"/>
        <w:spacing w:before="4"/>
      </w:pPr>
    </w:p>
    <w:p w:rsidR="00F3177F" w:rsidRDefault="0089671D">
      <w:pPr>
        <w:pStyle w:val="BodyText"/>
        <w:ind w:left="584" w:right="65"/>
      </w:pPr>
      <w:r>
        <w:t>Table 3: Energy Efficiency Measures and Potential Savings</w:t>
      </w:r>
    </w:p>
    <w:p w:rsidR="00F3177F" w:rsidRDefault="0089671D">
      <w:pPr>
        <w:pStyle w:val="BodyText"/>
        <w:spacing w:before="3"/>
        <w:rPr>
          <w:sz w:val="21"/>
        </w:rPr>
      </w:pPr>
      <w:r>
        <w:rPr>
          <w:noProof/>
        </w:rPr>
        <w:drawing>
          <wp:anchor distT="0" distB="0" distL="0" distR="0" simplePos="0" relativeHeight="1168" behindDoc="0" locked="0" layoutInCell="1" allowOverlap="1">
            <wp:simplePos x="0" y="0"/>
            <wp:positionH relativeFrom="page">
              <wp:posOffset>1463039</wp:posOffset>
            </wp:positionH>
            <wp:positionV relativeFrom="paragraph">
              <wp:posOffset>180267</wp:posOffset>
            </wp:positionV>
            <wp:extent cx="5361994" cy="313182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3" cstate="print"/>
                    <a:stretch>
                      <a:fillRect/>
                    </a:stretch>
                  </pic:blipFill>
                  <pic:spPr>
                    <a:xfrm>
                      <a:off x="0" y="0"/>
                      <a:ext cx="5361994" cy="3131820"/>
                    </a:xfrm>
                    <a:prstGeom prst="rect">
                      <a:avLst/>
                    </a:prstGeom>
                  </pic:spPr>
                </pic:pic>
              </a:graphicData>
            </a:graphic>
          </wp:anchor>
        </w:drawing>
      </w:r>
    </w:p>
    <w:p w:rsidR="00F3177F" w:rsidRDefault="0089671D">
      <w:pPr>
        <w:pStyle w:val="BodyText"/>
        <w:spacing w:before="127"/>
        <w:ind w:left="584" w:right="562"/>
      </w:pPr>
      <w:r>
        <w:rPr>
          <w:spacing w:val="-3"/>
        </w:rPr>
        <w:t xml:space="preserve">(Source: </w:t>
      </w:r>
      <w:r>
        <w:t xml:space="preserve">World </w:t>
      </w:r>
      <w:r>
        <w:rPr>
          <w:spacing w:val="-3"/>
        </w:rPr>
        <w:t xml:space="preserve">Bank. </w:t>
      </w:r>
      <w:r>
        <w:t xml:space="preserve">2013, </w:t>
      </w:r>
      <w:r>
        <w:rPr>
          <w:spacing w:val="-3"/>
        </w:rPr>
        <w:t xml:space="preserve">National </w:t>
      </w:r>
      <w:r>
        <w:t xml:space="preserve">Building Energy Efficiency Study </w:t>
      </w:r>
      <w:r>
        <w:rPr>
          <w:spacing w:val="-3"/>
        </w:rPr>
        <w:t xml:space="preserve">for Kosovo, prepared </w:t>
      </w:r>
      <w:r>
        <w:t xml:space="preserve">by Eptisa, </w:t>
      </w:r>
      <w:r>
        <w:rPr>
          <w:spacing w:val="-3"/>
        </w:rPr>
        <w:t xml:space="preserve">Washington, </w:t>
      </w:r>
      <w:r>
        <w:t>DC.)</w:t>
      </w:r>
    </w:p>
    <w:p w:rsidR="00F3177F" w:rsidRDefault="00F3177F">
      <w:pPr>
        <w:sectPr w:rsidR="00F3177F">
          <w:pgSz w:w="12240" w:h="15840"/>
          <w:pgMar w:top="1400" w:right="1320" w:bottom="2320" w:left="1720" w:header="0" w:footer="2095" w:gutter="0"/>
          <w:cols w:space="720"/>
        </w:sectPr>
      </w:pPr>
    </w:p>
    <w:p w:rsidR="00F3177F" w:rsidRDefault="0089671D">
      <w:pPr>
        <w:pStyle w:val="BodyText"/>
        <w:spacing w:before="52"/>
        <w:ind w:left="584"/>
        <w:jc w:val="both"/>
      </w:pPr>
      <w:r>
        <w:lastRenderedPageBreak/>
        <w:t>Table 4: Results of Energy Audits</w:t>
      </w:r>
    </w:p>
    <w:p w:rsidR="00F3177F" w:rsidRDefault="0089671D">
      <w:pPr>
        <w:pStyle w:val="BodyText"/>
        <w:spacing w:before="3"/>
        <w:rPr>
          <w:sz w:val="21"/>
        </w:rPr>
      </w:pPr>
      <w:r>
        <w:rPr>
          <w:noProof/>
        </w:rPr>
        <w:drawing>
          <wp:anchor distT="0" distB="0" distL="0" distR="0" simplePos="0" relativeHeight="1192" behindDoc="0" locked="0" layoutInCell="1" allowOverlap="1">
            <wp:simplePos x="0" y="0"/>
            <wp:positionH relativeFrom="page">
              <wp:posOffset>1463039</wp:posOffset>
            </wp:positionH>
            <wp:positionV relativeFrom="paragraph">
              <wp:posOffset>180394</wp:posOffset>
            </wp:positionV>
            <wp:extent cx="5374237" cy="3592353"/>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4" cstate="print"/>
                    <a:stretch>
                      <a:fillRect/>
                    </a:stretch>
                  </pic:blipFill>
                  <pic:spPr>
                    <a:xfrm>
                      <a:off x="0" y="0"/>
                      <a:ext cx="5374237" cy="3592353"/>
                    </a:xfrm>
                    <a:prstGeom prst="rect">
                      <a:avLst/>
                    </a:prstGeom>
                  </pic:spPr>
                </pic:pic>
              </a:graphicData>
            </a:graphic>
          </wp:anchor>
        </w:drawing>
      </w:r>
    </w:p>
    <w:p w:rsidR="00F3177F" w:rsidRDefault="0089671D">
      <w:pPr>
        <w:pStyle w:val="BodyText"/>
        <w:spacing w:before="114"/>
        <w:ind w:left="584"/>
        <w:jc w:val="both"/>
      </w:pPr>
      <w:r>
        <w:t>(Source: World Bank Groups’, 2016)</w:t>
      </w:r>
    </w:p>
    <w:p w:rsidR="00F3177F" w:rsidRDefault="00F3177F">
      <w:pPr>
        <w:pStyle w:val="BodyText"/>
      </w:pPr>
    </w:p>
    <w:p w:rsidR="00F3177F" w:rsidRDefault="0089671D">
      <w:pPr>
        <w:pStyle w:val="BodyText"/>
        <w:spacing w:before="139" w:line="360" w:lineRule="auto"/>
        <w:ind w:left="584" w:right="116"/>
        <w:jc w:val="both"/>
      </w:pPr>
      <w:r>
        <w:t>According to Table 3, lighting, space and water heating present the highest energy efficiency potentials. Moreover, according to Table 4, schools can save 53% of their energy consumptions with an average of 5.6 years energy renovation payback periods.  It will cost 56 Euro for each meter square of state schools with a total of 113.8 million Euros</w:t>
      </w:r>
      <w:r>
        <w:rPr>
          <w:spacing w:val="37"/>
        </w:rPr>
        <w:t xml:space="preserve"> </w:t>
      </w:r>
      <w:r>
        <w:t>in</w:t>
      </w:r>
      <w:r>
        <w:rPr>
          <w:spacing w:val="37"/>
        </w:rPr>
        <w:t xml:space="preserve"> </w:t>
      </w:r>
      <w:r>
        <w:t>all</w:t>
      </w:r>
      <w:r>
        <w:rPr>
          <w:spacing w:val="37"/>
        </w:rPr>
        <w:t xml:space="preserve"> </w:t>
      </w:r>
      <w:r>
        <w:t>municipal</w:t>
      </w:r>
      <w:r>
        <w:rPr>
          <w:spacing w:val="39"/>
        </w:rPr>
        <w:t xml:space="preserve"> </w:t>
      </w:r>
      <w:r>
        <w:t>buildings.</w:t>
      </w:r>
      <w:r>
        <w:rPr>
          <w:spacing w:val="37"/>
        </w:rPr>
        <w:t xml:space="preserve"> </w:t>
      </w:r>
      <w:r>
        <w:t>The</w:t>
      </w:r>
      <w:r>
        <w:rPr>
          <w:spacing w:val="36"/>
        </w:rPr>
        <w:t xml:space="preserve"> </w:t>
      </w:r>
      <w:r>
        <w:t>total</w:t>
      </w:r>
      <w:r>
        <w:rPr>
          <w:spacing w:val="39"/>
        </w:rPr>
        <w:t xml:space="preserve"> </w:t>
      </w:r>
      <w:r>
        <w:t>investment</w:t>
      </w:r>
      <w:r>
        <w:rPr>
          <w:spacing w:val="37"/>
        </w:rPr>
        <w:t xml:space="preserve"> </w:t>
      </w:r>
      <w:r>
        <w:t>will</w:t>
      </w:r>
      <w:r>
        <w:rPr>
          <w:spacing w:val="38"/>
        </w:rPr>
        <w:t xml:space="preserve"> </w:t>
      </w:r>
      <w:r>
        <w:t>cost</w:t>
      </w:r>
      <w:r>
        <w:rPr>
          <w:spacing w:val="37"/>
        </w:rPr>
        <w:t xml:space="preserve"> </w:t>
      </w:r>
      <w:r>
        <w:t>156.2</w:t>
      </w:r>
      <w:r>
        <w:rPr>
          <w:spacing w:val="39"/>
        </w:rPr>
        <w:t xml:space="preserve"> </w:t>
      </w:r>
      <w:r>
        <w:t>million</w:t>
      </w:r>
      <w:r>
        <w:rPr>
          <w:spacing w:val="37"/>
        </w:rPr>
        <w:t xml:space="preserve"> </w:t>
      </w:r>
      <w:r>
        <w:t>Euros</w:t>
      </w:r>
    </w:p>
    <w:p w:rsidR="00F3177F" w:rsidRDefault="0089671D">
      <w:pPr>
        <w:pStyle w:val="BodyText"/>
        <w:spacing w:before="6" w:line="328" w:lineRule="auto"/>
        <w:ind w:left="584" w:right="119"/>
        <w:jc w:val="both"/>
      </w:pPr>
      <w:r>
        <w:t>(World Bank Groups’, 2016). World Bank (2013) calculated the same investment cost as 66.99 €/</w:t>
      </w:r>
      <w:proofErr w:type="gramStart"/>
      <w:r>
        <w:t>m</w:t>
      </w:r>
      <w:r>
        <w:rPr>
          <w:position w:val="11"/>
          <w:sz w:val="16"/>
        </w:rPr>
        <w:t xml:space="preserve">2  </w:t>
      </w:r>
      <w:r>
        <w:t>with</w:t>
      </w:r>
      <w:proofErr w:type="gramEnd"/>
      <w:r>
        <w:t xml:space="preserve"> a 4.6 year payback period and a total cost of 47 million</w:t>
      </w:r>
      <w:r>
        <w:rPr>
          <w:spacing w:val="-35"/>
        </w:rPr>
        <w:t xml:space="preserve"> </w:t>
      </w:r>
      <w:r>
        <w:t>Euros.</w:t>
      </w:r>
    </w:p>
    <w:p w:rsidR="00F3177F" w:rsidRDefault="00F3177F">
      <w:pPr>
        <w:spacing w:line="328" w:lineRule="auto"/>
        <w:jc w:val="both"/>
        <w:sectPr w:rsidR="00F3177F">
          <w:pgSz w:w="12240" w:h="15840"/>
          <w:pgMar w:top="1380" w:right="1320" w:bottom="2320" w:left="1720" w:header="0" w:footer="2095" w:gutter="0"/>
          <w:cols w:space="720"/>
        </w:sectPr>
      </w:pPr>
    </w:p>
    <w:p w:rsidR="00F3177F" w:rsidRDefault="0089671D">
      <w:pPr>
        <w:pStyle w:val="Heading1"/>
        <w:ind w:left="4043"/>
      </w:pPr>
      <w:r>
        <w:lastRenderedPageBreak/>
        <w:t>CHAPTER 3</w:t>
      </w:r>
    </w:p>
    <w:p w:rsidR="00F3177F" w:rsidRDefault="00F3177F">
      <w:pPr>
        <w:pStyle w:val="BodyText"/>
        <w:rPr>
          <w:b/>
          <w:sz w:val="28"/>
        </w:rPr>
      </w:pPr>
    </w:p>
    <w:p w:rsidR="00F3177F" w:rsidRDefault="00F3177F">
      <w:pPr>
        <w:pStyle w:val="BodyText"/>
        <w:spacing w:before="11"/>
        <w:rPr>
          <w:b/>
          <w:sz w:val="33"/>
        </w:rPr>
      </w:pPr>
    </w:p>
    <w:p w:rsidR="00F3177F" w:rsidRDefault="0089671D">
      <w:pPr>
        <w:ind w:left="2778" w:right="65"/>
        <w:rPr>
          <w:b/>
          <w:sz w:val="28"/>
        </w:rPr>
      </w:pPr>
      <w:r>
        <w:rPr>
          <w:b/>
          <w:sz w:val="28"/>
        </w:rPr>
        <w:t>METHODS AND PROCEDURES</w:t>
      </w:r>
    </w:p>
    <w:p w:rsidR="00F3177F" w:rsidRDefault="00F3177F">
      <w:pPr>
        <w:pStyle w:val="BodyText"/>
        <w:rPr>
          <w:b/>
          <w:sz w:val="20"/>
        </w:rPr>
      </w:pPr>
    </w:p>
    <w:p w:rsidR="00F3177F" w:rsidRDefault="00F3177F">
      <w:pPr>
        <w:pStyle w:val="BodyText"/>
        <w:spacing w:before="1"/>
        <w:rPr>
          <w:b/>
        </w:rPr>
      </w:pPr>
    </w:p>
    <w:p w:rsidR="00F3177F" w:rsidRDefault="0089671D">
      <w:pPr>
        <w:pStyle w:val="Heading2"/>
        <w:numPr>
          <w:ilvl w:val="1"/>
          <w:numId w:val="26"/>
        </w:numPr>
        <w:tabs>
          <w:tab w:val="left" w:pos="1065"/>
        </w:tabs>
        <w:spacing w:before="70"/>
        <w:jc w:val="both"/>
      </w:pPr>
      <w:r>
        <w:t>Overview</w:t>
      </w:r>
    </w:p>
    <w:p w:rsidR="00F3177F" w:rsidRDefault="00F3177F">
      <w:pPr>
        <w:pStyle w:val="BodyText"/>
        <w:rPr>
          <w:b/>
        </w:rPr>
      </w:pPr>
    </w:p>
    <w:p w:rsidR="00F3177F" w:rsidRDefault="00F3177F">
      <w:pPr>
        <w:pStyle w:val="BodyText"/>
        <w:spacing w:before="6"/>
        <w:rPr>
          <w:b/>
          <w:sz w:val="23"/>
        </w:rPr>
      </w:pPr>
    </w:p>
    <w:p w:rsidR="00F3177F" w:rsidRDefault="0089671D">
      <w:pPr>
        <w:pStyle w:val="BodyText"/>
        <w:ind w:left="584"/>
        <w:jc w:val="both"/>
      </w:pPr>
      <w:r>
        <w:t>Quantitative research methods were used in this research to determine:</w:t>
      </w:r>
    </w:p>
    <w:p w:rsidR="00F3177F" w:rsidRDefault="0089671D" w:rsidP="00A85E2C">
      <w:pPr>
        <w:pStyle w:val="ListParagraph"/>
        <w:numPr>
          <w:ilvl w:val="2"/>
          <w:numId w:val="26"/>
        </w:numPr>
        <w:tabs>
          <w:tab w:val="left" w:pos="1304"/>
          <w:tab w:val="left" w:pos="1305"/>
        </w:tabs>
        <w:spacing w:before="136" w:line="352" w:lineRule="auto"/>
        <w:ind w:right="117"/>
        <w:jc w:val="both"/>
        <w:rPr>
          <w:sz w:val="24"/>
        </w:rPr>
      </w:pPr>
      <w:r>
        <w:rPr>
          <w:sz w:val="24"/>
        </w:rPr>
        <w:t>Whether a set of factors could affect energy consumption in schools and what  the energy saving school features from the point of energy consumption</w:t>
      </w:r>
      <w:r>
        <w:rPr>
          <w:spacing w:val="-14"/>
          <w:sz w:val="24"/>
        </w:rPr>
        <w:t xml:space="preserve"> </w:t>
      </w:r>
      <w:r>
        <w:rPr>
          <w:sz w:val="24"/>
        </w:rPr>
        <w:t>are</w:t>
      </w:r>
    </w:p>
    <w:p w:rsidR="00F3177F" w:rsidRDefault="0089671D">
      <w:pPr>
        <w:pStyle w:val="ListParagraph"/>
        <w:numPr>
          <w:ilvl w:val="2"/>
          <w:numId w:val="26"/>
        </w:numPr>
        <w:tabs>
          <w:tab w:val="left" w:pos="1304"/>
          <w:tab w:val="left" w:pos="1305"/>
        </w:tabs>
        <w:spacing w:before="14"/>
        <w:rPr>
          <w:sz w:val="24"/>
        </w:rPr>
      </w:pPr>
      <w:r>
        <w:rPr>
          <w:sz w:val="24"/>
        </w:rPr>
        <w:t>Whether energy consumption affects students’ health and</w:t>
      </w:r>
      <w:r>
        <w:rPr>
          <w:spacing w:val="-8"/>
          <w:sz w:val="24"/>
        </w:rPr>
        <w:t xml:space="preserve"> </w:t>
      </w:r>
      <w:r>
        <w:rPr>
          <w:sz w:val="24"/>
        </w:rPr>
        <w:t>well-being</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17"/>
        <w:jc w:val="both"/>
      </w:pPr>
      <w:r>
        <w:t>As Gall et al. (1996) state, the purpose of quantitative research is to deduce/draw conclusions about a large population using a small sample drawn from that larger population.</w:t>
      </w:r>
    </w:p>
    <w:p w:rsidR="00F3177F" w:rsidRDefault="00F3177F">
      <w:pPr>
        <w:pStyle w:val="BodyText"/>
      </w:pPr>
    </w:p>
    <w:p w:rsidR="00F3177F" w:rsidRDefault="0089671D">
      <w:pPr>
        <w:pStyle w:val="BodyText"/>
        <w:spacing w:before="143"/>
        <w:ind w:left="584"/>
        <w:jc w:val="both"/>
      </w:pPr>
      <w:r>
        <w:t>The research has got two stages;</w:t>
      </w:r>
    </w:p>
    <w:p w:rsidR="00F3177F" w:rsidRDefault="0089671D">
      <w:pPr>
        <w:pStyle w:val="ListParagraph"/>
        <w:numPr>
          <w:ilvl w:val="0"/>
          <w:numId w:val="25"/>
        </w:numPr>
        <w:tabs>
          <w:tab w:val="left" w:pos="1305"/>
        </w:tabs>
        <w:spacing w:before="137"/>
        <w:rPr>
          <w:sz w:val="24"/>
        </w:rPr>
      </w:pPr>
      <w:r>
        <w:rPr>
          <w:sz w:val="24"/>
        </w:rPr>
        <w:t>Evaluating school energy</w:t>
      </w:r>
      <w:r>
        <w:rPr>
          <w:spacing w:val="-10"/>
          <w:sz w:val="24"/>
        </w:rPr>
        <w:t xml:space="preserve"> </w:t>
      </w:r>
      <w:r>
        <w:rPr>
          <w:sz w:val="24"/>
        </w:rPr>
        <w:t>practices,</w:t>
      </w:r>
    </w:p>
    <w:p w:rsidR="00F3177F" w:rsidRDefault="0089671D">
      <w:pPr>
        <w:pStyle w:val="ListParagraph"/>
        <w:numPr>
          <w:ilvl w:val="0"/>
          <w:numId w:val="25"/>
        </w:numPr>
        <w:tabs>
          <w:tab w:val="left" w:pos="1305"/>
        </w:tabs>
        <w:spacing w:before="139" w:line="360" w:lineRule="auto"/>
        <w:ind w:right="112"/>
        <w:jc w:val="both"/>
        <w:rPr>
          <w:sz w:val="24"/>
        </w:rPr>
      </w:pPr>
      <w:r>
        <w:rPr>
          <w:sz w:val="24"/>
        </w:rPr>
        <w:t>Comparing students’ comfort levels between low energy consuming state schools with less building transparencies and compactness and high energy consuming state schools with higher building transparencies and compactness in Pristina Central</w:t>
      </w:r>
      <w:r>
        <w:rPr>
          <w:spacing w:val="-9"/>
          <w:sz w:val="24"/>
        </w:rPr>
        <w:t xml:space="preserve"> </w:t>
      </w:r>
      <w:r>
        <w:rPr>
          <w:sz w:val="24"/>
        </w:rPr>
        <w:t>Municipality.</w:t>
      </w:r>
    </w:p>
    <w:p w:rsidR="00F3177F" w:rsidRDefault="00F3177F">
      <w:pPr>
        <w:pStyle w:val="BodyText"/>
      </w:pPr>
    </w:p>
    <w:p w:rsidR="00F3177F" w:rsidRDefault="0089671D">
      <w:pPr>
        <w:pStyle w:val="BodyText"/>
        <w:spacing w:before="143" w:line="360" w:lineRule="auto"/>
        <w:ind w:left="584" w:right="114"/>
        <w:jc w:val="both"/>
      </w:pPr>
      <w:r>
        <w:t>The purpose of the first stage is to find out energy saving school features for the state primary and secondary schools in Pristina Central Municipality from the point of energy consumption. There are different factors as school features that affect energy consumption in schools. This research deals with:</w:t>
      </w:r>
    </w:p>
    <w:p w:rsidR="00F3177F" w:rsidRDefault="0089671D">
      <w:pPr>
        <w:pStyle w:val="ListParagraph"/>
        <w:numPr>
          <w:ilvl w:val="0"/>
          <w:numId w:val="24"/>
        </w:numPr>
        <w:tabs>
          <w:tab w:val="left" w:pos="1305"/>
        </w:tabs>
        <w:spacing w:before="6"/>
        <w:rPr>
          <w:sz w:val="24"/>
        </w:rPr>
      </w:pPr>
      <w:r>
        <w:rPr>
          <w:sz w:val="24"/>
        </w:rPr>
        <w:t>Building</w:t>
      </w:r>
      <w:r>
        <w:rPr>
          <w:spacing w:val="-4"/>
          <w:sz w:val="24"/>
        </w:rPr>
        <w:t xml:space="preserve"> </w:t>
      </w:r>
      <w:r>
        <w:rPr>
          <w:sz w:val="24"/>
        </w:rPr>
        <w:t>age,</w:t>
      </w:r>
    </w:p>
    <w:p w:rsidR="00F3177F" w:rsidRDefault="0089671D">
      <w:pPr>
        <w:pStyle w:val="ListParagraph"/>
        <w:numPr>
          <w:ilvl w:val="0"/>
          <w:numId w:val="24"/>
        </w:numPr>
        <w:tabs>
          <w:tab w:val="left" w:pos="1305"/>
        </w:tabs>
        <w:spacing w:before="137"/>
        <w:rPr>
          <w:sz w:val="24"/>
        </w:rPr>
      </w:pPr>
      <w:r>
        <w:rPr>
          <w:sz w:val="24"/>
        </w:rPr>
        <w:t>Study shift (morning or</w:t>
      </w:r>
      <w:r>
        <w:rPr>
          <w:spacing w:val="-8"/>
          <w:sz w:val="24"/>
        </w:rPr>
        <w:t xml:space="preserve"> </w:t>
      </w:r>
      <w:r>
        <w:rPr>
          <w:sz w:val="24"/>
        </w:rPr>
        <w:t>afternoon),</w:t>
      </w:r>
    </w:p>
    <w:p w:rsidR="00F3177F" w:rsidRDefault="00F3177F">
      <w:pPr>
        <w:rPr>
          <w:sz w:val="24"/>
        </w:rPr>
        <w:sectPr w:rsidR="00F3177F">
          <w:pgSz w:w="12240" w:h="15840"/>
          <w:pgMar w:top="1400" w:right="1320" w:bottom="2320" w:left="1720" w:header="0" w:footer="2095" w:gutter="0"/>
          <w:cols w:space="720"/>
        </w:sectPr>
      </w:pPr>
    </w:p>
    <w:p w:rsidR="00F3177F" w:rsidRDefault="0089671D">
      <w:pPr>
        <w:pStyle w:val="ListParagraph"/>
        <w:numPr>
          <w:ilvl w:val="0"/>
          <w:numId w:val="24"/>
        </w:numPr>
        <w:tabs>
          <w:tab w:val="left" w:pos="1305"/>
        </w:tabs>
        <w:spacing w:before="54"/>
        <w:rPr>
          <w:sz w:val="24"/>
        </w:rPr>
      </w:pPr>
      <w:r>
        <w:rPr>
          <w:sz w:val="24"/>
        </w:rPr>
        <w:lastRenderedPageBreak/>
        <w:t>The number of school</w:t>
      </w:r>
      <w:r>
        <w:rPr>
          <w:spacing w:val="-8"/>
          <w:sz w:val="24"/>
        </w:rPr>
        <w:t xml:space="preserve"> </w:t>
      </w:r>
      <w:r>
        <w:rPr>
          <w:sz w:val="24"/>
        </w:rPr>
        <w:t>buildings,</w:t>
      </w:r>
    </w:p>
    <w:p w:rsidR="00F3177F" w:rsidRDefault="0089671D">
      <w:pPr>
        <w:pStyle w:val="ListParagraph"/>
        <w:numPr>
          <w:ilvl w:val="0"/>
          <w:numId w:val="24"/>
        </w:numPr>
        <w:tabs>
          <w:tab w:val="left" w:pos="1305"/>
        </w:tabs>
        <w:spacing w:before="137"/>
        <w:rPr>
          <w:sz w:val="24"/>
        </w:rPr>
      </w:pPr>
      <w:r>
        <w:rPr>
          <w:sz w:val="24"/>
        </w:rPr>
        <w:t>Floor</w:t>
      </w:r>
      <w:r>
        <w:rPr>
          <w:spacing w:val="-7"/>
          <w:sz w:val="24"/>
        </w:rPr>
        <w:t xml:space="preserve"> </w:t>
      </w:r>
      <w:r>
        <w:rPr>
          <w:sz w:val="24"/>
        </w:rPr>
        <w:t>heights,</w:t>
      </w:r>
    </w:p>
    <w:p w:rsidR="00F3177F" w:rsidRDefault="0089671D">
      <w:pPr>
        <w:pStyle w:val="ListParagraph"/>
        <w:numPr>
          <w:ilvl w:val="0"/>
          <w:numId w:val="24"/>
        </w:numPr>
        <w:tabs>
          <w:tab w:val="left" w:pos="1305"/>
        </w:tabs>
        <w:spacing w:before="139"/>
        <w:rPr>
          <w:sz w:val="24"/>
        </w:rPr>
      </w:pPr>
      <w:r>
        <w:rPr>
          <w:sz w:val="24"/>
        </w:rPr>
        <w:t>The number of school building</w:t>
      </w:r>
      <w:r>
        <w:rPr>
          <w:spacing w:val="-9"/>
          <w:sz w:val="24"/>
        </w:rPr>
        <w:t xml:space="preserve"> </w:t>
      </w:r>
      <w:r>
        <w:rPr>
          <w:sz w:val="24"/>
        </w:rPr>
        <w:t>floors,</w:t>
      </w:r>
    </w:p>
    <w:p w:rsidR="00F3177F" w:rsidRDefault="0089671D">
      <w:pPr>
        <w:pStyle w:val="ListParagraph"/>
        <w:numPr>
          <w:ilvl w:val="0"/>
          <w:numId w:val="24"/>
        </w:numPr>
        <w:tabs>
          <w:tab w:val="left" w:pos="1304"/>
          <w:tab w:val="left" w:pos="1305"/>
        </w:tabs>
        <w:spacing w:before="137"/>
        <w:rPr>
          <w:sz w:val="24"/>
        </w:rPr>
      </w:pPr>
      <w:r>
        <w:rPr>
          <w:sz w:val="24"/>
        </w:rPr>
        <w:t>Extra school</w:t>
      </w:r>
      <w:r>
        <w:rPr>
          <w:spacing w:val="-6"/>
          <w:sz w:val="24"/>
        </w:rPr>
        <w:t xml:space="preserve"> </w:t>
      </w:r>
      <w:r>
        <w:rPr>
          <w:sz w:val="24"/>
        </w:rPr>
        <w:t>buildings</w:t>
      </w:r>
    </w:p>
    <w:p w:rsidR="00F3177F" w:rsidRDefault="0089671D">
      <w:pPr>
        <w:pStyle w:val="ListParagraph"/>
        <w:numPr>
          <w:ilvl w:val="0"/>
          <w:numId w:val="24"/>
        </w:numPr>
        <w:tabs>
          <w:tab w:val="left" w:pos="1305"/>
        </w:tabs>
        <w:spacing w:before="139"/>
        <w:rPr>
          <w:sz w:val="24"/>
        </w:rPr>
      </w:pPr>
      <w:r>
        <w:rPr>
          <w:sz w:val="24"/>
        </w:rPr>
        <w:t>The number of</w:t>
      </w:r>
      <w:r>
        <w:rPr>
          <w:spacing w:val="-6"/>
          <w:sz w:val="24"/>
        </w:rPr>
        <w:t xml:space="preserve"> </w:t>
      </w:r>
      <w:r>
        <w:rPr>
          <w:sz w:val="24"/>
        </w:rPr>
        <w:t>students,</w:t>
      </w:r>
    </w:p>
    <w:p w:rsidR="00F3177F" w:rsidRDefault="0089671D">
      <w:pPr>
        <w:pStyle w:val="ListParagraph"/>
        <w:numPr>
          <w:ilvl w:val="0"/>
          <w:numId w:val="24"/>
        </w:numPr>
        <w:tabs>
          <w:tab w:val="left" w:pos="1305"/>
        </w:tabs>
        <w:spacing w:before="101"/>
        <w:rPr>
          <w:sz w:val="24"/>
        </w:rPr>
      </w:pPr>
      <w:r>
        <w:rPr>
          <w:sz w:val="24"/>
        </w:rPr>
        <w:t>Total school building area without extra buildings</w:t>
      </w:r>
      <w:r>
        <w:rPr>
          <w:spacing w:val="-8"/>
          <w:sz w:val="24"/>
        </w:rPr>
        <w:t xml:space="preserve"> </w:t>
      </w:r>
      <w:r>
        <w:rPr>
          <w:sz w:val="24"/>
        </w:rPr>
        <w:t>(m</w:t>
      </w:r>
      <w:r>
        <w:rPr>
          <w:position w:val="11"/>
          <w:sz w:val="16"/>
        </w:rPr>
        <w:t>2</w:t>
      </w:r>
      <w:r>
        <w:rPr>
          <w:sz w:val="24"/>
        </w:rPr>
        <w:t>),</w:t>
      </w:r>
    </w:p>
    <w:p w:rsidR="00F3177F" w:rsidRDefault="0089671D">
      <w:pPr>
        <w:pStyle w:val="ListParagraph"/>
        <w:numPr>
          <w:ilvl w:val="0"/>
          <w:numId w:val="24"/>
        </w:numPr>
        <w:tabs>
          <w:tab w:val="left" w:pos="1304"/>
          <w:tab w:val="left" w:pos="1305"/>
        </w:tabs>
        <w:spacing w:before="139"/>
        <w:rPr>
          <w:sz w:val="24"/>
        </w:rPr>
      </w:pPr>
      <w:r>
        <w:rPr>
          <w:sz w:val="24"/>
        </w:rPr>
        <w:t>Fuel</w:t>
      </w:r>
      <w:r>
        <w:rPr>
          <w:spacing w:val="-4"/>
          <w:sz w:val="24"/>
        </w:rPr>
        <w:t xml:space="preserve"> </w:t>
      </w:r>
      <w:r>
        <w:rPr>
          <w:sz w:val="24"/>
        </w:rPr>
        <w:t>type</w:t>
      </w:r>
    </w:p>
    <w:p w:rsidR="00F3177F" w:rsidRDefault="0089671D">
      <w:pPr>
        <w:pStyle w:val="ListParagraph"/>
        <w:numPr>
          <w:ilvl w:val="0"/>
          <w:numId w:val="24"/>
        </w:numPr>
        <w:tabs>
          <w:tab w:val="left" w:pos="1304"/>
          <w:tab w:val="left" w:pos="1305"/>
        </w:tabs>
        <w:spacing w:before="101"/>
        <w:rPr>
          <w:sz w:val="24"/>
        </w:rPr>
      </w:pPr>
      <w:r>
        <w:rPr>
          <w:sz w:val="24"/>
        </w:rPr>
        <w:t>Student density</w:t>
      </w:r>
      <w:r>
        <w:rPr>
          <w:spacing w:val="-4"/>
          <w:sz w:val="24"/>
        </w:rPr>
        <w:t xml:space="preserve"> </w:t>
      </w:r>
      <w:r>
        <w:rPr>
          <w:sz w:val="24"/>
        </w:rPr>
        <w:t>(student/m</w:t>
      </w:r>
      <w:r>
        <w:rPr>
          <w:position w:val="11"/>
          <w:sz w:val="16"/>
        </w:rPr>
        <w:t>2</w:t>
      </w:r>
      <w:r>
        <w:rPr>
          <w:sz w:val="24"/>
        </w:rPr>
        <w:t>)</w:t>
      </w:r>
    </w:p>
    <w:p w:rsidR="00F3177F" w:rsidRDefault="0089671D">
      <w:pPr>
        <w:pStyle w:val="BodyText"/>
        <w:spacing w:before="139" w:line="350" w:lineRule="auto"/>
        <w:ind w:left="584" w:right="116"/>
        <w:jc w:val="both"/>
      </w:pPr>
      <w:proofErr w:type="gramStart"/>
      <w:r>
        <w:t>as</w:t>
      </w:r>
      <w:proofErr w:type="gramEnd"/>
      <w:r>
        <w:t xml:space="preserve"> variables to measure/evaluate energy saving school practices for energy consumption per student and m</w:t>
      </w:r>
      <w:r>
        <w:rPr>
          <w:position w:val="11"/>
          <w:sz w:val="16"/>
        </w:rPr>
        <w:t>2</w:t>
      </w:r>
      <w:r>
        <w:t xml:space="preserve">. However, the thesis builds hypotheses on study shift, number of school building floors and student density. Energy consumption per meter square as unit area is more often used for energy benchmarking practices. </w:t>
      </w:r>
      <w:r>
        <w:rPr>
          <w:spacing w:val="-3"/>
        </w:rPr>
        <w:t xml:space="preserve">It </w:t>
      </w:r>
      <w:r>
        <w:t>should be noted that</w:t>
      </w:r>
      <w:r>
        <w:rPr>
          <w:spacing w:val="58"/>
        </w:rPr>
        <w:t xml:space="preserve"> </w:t>
      </w:r>
      <w:r>
        <w:t>there</w:t>
      </w:r>
    </w:p>
    <w:p w:rsidR="00F3177F" w:rsidRDefault="0089671D">
      <w:pPr>
        <w:pStyle w:val="BodyText"/>
        <w:spacing w:before="17" w:line="357" w:lineRule="auto"/>
        <w:ind w:left="584" w:right="116"/>
        <w:jc w:val="both"/>
      </w:pPr>
      <w:proofErr w:type="gramStart"/>
      <w:r>
        <w:t>are</w:t>
      </w:r>
      <w:proofErr w:type="gramEnd"/>
      <w:r>
        <w:t xml:space="preserve"> three types of schools as pre-school, primary and secondary. Naturally, pre-schools tend to spend more energy per student as younger students are more vulnerable to undesirable/cold atmospheres. Pre-schools in PCM can also be considered as a separate division as they mostly use electric energy while primary and secondary schools mostly depend on fuel energy in state schools in PCM. This research takes primary and secondary state schools into consideration. Although not used for the comparison purposes, energy consumption per student and CO</w:t>
      </w:r>
      <w:r>
        <w:rPr>
          <w:position w:val="-2"/>
          <w:sz w:val="16"/>
        </w:rPr>
        <w:t xml:space="preserve">2 </w:t>
      </w:r>
      <w:r>
        <w:t>emissions per meter square were also</w:t>
      </w:r>
      <w:r>
        <w:rPr>
          <w:spacing w:val="-7"/>
        </w:rPr>
        <w:t xml:space="preserve"> </w:t>
      </w:r>
      <w:r>
        <w:t>calculated.</w:t>
      </w:r>
    </w:p>
    <w:p w:rsidR="00F3177F" w:rsidRDefault="00F3177F">
      <w:pPr>
        <w:pStyle w:val="BodyText"/>
      </w:pPr>
    </w:p>
    <w:p w:rsidR="00F3177F" w:rsidRDefault="0089671D" w:rsidP="003B47FA">
      <w:pPr>
        <w:pStyle w:val="BodyText"/>
        <w:spacing w:before="146" w:line="360" w:lineRule="auto"/>
        <w:ind w:left="584" w:right="115"/>
        <w:jc w:val="both"/>
      </w:pPr>
      <w:r>
        <w:t>The purpose of the second stage is to compare students’ environmental comfort levels between high energy consuming state schools with more building transparencies and compactness and low energy consuming state schools with less building transparencies and compactness per student/yr in PCM. For the comparison, an English version of Örebro Environmental Study Questionnaire built by Örebro University Hospital in Sweden (Anderson, 1993) was applied to the students in the three lowest and the three highest energy consuming schools along with their building transparencies and compactness  as  additional  sampling  criteria  per  student  in  PCM  according  to the</w:t>
      </w:r>
      <w:r w:rsidR="003B47FA">
        <w:t xml:space="preserve"> </w:t>
      </w:r>
      <w:r>
        <w:lastRenderedPageBreak/>
        <w:t>calculations from the first stage. The questionnaire uses a two-level Likert format as ‘Yes’ and ‘No’. It starts with ‘General Information’ questions to find out;</w:t>
      </w:r>
    </w:p>
    <w:p w:rsidR="00F3177F" w:rsidRDefault="0089671D">
      <w:pPr>
        <w:pStyle w:val="ListParagraph"/>
        <w:numPr>
          <w:ilvl w:val="1"/>
          <w:numId w:val="24"/>
        </w:numPr>
        <w:tabs>
          <w:tab w:val="left" w:pos="1305"/>
        </w:tabs>
        <w:spacing w:before="6"/>
        <w:rPr>
          <w:sz w:val="24"/>
        </w:rPr>
      </w:pPr>
      <w:r>
        <w:rPr>
          <w:sz w:val="24"/>
        </w:rPr>
        <w:t>Whether students are sitting at the back or front of the</w:t>
      </w:r>
      <w:r>
        <w:rPr>
          <w:spacing w:val="-13"/>
          <w:sz w:val="24"/>
        </w:rPr>
        <w:t xml:space="preserve"> </w:t>
      </w:r>
      <w:r>
        <w:rPr>
          <w:sz w:val="24"/>
        </w:rPr>
        <w:t>classroom</w:t>
      </w:r>
    </w:p>
    <w:p w:rsidR="00F3177F" w:rsidRDefault="0089671D">
      <w:pPr>
        <w:pStyle w:val="ListParagraph"/>
        <w:numPr>
          <w:ilvl w:val="1"/>
          <w:numId w:val="24"/>
        </w:numPr>
        <w:tabs>
          <w:tab w:val="left" w:pos="1305"/>
        </w:tabs>
        <w:spacing w:before="137"/>
        <w:rPr>
          <w:sz w:val="24"/>
        </w:rPr>
      </w:pPr>
      <w:r>
        <w:rPr>
          <w:sz w:val="24"/>
        </w:rPr>
        <w:t>Whether students are sitting near the windows or the</w:t>
      </w:r>
      <w:r>
        <w:rPr>
          <w:spacing w:val="-8"/>
          <w:sz w:val="24"/>
        </w:rPr>
        <w:t xml:space="preserve"> </w:t>
      </w:r>
      <w:r>
        <w:rPr>
          <w:sz w:val="24"/>
        </w:rPr>
        <w:t>wall</w:t>
      </w:r>
    </w:p>
    <w:p w:rsidR="00F3177F" w:rsidRDefault="0089671D">
      <w:pPr>
        <w:pStyle w:val="ListParagraph"/>
        <w:numPr>
          <w:ilvl w:val="1"/>
          <w:numId w:val="24"/>
        </w:numPr>
        <w:tabs>
          <w:tab w:val="left" w:pos="1305"/>
        </w:tabs>
        <w:spacing w:before="139"/>
        <w:rPr>
          <w:sz w:val="24"/>
        </w:rPr>
      </w:pPr>
      <w:r>
        <w:rPr>
          <w:sz w:val="24"/>
        </w:rPr>
        <w:t>How many lessons students have already</w:t>
      </w:r>
      <w:r>
        <w:rPr>
          <w:spacing w:val="-9"/>
          <w:sz w:val="24"/>
        </w:rPr>
        <w:t xml:space="preserve"> </w:t>
      </w:r>
      <w:r>
        <w:rPr>
          <w:sz w:val="24"/>
        </w:rPr>
        <w:t>had</w:t>
      </w:r>
    </w:p>
    <w:p w:rsidR="00F3177F" w:rsidRDefault="0089671D">
      <w:pPr>
        <w:pStyle w:val="BodyText"/>
        <w:spacing w:before="137" w:line="360" w:lineRule="auto"/>
        <w:ind w:left="944" w:right="65"/>
      </w:pPr>
      <w:r>
        <w:t>As to see if there are any differences between them from the point of comfort, the</w:t>
      </w:r>
      <w:r w:rsidR="003B47FA">
        <w:t xml:space="preserve"> </w:t>
      </w:r>
      <w:r>
        <w:t>other sections of the questionnaire as given below.</w:t>
      </w:r>
    </w:p>
    <w:p w:rsidR="00F3177F" w:rsidRDefault="0089671D">
      <w:pPr>
        <w:pStyle w:val="ListParagraph"/>
        <w:numPr>
          <w:ilvl w:val="2"/>
          <w:numId w:val="24"/>
        </w:numPr>
        <w:tabs>
          <w:tab w:val="left" w:pos="1305"/>
        </w:tabs>
        <w:spacing w:before="4"/>
        <w:rPr>
          <w:sz w:val="24"/>
        </w:rPr>
      </w:pPr>
      <w:r>
        <w:rPr>
          <w:sz w:val="24"/>
        </w:rPr>
        <w:t>Health</w:t>
      </w:r>
    </w:p>
    <w:p w:rsidR="00F3177F" w:rsidRDefault="0089671D">
      <w:pPr>
        <w:pStyle w:val="ListParagraph"/>
        <w:numPr>
          <w:ilvl w:val="2"/>
          <w:numId w:val="24"/>
        </w:numPr>
        <w:tabs>
          <w:tab w:val="left" w:pos="1305"/>
        </w:tabs>
        <w:spacing w:before="139"/>
        <w:rPr>
          <w:sz w:val="24"/>
        </w:rPr>
      </w:pPr>
      <w:r>
        <w:rPr>
          <w:sz w:val="24"/>
        </w:rPr>
        <w:t>Well-being</w:t>
      </w:r>
    </w:p>
    <w:p w:rsidR="00F3177F" w:rsidRDefault="0089671D">
      <w:pPr>
        <w:pStyle w:val="ListParagraph"/>
        <w:numPr>
          <w:ilvl w:val="2"/>
          <w:numId w:val="24"/>
        </w:numPr>
        <w:tabs>
          <w:tab w:val="left" w:pos="1305"/>
        </w:tabs>
        <w:spacing w:before="137"/>
        <w:rPr>
          <w:sz w:val="24"/>
        </w:rPr>
      </w:pPr>
      <w:r>
        <w:rPr>
          <w:sz w:val="24"/>
        </w:rPr>
        <w:t>Other</w:t>
      </w:r>
      <w:r>
        <w:rPr>
          <w:spacing w:val="-5"/>
          <w:sz w:val="24"/>
        </w:rPr>
        <w:t xml:space="preserve"> </w:t>
      </w:r>
      <w:r>
        <w:rPr>
          <w:sz w:val="24"/>
        </w:rPr>
        <w:t>conditions</w:t>
      </w:r>
    </w:p>
    <w:p w:rsidR="00F3177F" w:rsidRDefault="0089671D">
      <w:pPr>
        <w:pStyle w:val="ListParagraph"/>
        <w:numPr>
          <w:ilvl w:val="2"/>
          <w:numId w:val="24"/>
        </w:numPr>
        <w:tabs>
          <w:tab w:val="left" w:pos="1305"/>
        </w:tabs>
        <w:spacing w:before="139"/>
        <w:rPr>
          <w:sz w:val="24"/>
        </w:rPr>
      </w:pPr>
      <w:r>
        <w:rPr>
          <w:sz w:val="24"/>
        </w:rPr>
        <w:t>Home</w:t>
      </w:r>
      <w:r>
        <w:rPr>
          <w:spacing w:val="-4"/>
          <w:sz w:val="24"/>
        </w:rPr>
        <w:t xml:space="preserve"> </w:t>
      </w:r>
      <w:r>
        <w:rPr>
          <w:sz w:val="24"/>
        </w:rPr>
        <w:t>conditions</w:t>
      </w:r>
    </w:p>
    <w:p w:rsidR="00F3177F" w:rsidRDefault="0089671D">
      <w:pPr>
        <w:pStyle w:val="ListParagraph"/>
        <w:numPr>
          <w:ilvl w:val="2"/>
          <w:numId w:val="24"/>
        </w:numPr>
        <w:tabs>
          <w:tab w:val="left" w:pos="1305"/>
        </w:tabs>
        <w:spacing w:before="137"/>
        <w:rPr>
          <w:sz w:val="24"/>
        </w:rPr>
      </w:pPr>
      <w:r>
        <w:rPr>
          <w:sz w:val="24"/>
        </w:rPr>
        <w:t>Environmental survey</w:t>
      </w:r>
    </w:p>
    <w:p w:rsidR="00F3177F" w:rsidRDefault="00F3177F">
      <w:pPr>
        <w:pStyle w:val="BodyText"/>
      </w:pPr>
    </w:p>
    <w:p w:rsidR="00F3177F" w:rsidRDefault="00F3177F">
      <w:pPr>
        <w:pStyle w:val="BodyText"/>
        <w:spacing w:before="4"/>
      </w:pPr>
    </w:p>
    <w:p w:rsidR="00F3177F" w:rsidRDefault="0089671D">
      <w:pPr>
        <w:pStyle w:val="Heading2"/>
        <w:numPr>
          <w:ilvl w:val="1"/>
          <w:numId w:val="26"/>
        </w:numPr>
        <w:tabs>
          <w:tab w:val="left" w:pos="1065"/>
        </w:tabs>
        <w:spacing w:before="1"/>
      </w:pPr>
      <w:r>
        <w:t>Research-Design</w:t>
      </w:r>
    </w:p>
    <w:p w:rsidR="00F3177F" w:rsidRDefault="00F3177F">
      <w:pPr>
        <w:pStyle w:val="BodyText"/>
        <w:rPr>
          <w:b/>
        </w:rPr>
      </w:pPr>
    </w:p>
    <w:p w:rsidR="00F3177F" w:rsidRDefault="00F3177F">
      <w:pPr>
        <w:pStyle w:val="BodyText"/>
        <w:spacing w:before="6"/>
        <w:rPr>
          <w:b/>
          <w:sz w:val="23"/>
        </w:rPr>
      </w:pPr>
    </w:p>
    <w:p w:rsidR="00F3177F" w:rsidRDefault="0089671D">
      <w:pPr>
        <w:pStyle w:val="BodyText"/>
        <w:ind w:left="584" w:right="65"/>
      </w:pPr>
      <w:r>
        <w:t>The research has two stages and it is designed to;</w:t>
      </w:r>
    </w:p>
    <w:p w:rsidR="00F3177F" w:rsidRDefault="0089671D">
      <w:pPr>
        <w:pStyle w:val="ListParagraph"/>
        <w:numPr>
          <w:ilvl w:val="2"/>
          <w:numId w:val="26"/>
        </w:numPr>
        <w:tabs>
          <w:tab w:val="left" w:pos="1304"/>
          <w:tab w:val="left" w:pos="1305"/>
        </w:tabs>
        <w:spacing w:line="321" w:lineRule="auto"/>
        <w:ind w:right="113"/>
        <w:rPr>
          <w:sz w:val="24"/>
        </w:rPr>
      </w:pPr>
      <w:r>
        <w:rPr>
          <w:sz w:val="24"/>
        </w:rPr>
        <w:t>Examine the energy saving school features by using yearly energy consumption per</w:t>
      </w:r>
      <w:r>
        <w:rPr>
          <w:spacing w:val="31"/>
          <w:sz w:val="24"/>
        </w:rPr>
        <w:t xml:space="preserve"> </w:t>
      </w:r>
      <w:r>
        <w:rPr>
          <w:sz w:val="24"/>
        </w:rPr>
        <w:t>m</w:t>
      </w:r>
      <w:r>
        <w:rPr>
          <w:position w:val="11"/>
          <w:sz w:val="16"/>
        </w:rPr>
        <w:t>2</w:t>
      </w:r>
      <w:r>
        <w:rPr>
          <w:spacing w:val="34"/>
          <w:position w:val="11"/>
          <w:sz w:val="16"/>
        </w:rPr>
        <w:t xml:space="preserve"> </w:t>
      </w:r>
      <w:r>
        <w:rPr>
          <w:sz w:val="24"/>
        </w:rPr>
        <w:t>as</w:t>
      </w:r>
      <w:r>
        <w:rPr>
          <w:spacing w:val="35"/>
          <w:sz w:val="24"/>
        </w:rPr>
        <w:t xml:space="preserve"> </w:t>
      </w:r>
      <w:r>
        <w:rPr>
          <w:sz w:val="24"/>
        </w:rPr>
        <w:t>an</w:t>
      </w:r>
      <w:r>
        <w:rPr>
          <w:spacing w:val="32"/>
          <w:sz w:val="24"/>
        </w:rPr>
        <w:t xml:space="preserve"> </w:t>
      </w:r>
      <w:r>
        <w:rPr>
          <w:sz w:val="24"/>
        </w:rPr>
        <w:t>indicator.</w:t>
      </w:r>
      <w:r>
        <w:rPr>
          <w:spacing w:val="34"/>
          <w:sz w:val="24"/>
        </w:rPr>
        <w:t xml:space="preserve"> </w:t>
      </w:r>
      <w:r>
        <w:rPr>
          <w:sz w:val="24"/>
        </w:rPr>
        <w:t>The</w:t>
      </w:r>
      <w:r>
        <w:rPr>
          <w:spacing w:val="31"/>
          <w:sz w:val="24"/>
        </w:rPr>
        <w:t xml:space="preserve"> </w:t>
      </w:r>
      <w:r>
        <w:rPr>
          <w:sz w:val="24"/>
        </w:rPr>
        <w:t>research</w:t>
      </w:r>
      <w:r>
        <w:rPr>
          <w:spacing w:val="34"/>
          <w:sz w:val="24"/>
        </w:rPr>
        <w:t xml:space="preserve"> </w:t>
      </w:r>
      <w:r>
        <w:rPr>
          <w:sz w:val="24"/>
        </w:rPr>
        <w:t>design</w:t>
      </w:r>
      <w:r>
        <w:rPr>
          <w:spacing w:val="34"/>
          <w:sz w:val="24"/>
        </w:rPr>
        <w:t xml:space="preserve"> </w:t>
      </w:r>
      <w:r>
        <w:rPr>
          <w:sz w:val="24"/>
        </w:rPr>
        <w:t>consists</w:t>
      </w:r>
      <w:r>
        <w:rPr>
          <w:spacing w:val="33"/>
          <w:sz w:val="24"/>
        </w:rPr>
        <w:t xml:space="preserve"> </w:t>
      </w:r>
      <w:r>
        <w:rPr>
          <w:sz w:val="24"/>
        </w:rPr>
        <w:t>of</w:t>
      </w:r>
      <w:r>
        <w:rPr>
          <w:spacing w:val="31"/>
          <w:sz w:val="24"/>
        </w:rPr>
        <w:t xml:space="preserve"> </w:t>
      </w:r>
      <w:r>
        <w:rPr>
          <w:sz w:val="24"/>
        </w:rPr>
        <w:t>data</w:t>
      </w:r>
      <w:r>
        <w:rPr>
          <w:spacing w:val="34"/>
          <w:sz w:val="24"/>
        </w:rPr>
        <w:t xml:space="preserve"> </w:t>
      </w:r>
      <w:r>
        <w:rPr>
          <w:sz w:val="24"/>
        </w:rPr>
        <w:t>collected</w:t>
      </w:r>
      <w:r>
        <w:rPr>
          <w:spacing w:val="32"/>
          <w:sz w:val="24"/>
        </w:rPr>
        <w:t xml:space="preserve"> </w:t>
      </w:r>
      <w:r>
        <w:rPr>
          <w:sz w:val="24"/>
        </w:rPr>
        <w:t>using</w:t>
      </w:r>
      <w:r>
        <w:rPr>
          <w:spacing w:val="33"/>
          <w:sz w:val="24"/>
        </w:rPr>
        <w:t xml:space="preserve"> </w:t>
      </w:r>
      <w:r>
        <w:rPr>
          <w:sz w:val="24"/>
        </w:rPr>
        <w:t>a</w:t>
      </w:r>
    </w:p>
    <w:p w:rsidR="00F3177F" w:rsidRDefault="0089671D">
      <w:pPr>
        <w:pStyle w:val="BodyText"/>
        <w:spacing w:before="35" w:line="360" w:lineRule="auto"/>
        <w:ind w:left="1304" w:right="113"/>
        <w:jc w:val="both"/>
      </w:pPr>
      <w:proofErr w:type="gramStart"/>
      <w:r>
        <w:t>table</w:t>
      </w:r>
      <w:proofErr w:type="gramEnd"/>
      <w:r>
        <w:t xml:space="preserve"> of school energy consumption figures and applying Manova, Person Correlation Coefficient and Spearman’s Rho Correlation analyses for the first stage.</w:t>
      </w:r>
    </w:p>
    <w:p w:rsidR="00F3177F" w:rsidRDefault="0089671D">
      <w:pPr>
        <w:pStyle w:val="ListParagraph"/>
        <w:numPr>
          <w:ilvl w:val="2"/>
          <w:numId w:val="26"/>
        </w:numPr>
        <w:tabs>
          <w:tab w:val="left" w:pos="1305"/>
        </w:tabs>
        <w:spacing w:before="3" w:line="360" w:lineRule="auto"/>
        <w:ind w:right="112"/>
        <w:jc w:val="both"/>
        <w:rPr>
          <w:sz w:val="24"/>
        </w:rPr>
      </w:pPr>
      <w:r>
        <w:rPr>
          <w:sz w:val="24"/>
        </w:rPr>
        <w:t>Compare students’ comfort levels in high energy consuming state schools with more building transparencies and compactness and low energy consuming state schools with less building transparencies and compactness per student by analyzing the differences in their responses to a questionnaire for the second stage. An English version of a previous study with the help of a questionnaire in a two-level Likert format consisting of 46 items built by Örebro University Hospital in Sweden (Anderson, 1993) was used. One-way Anova and Chi- Square tests have been applied for the second</w:t>
      </w:r>
      <w:r>
        <w:rPr>
          <w:spacing w:val="-11"/>
          <w:sz w:val="24"/>
        </w:rPr>
        <w:t xml:space="preserve"> </w:t>
      </w:r>
      <w:r>
        <w:rPr>
          <w:sz w:val="24"/>
        </w:rPr>
        <w:t>stage.</w:t>
      </w:r>
    </w:p>
    <w:p w:rsidR="00F3177F" w:rsidRDefault="00F3177F">
      <w:pPr>
        <w:spacing w:line="360" w:lineRule="auto"/>
        <w:jc w:val="both"/>
        <w:rPr>
          <w:sz w:val="24"/>
        </w:rPr>
        <w:sectPr w:rsidR="00F3177F">
          <w:pgSz w:w="12240" w:h="15840"/>
          <w:pgMar w:top="1380" w:right="1320" w:bottom="2320" w:left="1720" w:header="0" w:footer="2095" w:gutter="0"/>
          <w:cols w:space="720"/>
        </w:sectPr>
      </w:pPr>
    </w:p>
    <w:p w:rsidR="00F3177F" w:rsidRDefault="0089671D">
      <w:pPr>
        <w:pStyle w:val="Heading2"/>
        <w:numPr>
          <w:ilvl w:val="1"/>
          <w:numId w:val="26"/>
        </w:numPr>
        <w:tabs>
          <w:tab w:val="left" w:pos="1065"/>
        </w:tabs>
        <w:spacing w:before="39"/>
        <w:jc w:val="both"/>
      </w:pPr>
      <w:r>
        <w:lastRenderedPageBreak/>
        <w:t>Population</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1"/>
        <w:jc w:val="both"/>
      </w:pPr>
      <w:r>
        <w:t>The population for the first stage was all the state primary and secondary schools in Pristina Central Municipality in Kosovo. There are 63 state schools in PCM including</w:t>
      </w:r>
      <w:r w:rsidR="003B47FA">
        <w:t xml:space="preserve"> </w:t>
      </w:r>
      <w:r>
        <w:t>13 secondary, 42 primary and 8 pre-primary schools. The pre-primary schools should be considered separate as their school structure and type of energy they use are different from the primary and secondary state schools. The state pre-primary schools in PCM mostly use electric energy while the others also use fuel energy. The</w:t>
      </w:r>
      <w:r w:rsidR="003B47FA">
        <w:t xml:space="preserve"> </w:t>
      </w:r>
      <w:r>
        <w:t>pre-primary</w:t>
      </w:r>
      <w:r w:rsidR="003B47FA">
        <w:t xml:space="preserve"> </w:t>
      </w:r>
      <w:r>
        <w:t>schools have not been included in this</w:t>
      </w:r>
      <w:r>
        <w:rPr>
          <w:spacing w:val="-6"/>
        </w:rPr>
        <w:t xml:space="preserve"> </w:t>
      </w:r>
      <w:r>
        <w:t>thesis.</w:t>
      </w:r>
    </w:p>
    <w:p w:rsidR="00F3177F" w:rsidRDefault="00F3177F">
      <w:pPr>
        <w:pStyle w:val="BodyText"/>
      </w:pPr>
    </w:p>
    <w:p w:rsidR="00F3177F" w:rsidRDefault="0089671D">
      <w:pPr>
        <w:pStyle w:val="BodyText"/>
        <w:spacing w:before="143" w:line="360" w:lineRule="auto"/>
        <w:ind w:left="584" w:right="111"/>
        <w:jc w:val="both"/>
      </w:pPr>
      <w:r>
        <w:t>The population for the second stage was the students of the three lowest energy consuming state schools per student along with their low building transparencies and compactness (MINECSs) and the three highest energy consuming state schools per student along with their high building transparencies and compactness (MAXECSs) in PCM to have a comparison between them from the point of students’ comfort levels through the Örebro questionnaire. For the academic year 2014-2015 when the researches were carried out, total number of the students in the three maximum energy consuming state schools was 2018 and in the three minimum energy consuming state schools was</w:t>
      </w:r>
      <w:r>
        <w:rPr>
          <w:spacing w:val="-4"/>
        </w:rPr>
        <w:t xml:space="preserve"> </w:t>
      </w:r>
      <w:r>
        <w:t>4142.</w:t>
      </w:r>
    </w:p>
    <w:p w:rsidR="00F3177F" w:rsidRDefault="00F3177F">
      <w:pPr>
        <w:pStyle w:val="BodyText"/>
      </w:pPr>
    </w:p>
    <w:p w:rsidR="00F3177F" w:rsidRDefault="00F3177F">
      <w:pPr>
        <w:pStyle w:val="BodyText"/>
        <w:spacing w:before="8"/>
      </w:pPr>
    </w:p>
    <w:p w:rsidR="00F3177F" w:rsidRDefault="0089671D">
      <w:pPr>
        <w:pStyle w:val="Heading2"/>
        <w:numPr>
          <w:ilvl w:val="1"/>
          <w:numId w:val="26"/>
        </w:numPr>
        <w:tabs>
          <w:tab w:val="left" w:pos="1065"/>
        </w:tabs>
        <w:jc w:val="both"/>
      </w:pPr>
      <w:r>
        <w:t>Sample</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55" w:lineRule="auto"/>
        <w:ind w:left="584" w:right="116"/>
        <w:jc w:val="both"/>
      </w:pPr>
      <w:r>
        <w:t>To collect the sample, the institutional contact with the PCM was used as the municipalities are responsible for the educational budgets. For the first stage of the research, all of the 55 state primary and secondary schools with a population of 45304 students in PCM for the academic year 2014-2015, without any exception, were included in the sample. All the population was needed to calculate annual energy consumption per student and m</w:t>
      </w:r>
      <w:r>
        <w:rPr>
          <w:position w:val="11"/>
          <w:sz w:val="16"/>
        </w:rPr>
        <w:t>2</w:t>
      </w:r>
      <w:r>
        <w:t>, and CO</w:t>
      </w:r>
      <w:r>
        <w:rPr>
          <w:position w:val="-2"/>
          <w:sz w:val="16"/>
        </w:rPr>
        <w:t xml:space="preserve">2 </w:t>
      </w:r>
      <w:r>
        <w:t>emission per m</w:t>
      </w:r>
      <w:r>
        <w:rPr>
          <w:position w:val="11"/>
          <w:sz w:val="16"/>
        </w:rPr>
        <w:t xml:space="preserve">2 </w:t>
      </w:r>
      <w:r>
        <w:t>as the first stage purely</w:t>
      </w:r>
      <w:r>
        <w:rPr>
          <w:spacing w:val="-7"/>
        </w:rPr>
        <w:t xml:space="preserve"> </w:t>
      </w:r>
      <w:r>
        <w:t>based</w:t>
      </w:r>
    </w:p>
    <w:p w:rsidR="00F3177F" w:rsidRDefault="0089671D">
      <w:pPr>
        <w:pStyle w:val="BodyText"/>
        <w:spacing w:line="248" w:lineRule="exact"/>
        <w:ind w:left="584"/>
        <w:jc w:val="both"/>
      </w:pPr>
      <w:proofErr w:type="gramStart"/>
      <w:r>
        <w:t>on</w:t>
      </w:r>
      <w:proofErr w:type="gramEnd"/>
      <w:r>
        <w:t xml:space="preserve"> arithmetical calculations.</w:t>
      </w:r>
    </w:p>
    <w:p w:rsidR="00F3177F" w:rsidRDefault="00F3177F">
      <w:pPr>
        <w:spacing w:line="248" w:lineRule="exact"/>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562"/>
      </w:pPr>
      <w:r>
        <w:lastRenderedPageBreak/>
        <w:t>For the second stage, three criteria were applied for the selection of survey schools. They were;</w:t>
      </w:r>
    </w:p>
    <w:p w:rsidR="00F3177F" w:rsidRDefault="0089671D">
      <w:pPr>
        <w:pStyle w:val="ListParagraph"/>
        <w:numPr>
          <w:ilvl w:val="0"/>
          <w:numId w:val="23"/>
        </w:numPr>
        <w:tabs>
          <w:tab w:val="left" w:pos="945"/>
        </w:tabs>
        <w:spacing w:before="6"/>
        <w:jc w:val="both"/>
        <w:rPr>
          <w:sz w:val="24"/>
        </w:rPr>
      </w:pPr>
      <w:r>
        <w:rPr>
          <w:sz w:val="24"/>
        </w:rPr>
        <w:t>Annual school energy consumption per</w:t>
      </w:r>
      <w:r>
        <w:rPr>
          <w:spacing w:val="-6"/>
          <w:sz w:val="24"/>
        </w:rPr>
        <w:t xml:space="preserve"> </w:t>
      </w:r>
      <w:r>
        <w:rPr>
          <w:sz w:val="24"/>
        </w:rPr>
        <w:t>student,</w:t>
      </w:r>
    </w:p>
    <w:p w:rsidR="00F3177F" w:rsidRDefault="0089671D">
      <w:pPr>
        <w:pStyle w:val="ListParagraph"/>
        <w:numPr>
          <w:ilvl w:val="0"/>
          <w:numId w:val="23"/>
        </w:numPr>
        <w:tabs>
          <w:tab w:val="left" w:pos="945"/>
        </w:tabs>
        <w:spacing w:before="137"/>
        <w:jc w:val="both"/>
        <w:rPr>
          <w:sz w:val="24"/>
        </w:rPr>
      </w:pPr>
      <w:r>
        <w:rPr>
          <w:sz w:val="24"/>
        </w:rPr>
        <w:t>School building compactness as ratio of building surface area/building</w:t>
      </w:r>
      <w:r>
        <w:rPr>
          <w:spacing w:val="-16"/>
          <w:sz w:val="24"/>
        </w:rPr>
        <w:t xml:space="preserve"> </w:t>
      </w:r>
      <w:r>
        <w:rPr>
          <w:sz w:val="24"/>
        </w:rPr>
        <w:t>volume,</w:t>
      </w:r>
    </w:p>
    <w:p w:rsidR="00F3177F" w:rsidRDefault="0089671D">
      <w:pPr>
        <w:pStyle w:val="ListParagraph"/>
        <w:numPr>
          <w:ilvl w:val="0"/>
          <w:numId w:val="23"/>
        </w:numPr>
        <w:tabs>
          <w:tab w:val="left" w:pos="945"/>
        </w:tabs>
        <w:spacing w:before="139"/>
        <w:jc w:val="both"/>
        <w:rPr>
          <w:sz w:val="24"/>
        </w:rPr>
      </w:pPr>
      <w:r>
        <w:rPr>
          <w:sz w:val="24"/>
        </w:rPr>
        <w:t>School building total window size/wall surface size</w:t>
      </w:r>
      <w:r>
        <w:rPr>
          <w:spacing w:val="-12"/>
          <w:sz w:val="24"/>
        </w:rPr>
        <w:t xml:space="preserve"> </w:t>
      </w:r>
      <w:r>
        <w:rPr>
          <w:sz w:val="24"/>
        </w:rPr>
        <w:t>ratio.</w:t>
      </w:r>
    </w:p>
    <w:p w:rsidR="00F3177F" w:rsidRDefault="00F3177F">
      <w:pPr>
        <w:pStyle w:val="BodyText"/>
      </w:pPr>
    </w:p>
    <w:p w:rsidR="00F3177F" w:rsidRDefault="0089671D">
      <w:pPr>
        <w:pStyle w:val="BodyText"/>
        <w:spacing w:before="141" w:line="360" w:lineRule="auto"/>
        <w:ind w:left="584" w:right="113"/>
        <w:jc w:val="both"/>
      </w:pPr>
      <w:r>
        <w:t xml:space="preserve">The students of the three lowest energy consuming state schools per student with less school building window size/wall size ratio as a simplest building transparency measurement and school building area/volume ratio of compactness and the three highest energy consuming state schools per student with more school building window size/wall size ratio and school building area/volume ratio of compactness in PCM, chosen according to the first stage and additional calculations of compactness and transparency, were sampled to apply a students’ comfort questionnaire. Building compactness ratio is a decisive factor for building energy loss/gain. </w:t>
      </w:r>
      <w:r>
        <w:rPr>
          <w:spacing w:val="-3"/>
        </w:rPr>
        <w:t xml:space="preserve">It </w:t>
      </w:r>
      <w:r>
        <w:t>is advisable to keep the ratio as small as possible in cold regions to prevent from heat loss and in hot regions to prevent from heat gain. However, due to global warming climate is becoming milder in cold regions and it can serve for the purpose for Pristina region as well. Additionally, higher ratios of window/wall sizes can add to students’ visual comfort. As seen from Table 5 below, the maximum energy consuming schools per student also have higher building compactness and window/wall transparency ratios than the minimum energy consuming schools per</w:t>
      </w:r>
      <w:r>
        <w:rPr>
          <w:spacing w:val="-9"/>
        </w:rPr>
        <w:t xml:space="preserve"> </w:t>
      </w:r>
      <w:r>
        <w:t>student.</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2"/>
        <w:ind w:left="584" w:right="151"/>
      </w:pPr>
      <w:r>
        <w:lastRenderedPageBreak/>
        <w:t>Table 5: Features of the three MAXECSs and three MINECSs per students</w:t>
      </w:r>
    </w:p>
    <w:p w:rsidR="00F3177F" w:rsidRDefault="00F3177F">
      <w:pPr>
        <w:pStyle w:val="BodyText"/>
        <w:spacing w:before="8"/>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1800"/>
        <w:gridCol w:w="1846"/>
        <w:gridCol w:w="1141"/>
        <w:gridCol w:w="1140"/>
      </w:tblGrid>
      <w:tr w:rsidR="00F3177F">
        <w:trPr>
          <w:trHeight w:hRule="exact" w:val="1286"/>
        </w:trPr>
        <w:tc>
          <w:tcPr>
            <w:tcW w:w="2341" w:type="dxa"/>
          </w:tcPr>
          <w:p w:rsidR="00F3177F" w:rsidRDefault="00F3177F"/>
        </w:tc>
        <w:tc>
          <w:tcPr>
            <w:tcW w:w="1800" w:type="dxa"/>
            <w:textDirection w:val="btLr"/>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1"/>
              <w:rPr>
                <w:sz w:val="25"/>
              </w:rPr>
            </w:pPr>
          </w:p>
          <w:p w:rsidR="00F3177F" w:rsidRDefault="0089671D">
            <w:pPr>
              <w:pStyle w:val="TableParagraph"/>
              <w:ind w:left="208" w:right="18"/>
              <w:rPr>
                <w:b/>
                <w:sz w:val="20"/>
              </w:rPr>
            </w:pPr>
            <w:r>
              <w:rPr>
                <w:b/>
                <w:w w:val="99"/>
                <w:sz w:val="20"/>
              </w:rPr>
              <w:t>SCHOOL</w:t>
            </w:r>
          </w:p>
        </w:tc>
        <w:tc>
          <w:tcPr>
            <w:tcW w:w="1846" w:type="dxa"/>
            <w:textDirection w:val="btLr"/>
          </w:tcPr>
          <w:p w:rsidR="00F3177F" w:rsidRDefault="0089671D">
            <w:pPr>
              <w:pStyle w:val="TableParagraph"/>
              <w:spacing w:before="103" w:line="283" w:lineRule="auto"/>
              <w:ind w:left="26" w:right="28" w:firstLine="4"/>
              <w:jc w:val="center"/>
              <w:rPr>
                <w:b/>
                <w:sz w:val="20"/>
              </w:rPr>
            </w:pPr>
            <w:r>
              <w:rPr>
                <w:b/>
                <w:w w:val="99"/>
                <w:sz w:val="20"/>
              </w:rPr>
              <w:t>ANNU</w:t>
            </w:r>
            <w:r>
              <w:rPr>
                <w:b/>
                <w:spacing w:val="2"/>
                <w:w w:val="99"/>
                <w:sz w:val="20"/>
              </w:rPr>
              <w:t>A</w:t>
            </w:r>
            <w:r>
              <w:rPr>
                <w:b/>
                <w:w w:val="99"/>
                <w:sz w:val="20"/>
              </w:rPr>
              <w:t xml:space="preserve">L </w:t>
            </w:r>
            <w:r>
              <w:rPr>
                <w:b/>
                <w:spacing w:val="-1"/>
                <w:w w:val="99"/>
                <w:sz w:val="20"/>
              </w:rPr>
              <w:t>E</w:t>
            </w:r>
            <w:r>
              <w:rPr>
                <w:b/>
                <w:w w:val="99"/>
                <w:sz w:val="20"/>
              </w:rPr>
              <w:t>N</w:t>
            </w:r>
            <w:r>
              <w:rPr>
                <w:b/>
                <w:spacing w:val="1"/>
                <w:w w:val="99"/>
                <w:sz w:val="20"/>
              </w:rPr>
              <w:t>E</w:t>
            </w:r>
            <w:r>
              <w:rPr>
                <w:b/>
                <w:w w:val="99"/>
                <w:sz w:val="20"/>
              </w:rPr>
              <w:t>R</w:t>
            </w:r>
            <w:r>
              <w:rPr>
                <w:b/>
                <w:spacing w:val="1"/>
                <w:w w:val="99"/>
                <w:sz w:val="20"/>
              </w:rPr>
              <w:t>G</w:t>
            </w:r>
            <w:r>
              <w:rPr>
                <w:b/>
                <w:w w:val="99"/>
                <w:sz w:val="20"/>
              </w:rPr>
              <w:t>Y C</w:t>
            </w:r>
            <w:r>
              <w:rPr>
                <w:b/>
                <w:spacing w:val="1"/>
                <w:w w:val="99"/>
                <w:sz w:val="20"/>
              </w:rPr>
              <w:t>O</w:t>
            </w:r>
            <w:r>
              <w:rPr>
                <w:b/>
                <w:w w:val="99"/>
                <w:sz w:val="20"/>
              </w:rPr>
              <w:t>NSU</w:t>
            </w:r>
            <w:r>
              <w:rPr>
                <w:b/>
                <w:spacing w:val="-1"/>
                <w:w w:val="99"/>
                <w:sz w:val="20"/>
              </w:rPr>
              <w:t>M</w:t>
            </w:r>
            <w:r>
              <w:rPr>
                <w:b/>
                <w:spacing w:val="3"/>
                <w:w w:val="99"/>
                <w:sz w:val="20"/>
              </w:rPr>
              <w:t>P</w:t>
            </w:r>
            <w:r>
              <w:rPr>
                <w:b/>
                <w:spacing w:val="-1"/>
                <w:w w:val="99"/>
                <w:sz w:val="20"/>
              </w:rPr>
              <w:t>T</w:t>
            </w:r>
            <w:r>
              <w:rPr>
                <w:b/>
                <w:w w:val="99"/>
                <w:sz w:val="20"/>
              </w:rPr>
              <w:t>I ON</w:t>
            </w:r>
            <w:r>
              <w:rPr>
                <w:b/>
                <w:sz w:val="20"/>
              </w:rPr>
              <w:t xml:space="preserve"> </w:t>
            </w:r>
            <w:r>
              <w:rPr>
                <w:b/>
                <w:w w:val="99"/>
                <w:sz w:val="20"/>
              </w:rPr>
              <w:t>P</w:t>
            </w:r>
            <w:r>
              <w:rPr>
                <w:b/>
                <w:spacing w:val="-1"/>
                <w:w w:val="99"/>
                <w:sz w:val="20"/>
              </w:rPr>
              <w:t>E</w:t>
            </w:r>
            <w:r>
              <w:rPr>
                <w:b/>
                <w:w w:val="99"/>
                <w:sz w:val="20"/>
              </w:rPr>
              <w:t>R S</w:t>
            </w:r>
            <w:r>
              <w:rPr>
                <w:b/>
                <w:spacing w:val="-2"/>
                <w:w w:val="99"/>
                <w:sz w:val="20"/>
              </w:rPr>
              <w:t>T</w:t>
            </w:r>
            <w:r>
              <w:rPr>
                <w:b/>
                <w:w w:val="99"/>
                <w:sz w:val="20"/>
              </w:rPr>
              <w:t>U</w:t>
            </w:r>
            <w:r>
              <w:rPr>
                <w:b/>
                <w:spacing w:val="2"/>
                <w:w w:val="99"/>
                <w:sz w:val="20"/>
              </w:rPr>
              <w:t>D</w:t>
            </w:r>
            <w:r>
              <w:rPr>
                <w:b/>
                <w:spacing w:val="-1"/>
                <w:w w:val="99"/>
                <w:sz w:val="20"/>
              </w:rPr>
              <w:t>E</w:t>
            </w:r>
            <w:r>
              <w:rPr>
                <w:b/>
                <w:spacing w:val="2"/>
                <w:w w:val="99"/>
                <w:sz w:val="20"/>
              </w:rPr>
              <w:t>N</w:t>
            </w:r>
            <w:r>
              <w:rPr>
                <w:b/>
                <w:w w:val="99"/>
                <w:sz w:val="20"/>
              </w:rPr>
              <w:t>T</w:t>
            </w:r>
          </w:p>
          <w:p w:rsidR="00F3177F" w:rsidRDefault="0089671D">
            <w:pPr>
              <w:pStyle w:val="TableParagraph"/>
              <w:spacing w:before="1"/>
              <w:ind w:left="20" w:right="21"/>
              <w:jc w:val="center"/>
              <w:rPr>
                <w:b/>
                <w:sz w:val="20"/>
              </w:rPr>
            </w:pPr>
            <w:r>
              <w:rPr>
                <w:b/>
                <w:w w:val="99"/>
                <w:sz w:val="20"/>
              </w:rPr>
              <w:t>(kW</w:t>
            </w:r>
            <w:r>
              <w:rPr>
                <w:b/>
                <w:spacing w:val="-1"/>
                <w:w w:val="99"/>
                <w:sz w:val="20"/>
              </w:rPr>
              <w:t>h</w:t>
            </w:r>
            <w:r>
              <w:rPr>
                <w:b/>
                <w:w w:val="99"/>
                <w:sz w:val="20"/>
              </w:rPr>
              <w:t>/</w:t>
            </w:r>
            <w:r>
              <w:rPr>
                <w:b/>
                <w:spacing w:val="1"/>
                <w:w w:val="99"/>
                <w:sz w:val="20"/>
              </w:rPr>
              <w:t>S</w:t>
            </w:r>
            <w:r>
              <w:rPr>
                <w:b/>
                <w:spacing w:val="-1"/>
                <w:w w:val="99"/>
                <w:sz w:val="20"/>
              </w:rPr>
              <w:t>T</w:t>
            </w:r>
            <w:r>
              <w:rPr>
                <w:b/>
                <w:w w:val="99"/>
                <w:sz w:val="20"/>
              </w:rPr>
              <w:t>/YR)</w:t>
            </w:r>
          </w:p>
        </w:tc>
        <w:tc>
          <w:tcPr>
            <w:tcW w:w="1141" w:type="dxa"/>
            <w:textDirection w:val="btLr"/>
          </w:tcPr>
          <w:p w:rsidR="00F3177F" w:rsidRDefault="0089671D">
            <w:pPr>
              <w:pStyle w:val="TableParagraph"/>
              <w:spacing w:before="156" w:line="285" w:lineRule="auto"/>
              <w:ind w:left="71" w:right="72" w:hanging="2"/>
              <w:jc w:val="center"/>
              <w:rPr>
                <w:b/>
                <w:sz w:val="20"/>
              </w:rPr>
            </w:pPr>
            <w:r>
              <w:rPr>
                <w:b/>
                <w:spacing w:val="-1"/>
                <w:w w:val="99"/>
                <w:sz w:val="20"/>
              </w:rPr>
              <w:t>B</w:t>
            </w:r>
            <w:r>
              <w:rPr>
                <w:b/>
                <w:w w:val="99"/>
                <w:sz w:val="20"/>
              </w:rPr>
              <w:t>ui</w:t>
            </w:r>
            <w:r>
              <w:rPr>
                <w:b/>
                <w:spacing w:val="1"/>
                <w:w w:val="99"/>
                <w:sz w:val="20"/>
              </w:rPr>
              <w:t>l</w:t>
            </w:r>
            <w:r>
              <w:rPr>
                <w:b/>
                <w:w w:val="99"/>
                <w:sz w:val="20"/>
              </w:rPr>
              <w:t>di</w:t>
            </w:r>
            <w:r>
              <w:rPr>
                <w:b/>
                <w:spacing w:val="-1"/>
                <w:w w:val="99"/>
                <w:sz w:val="20"/>
              </w:rPr>
              <w:t>n</w:t>
            </w:r>
            <w:r>
              <w:rPr>
                <w:b/>
                <w:w w:val="99"/>
                <w:sz w:val="20"/>
              </w:rPr>
              <w:t>g C</w:t>
            </w:r>
            <w:r>
              <w:rPr>
                <w:b/>
                <w:spacing w:val="1"/>
                <w:w w:val="99"/>
                <w:sz w:val="20"/>
              </w:rPr>
              <w:t>o</w:t>
            </w:r>
            <w:r>
              <w:rPr>
                <w:b/>
                <w:w w:val="99"/>
                <w:sz w:val="20"/>
              </w:rPr>
              <w:t>m</w:t>
            </w:r>
            <w:r>
              <w:rPr>
                <w:b/>
                <w:spacing w:val="-1"/>
                <w:w w:val="99"/>
                <w:sz w:val="20"/>
              </w:rPr>
              <w:t>p</w:t>
            </w:r>
            <w:r>
              <w:rPr>
                <w:b/>
                <w:spacing w:val="1"/>
                <w:w w:val="99"/>
                <w:sz w:val="20"/>
              </w:rPr>
              <w:t>a</w:t>
            </w:r>
            <w:r>
              <w:rPr>
                <w:b/>
                <w:w w:val="99"/>
                <w:sz w:val="20"/>
              </w:rPr>
              <w:t>c</w:t>
            </w:r>
            <w:r>
              <w:rPr>
                <w:b/>
                <w:spacing w:val="1"/>
                <w:w w:val="99"/>
                <w:sz w:val="20"/>
              </w:rPr>
              <w:t>t</w:t>
            </w:r>
            <w:r>
              <w:rPr>
                <w:b/>
                <w:w w:val="99"/>
                <w:sz w:val="20"/>
              </w:rPr>
              <w:t>ne</w:t>
            </w:r>
            <w:r>
              <w:rPr>
                <w:b/>
                <w:spacing w:val="-1"/>
                <w:w w:val="99"/>
                <w:sz w:val="20"/>
              </w:rPr>
              <w:t>s</w:t>
            </w:r>
            <w:r>
              <w:rPr>
                <w:b/>
                <w:w w:val="99"/>
                <w:sz w:val="20"/>
              </w:rPr>
              <w:t>s (A/V)</w:t>
            </w:r>
          </w:p>
        </w:tc>
        <w:tc>
          <w:tcPr>
            <w:tcW w:w="1140" w:type="dxa"/>
            <w:textDirection w:val="btLr"/>
          </w:tcPr>
          <w:p w:rsidR="00F3177F" w:rsidRDefault="0089671D">
            <w:pPr>
              <w:pStyle w:val="TableParagraph"/>
              <w:spacing w:before="156" w:line="283" w:lineRule="auto"/>
              <w:ind w:left="31" w:right="18" w:firstLine="240"/>
              <w:rPr>
                <w:b/>
                <w:sz w:val="20"/>
              </w:rPr>
            </w:pPr>
            <w:r>
              <w:rPr>
                <w:b/>
                <w:spacing w:val="-1"/>
                <w:w w:val="99"/>
                <w:sz w:val="20"/>
              </w:rPr>
              <w:t>B</w:t>
            </w:r>
            <w:r>
              <w:rPr>
                <w:b/>
                <w:w w:val="99"/>
                <w:sz w:val="20"/>
              </w:rPr>
              <w:t>ui</w:t>
            </w:r>
            <w:r>
              <w:rPr>
                <w:b/>
                <w:spacing w:val="1"/>
                <w:w w:val="99"/>
                <w:sz w:val="20"/>
              </w:rPr>
              <w:t>l</w:t>
            </w:r>
            <w:r>
              <w:rPr>
                <w:b/>
                <w:w w:val="99"/>
                <w:sz w:val="20"/>
              </w:rPr>
              <w:t>di</w:t>
            </w:r>
            <w:r>
              <w:rPr>
                <w:b/>
                <w:spacing w:val="-1"/>
                <w:w w:val="99"/>
                <w:sz w:val="20"/>
              </w:rPr>
              <w:t>n</w:t>
            </w:r>
            <w:r>
              <w:rPr>
                <w:b/>
                <w:w w:val="99"/>
                <w:sz w:val="20"/>
              </w:rPr>
              <w:t xml:space="preserve">g </w:t>
            </w:r>
            <w:r>
              <w:rPr>
                <w:b/>
                <w:spacing w:val="-1"/>
                <w:w w:val="99"/>
                <w:sz w:val="20"/>
              </w:rPr>
              <w:t>T</w:t>
            </w:r>
            <w:r>
              <w:rPr>
                <w:b/>
                <w:w w:val="99"/>
                <w:sz w:val="20"/>
              </w:rPr>
              <w:t>r</w:t>
            </w:r>
            <w:r>
              <w:rPr>
                <w:b/>
                <w:spacing w:val="1"/>
                <w:w w:val="99"/>
                <w:sz w:val="20"/>
              </w:rPr>
              <w:t>a</w:t>
            </w:r>
            <w:r>
              <w:rPr>
                <w:b/>
                <w:w w:val="99"/>
                <w:sz w:val="20"/>
              </w:rPr>
              <w:t>n</w:t>
            </w:r>
            <w:r>
              <w:rPr>
                <w:b/>
                <w:spacing w:val="-1"/>
                <w:w w:val="99"/>
                <w:sz w:val="20"/>
              </w:rPr>
              <w:t>s</w:t>
            </w:r>
            <w:r>
              <w:rPr>
                <w:b/>
                <w:w w:val="99"/>
                <w:sz w:val="20"/>
              </w:rPr>
              <w:t>parency (win</w:t>
            </w:r>
            <w:r>
              <w:rPr>
                <w:b/>
                <w:spacing w:val="-1"/>
                <w:w w:val="99"/>
                <w:sz w:val="20"/>
              </w:rPr>
              <w:t>d</w:t>
            </w:r>
            <w:r>
              <w:rPr>
                <w:b/>
                <w:spacing w:val="1"/>
                <w:w w:val="99"/>
                <w:sz w:val="20"/>
              </w:rPr>
              <w:t>o</w:t>
            </w:r>
            <w:r>
              <w:rPr>
                <w:b/>
                <w:w w:val="99"/>
                <w:sz w:val="20"/>
              </w:rPr>
              <w:t>w/w</w:t>
            </w:r>
            <w:r>
              <w:rPr>
                <w:b/>
                <w:spacing w:val="1"/>
                <w:w w:val="99"/>
                <w:sz w:val="20"/>
              </w:rPr>
              <w:t>a</w:t>
            </w:r>
            <w:r>
              <w:rPr>
                <w:b/>
                <w:w w:val="99"/>
                <w:sz w:val="20"/>
              </w:rPr>
              <w:t>ll)</w:t>
            </w:r>
          </w:p>
        </w:tc>
      </w:tr>
      <w:tr w:rsidR="00F3177F">
        <w:trPr>
          <w:trHeight w:hRule="exact" w:val="451"/>
        </w:trPr>
        <w:tc>
          <w:tcPr>
            <w:tcW w:w="2341" w:type="dxa"/>
            <w:vMerge w:val="restart"/>
          </w:tcPr>
          <w:p w:rsidR="00F3177F" w:rsidRDefault="00F3177F">
            <w:pPr>
              <w:pStyle w:val="TableParagraph"/>
              <w:spacing w:before="9"/>
              <w:rPr>
                <w:sz w:val="23"/>
              </w:rPr>
            </w:pPr>
          </w:p>
          <w:p w:rsidR="00F3177F" w:rsidRDefault="0089671D">
            <w:pPr>
              <w:pStyle w:val="TableParagraph"/>
              <w:spacing w:line="276" w:lineRule="auto"/>
              <w:ind w:left="160" w:right="161" w:hanging="3"/>
              <w:jc w:val="center"/>
              <w:rPr>
                <w:b/>
                <w:sz w:val="20"/>
              </w:rPr>
            </w:pPr>
            <w:r>
              <w:rPr>
                <w:b/>
                <w:sz w:val="20"/>
              </w:rPr>
              <w:t>Maximum Energy Consuming Schools</w:t>
            </w:r>
            <w:r>
              <w:rPr>
                <w:b/>
                <w:spacing w:val="-8"/>
                <w:sz w:val="20"/>
              </w:rPr>
              <w:t xml:space="preserve"> </w:t>
            </w:r>
            <w:r>
              <w:rPr>
                <w:b/>
                <w:sz w:val="20"/>
              </w:rPr>
              <w:t>per Student</w:t>
            </w:r>
          </w:p>
        </w:tc>
        <w:tc>
          <w:tcPr>
            <w:tcW w:w="1800" w:type="dxa"/>
          </w:tcPr>
          <w:p w:rsidR="00F3177F" w:rsidRDefault="0089671D">
            <w:pPr>
              <w:pStyle w:val="TableParagraph"/>
              <w:spacing w:before="84"/>
              <w:ind w:left="103"/>
              <w:rPr>
                <w:sz w:val="20"/>
              </w:rPr>
            </w:pPr>
            <w:r>
              <w:rPr>
                <w:sz w:val="20"/>
              </w:rPr>
              <w:t>7 Shtatori</w:t>
            </w:r>
          </w:p>
        </w:tc>
        <w:tc>
          <w:tcPr>
            <w:tcW w:w="1846" w:type="dxa"/>
          </w:tcPr>
          <w:p w:rsidR="00F3177F" w:rsidRDefault="0089671D">
            <w:pPr>
              <w:pStyle w:val="TableParagraph"/>
              <w:spacing w:before="84"/>
              <w:ind w:left="643"/>
              <w:rPr>
                <w:sz w:val="20"/>
              </w:rPr>
            </w:pPr>
            <w:r>
              <w:rPr>
                <w:sz w:val="20"/>
              </w:rPr>
              <w:t>1371.9</w:t>
            </w:r>
          </w:p>
        </w:tc>
        <w:tc>
          <w:tcPr>
            <w:tcW w:w="1141" w:type="dxa"/>
          </w:tcPr>
          <w:p w:rsidR="00F3177F" w:rsidRDefault="0089671D">
            <w:pPr>
              <w:pStyle w:val="TableParagraph"/>
              <w:spacing w:before="84"/>
              <w:ind w:left="370" w:right="370"/>
              <w:jc w:val="center"/>
              <w:rPr>
                <w:sz w:val="20"/>
              </w:rPr>
            </w:pPr>
            <w:r>
              <w:rPr>
                <w:sz w:val="20"/>
              </w:rPr>
              <w:t>0.42</w:t>
            </w:r>
          </w:p>
        </w:tc>
        <w:tc>
          <w:tcPr>
            <w:tcW w:w="1140" w:type="dxa"/>
          </w:tcPr>
          <w:p w:rsidR="00F3177F" w:rsidRDefault="0089671D">
            <w:pPr>
              <w:pStyle w:val="TableParagraph"/>
              <w:spacing w:before="84"/>
              <w:ind w:left="369" w:right="370"/>
              <w:jc w:val="center"/>
              <w:rPr>
                <w:sz w:val="20"/>
              </w:rPr>
            </w:pPr>
            <w:r>
              <w:rPr>
                <w:sz w:val="20"/>
              </w:rPr>
              <w:t>0.30</w:t>
            </w:r>
          </w:p>
        </w:tc>
      </w:tr>
      <w:tr w:rsidR="00F3177F">
        <w:trPr>
          <w:trHeight w:hRule="exact" w:val="449"/>
        </w:trPr>
        <w:tc>
          <w:tcPr>
            <w:tcW w:w="2341" w:type="dxa"/>
            <w:vMerge/>
          </w:tcPr>
          <w:p w:rsidR="00F3177F" w:rsidRDefault="00F3177F"/>
        </w:tc>
        <w:tc>
          <w:tcPr>
            <w:tcW w:w="1800" w:type="dxa"/>
          </w:tcPr>
          <w:p w:rsidR="00F3177F" w:rsidRDefault="0089671D">
            <w:pPr>
              <w:pStyle w:val="TableParagraph"/>
              <w:spacing w:before="82"/>
              <w:ind w:left="103"/>
              <w:rPr>
                <w:sz w:val="20"/>
              </w:rPr>
            </w:pPr>
            <w:r>
              <w:rPr>
                <w:sz w:val="20"/>
              </w:rPr>
              <w:t>Alauddin</w:t>
            </w:r>
          </w:p>
        </w:tc>
        <w:tc>
          <w:tcPr>
            <w:tcW w:w="1846" w:type="dxa"/>
          </w:tcPr>
          <w:p w:rsidR="00F3177F" w:rsidRDefault="0089671D">
            <w:pPr>
              <w:pStyle w:val="TableParagraph"/>
              <w:spacing w:before="82"/>
              <w:ind w:left="691"/>
              <w:rPr>
                <w:sz w:val="20"/>
              </w:rPr>
            </w:pPr>
            <w:r>
              <w:rPr>
                <w:sz w:val="20"/>
              </w:rPr>
              <w:t>826.6</w:t>
            </w:r>
          </w:p>
        </w:tc>
        <w:tc>
          <w:tcPr>
            <w:tcW w:w="1141" w:type="dxa"/>
          </w:tcPr>
          <w:p w:rsidR="00F3177F" w:rsidRDefault="0089671D">
            <w:pPr>
              <w:pStyle w:val="TableParagraph"/>
              <w:spacing w:before="82"/>
              <w:ind w:left="370" w:right="370"/>
              <w:jc w:val="center"/>
              <w:rPr>
                <w:sz w:val="20"/>
              </w:rPr>
            </w:pPr>
            <w:r>
              <w:rPr>
                <w:sz w:val="20"/>
              </w:rPr>
              <w:t>0.38</w:t>
            </w:r>
          </w:p>
        </w:tc>
        <w:tc>
          <w:tcPr>
            <w:tcW w:w="1140" w:type="dxa"/>
          </w:tcPr>
          <w:p w:rsidR="00F3177F" w:rsidRDefault="0089671D">
            <w:pPr>
              <w:pStyle w:val="TableParagraph"/>
              <w:spacing w:before="82"/>
              <w:ind w:left="369" w:right="370"/>
              <w:jc w:val="center"/>
              <w:rPr>
                <w:sz w:val="20"/>
              </w:rPr>
            </w:pPr>
            <w:r>
              <w:rPr>
                <w:sz w:val="20"/>
              </w:rPr>
              <w:t>0.49</w:t>
            </w:r>
          </w:p>
        </w:tc>
      </w:tr>
      <w:tr w:rsidR="00F3177F">
        <w:trPr>
          <w:trHeight w:hRule="exact" w:val="451"/>
        </w:trPr>
        <w:tc>
          <w:tcPr>
            <w:tcW w:w="2341" w:type="dxa"/>
            <w:vMerge/>
          </w:tcPr>
          <w:p w:rsidR="00F3177F" w:rsidRDefault="00F3177F"/>
        </w:tc>
        <w:tc>
          <w:tcPr>
            <w:tcW w:w="1800" w:type="dxa"/>
          </w:tcPr>
          <w:p w:rsidR="00F3177F" w:rsidRDefault="0089671D">
            <w:pPr>
              <w:pStyle w:val="TableParagraph"/>
              <w:spacing w:before="84"/>
              <w:ind w:left="103"/>
              <w:rPr>
                <w:sz w:val="20"/>
              </w:rPr>
            </w:pPr>
            <w:r>
              <w:rPr>
                <w:sz w:val="20"/>
              </w:rPr>
              <w:t>28 Nentori</w:t>
            </w:r>
          </w:p>
        </w:tc>
        <w:tc>
          <w:tcPr>
            <w:tcW w:w="1846" w:type="dxa"/>
          </w:tcPr>
          <w:p w:rsidR="00F3177F" w:rsidRDefault="0089671D">
            <w:pPr>
              <w:pStyle w:val="TableParagraph"/>
              <w:spacing w:before="84"/>
              <w:ind w:left="691"/>
              <w:rPr>
                <w:sz w:val="20"/>
              </w:rPr>
            </w:pPr>
            <w:r>
              <w:rPr>
                <w:sz w:val="20"/>
              </w:rPr>
              <w:t>522.4</w:t>
            </w:r>
          </w:p>
        </w:tc>
        <w:tc>
          <w:tcPr>
            <w:tcW w:w="1141" w:type="dxa"/>
          </w:tcPr>
          <w:p w:rsidR="00F3177F" w:rsidRDefault="0089671D">
            <w:pPr>
              <w:pStyle w:val="TableParagraph"/>
              <w:spacing w:before="84"/>
              <w:ind w:left="370" w:right="370"/>
              <w:jc w:val="center"/>
              <w:rPr>
                <w:sz w:val="20"/>
              </w:rPr>
            </w:pPr>
            <w:r>
              <w:rPr>
                <w:sz w:val="20"/>
              </w:rPr>
              <w:t>0.41</w:t>
            </w:r>
          </w:p>
        </w:tc>
        <w:tc>
          <w:tcPr>
            <w:tcW w:w="1140" w:type="dxa"/>
          </w:tcPr>
          <w:p w:rsidR="00F3177F" w:rsidRDefault="0089671D">
            <w:pPr>
              <w:pStyle w:val="TableParagraph"/>
              <w:spacing w:before="84"/>
              <w:ind w:left="369" w:right="370"/>
              <w:jc w:val="center"/>
              <w:rPr>
                <w:sz w:val="20"/>
              </w:rPr>
            </w:pPr>
            <w:r>
              <w:rPr>
                <w:sz w:val="20"/>
              </w:rPr>
              <w:t>0.32</w:t>
            </w:r>
          </w:p>
        </w:tc>
      </w:tr>
      <w:tr w:rsidR="00F3177F">
        <w:trPr>
          <w:trHeight w:hRule="exact" w:val="449"/>
        </w:trPr>
        <w:tc>
          <w:tcPr>
            <w:tcW w:w="2341" w:type="dxa"/>
            <w:vMerge w:val="restart"/>
          </w:tcPr>
          <w:p w:rsidR="00F3177F" w:rsidRDefault="00F3177F">
            <w:pPr>
              <w:pStyle w:val="TableParagraph"/>
              <w:spacing w:before="10"/>
              <w:rPr>
                <w:sz w:val="23"/>
              </w:rPr>
            </w:pPr>
          </w:p>
          <w:p w:rsidR="00F3177F" w:rsidRDefault="0089671D">
            <w:pPr>
              <w:pStyle w:val="TableParagraph"/>
              <w:spacing w:line="276" w:lineRule="auto"/>
              <w:ind w:left="160" w:right="161" w:hanging="3"/>
              <w:jc w:val="center"/>
              <w:rPr>
                <w:b/>
                <w:sz w:val="20"/>
              </w:rPr>
            </w:pPr>
            <w:r>
              <w:rPr>
                <w:b/>
                <w:sz w:val="20"/>
              </w:rPr>
              <w:t>Minimum Energy Consuming Schools</w:t>
            </w:r>
            <w:r>
              <w:rPr>
                <w:b/>
                <w:spacing w:val="-8"/>
                <w:sz w:val="20"/>
              </w:rPr>
              <w:t xml:space="preserve"> </w:t>
            </w:r>
            <w:r>
              <w:rPr>
                <w:b/>
                <w:sz w:val="20"/>
              </w:rPr>
              <w:t>per Student</w:t>
            </w:r>
          </w:p>
        </w:tc>
        <w:tc>
          <w:tcPr>
            <w:tcW w:w="1800" w:type="dxa"/>
          </w:tcPr>
          <w:p w:rsidR="00F3177F" w:rsidRDefault="0089671D">
            <w:pPr>
              <w:pStyle w:val="TableParagraph"/>
              <w:spacing w:before="82"/>
              <w:ind w:left="103"/>
              <w:rPr>
                <w:sz w:val="20"/>
              </w:rPr>
            </w:pPr>
            <w:r>
              <w:rPr>
                <w:sz w:val="20"/>
              </w:rPr>
              <w:t>Hoxha K. Prishtina</w:t>
            </w:r>
          </w:p>
        </w:tc>
        <w:tc>
          <w:tcPr>
            <w:tcW w:w="1846" w:type="dxa"/>
          </w:tcPr>
          <w:p w:rsidR="00F3177F" w:rsidRDefault="0089671D">
            <w:pPr>
              <w:pStyle w:val="TableParagraph"/>
              <w:spacing w:before="82"/>
              <w:ind w:left="691"/>
              <w:rPr>
                <w:sz w:val="20"/>
              </w:rPr>
            </w:pPr>
            <w:r>
              <w:rPr>
                <w:sz w:val="20"/>
              </w:rPr>
              <w:t>349.9</w:t>
            </w:r>
          </w:p>
        </w:tc>
        <w:tc>
          <w:tcPr>
            <w:tcW w:w="1141" w:type="dxa"/>
          </w:tcPr>
          <w:p w:rsidR="00F3177F" w:rsidRDefault="0089671D">
            <w:pPr>
              <w:pStyle w:val="TableParagraph"/>
              <w:spacing w:before="82"/>
              <w:ind w:left="370" w:right="370"/>
              <w:jc w:val="center"/>
              <w:rPr>
                <w:sz w:val="20"/>
              </w:rPr>
            </w:pPr>
            <w:r>
              <w:rPr>
                <w:sz w:val="20"/>
              </w:rPr>
              <w:t>0.36</w:t>
            </w:r>
          </w:p>
        </w:tc>
        <w:tc>
          <w:tcPr>
            <w:tcW w:w="1140" w:type="dxa"/>
          </w:tcPr>
          <w:p w:rsidR="00F3177F" w:rsidRDefault="0089671D">
            <w:pPr>
              <w:pStyle w:val="TableParagraph"/>
              <w:spacing w:before="82"/>
              <w:ind w:left="369" w:right="370"/>
              <w:jc w:val="center"/>
              <w:rPr>
                <w:sz w:val="20"/>
              </w:rPr>
            </w:pPr>
            <w:r>
              <w:rPr>
                <w:sz w:val="20"/>
              </w:rPr>
              <w:t>0.17</w:t>
            </w:r>
          </w:p>
        </w:tc>
      </w:tr>
      <w:tr w:rsidR="00F3177F">
        <w:trPr>
          <w:trHeight w:hRule="exact" w:val="451"/>
        </w:trPr>
        <w:tc>
          <w:tcPr>
            <w:tcW w:w="2341" w:type="dxa"/>
            <w:vMerge/>
          </w:tcPr>
          <w:p w:rsidR="00F3177F" w:rsidRDefault="00F3177F"/>
        </w:tc>
        <w:tc>
          <w:tcPr>
            <w:tcW w:w="1800" w:type="dxa"/>
          </w:tcPr>
          <w:p w:rsidR="00F3177F" w:rsidRDefault="0089671D">
            <w:pPr>
              <w:pStyle w:val="TableParagraph"/>
              <w:spacing w:before="84"/>
              <w:ind w:left="103"/>
              <w:rPr>
                <w:sz w:val="20"/>
              </w:rPr>
            </w:pPr>
            <w:r>
              <w:rPr>
                <w:sz w:val="20"/>
              </w:rPr>
              <w:t>Sami Frasheri 2</w:t>
            </w:r>
          </w:p>
        </w:tc>
        <w:tc>
          <w:tcPr>
            <w:tcW w:w="1846" w:type="dxa"/>
          </w:tcPr>
          <w:p w:rsidR="00F3177F" w:rsidRDefault="0089671D">
            <w:pPr>
              <w:pStyle w:val="TableParagraph"/>
              <w:spacing w:before="84"/>
              <w:ind w:left="691"/>
              <w:rPr>
                <w:sz w:val="20"/>
              </w:rPr>
            </w:pPr>
            <w:r>
              <w:rPr>
                <w:sz w:val="20"/>
              </w:rPr>
              <w:t>264.6</w:t>
            </w:r>
          </w:p>
        </w:tc>
        <w:tc>
          <w:tcPr>
            <w:tcW w:w="1141" w:type="dxa"/>
          </w:tcPr>
          <w:p w:rsidR="00F3177F" w:rsidRDefault="0089671D">
            <w:pPr>
              <w:pStyle w:val="TableParagraph"/>
              <w:spacing w:before="84"/>
              <w:ind w:left="370" w:right="370"/>
              <w:jc w:val="center"/>
              <w:rPr>
                <w:sz w:val="20"/>
              </w:rPr>
            </w:pPr>
            <w:r>
              <w:rPr>
                <w:sz w:val="20"/>
              </w:rPr>
              <w:t>0.37</w:t>
            </w:r>
          </w:p>
        </w:tc>
        <w:tc>
          <w:tcPr>
            <w:tcW w:w="1140" w:type="dxa"/>
          </w:tcPr>
          <w:p w:rsidR="00F3177F" w:rsidRDefault="0089671D">
            <w:pPr>
              <w:pStyle w:val="TableParagraph"/>
              <w:spacing w:before="84"/>
              <w:ind w:left="369" w:right="370"/>
              <w:jc w:val="center"/>
              <w:rPr>
                <w:sz w:val="20"/>
              </w:rPr>
            </w:pPr>
            <w:r>
              <w:rPr>
                <w:sz w:val="20"/>
              </w:rPr>
              <w:t>0.23</w:t>
            </w:r>
          </w:p>
        </w:tc>
      </w:tr>
      <w:tr w:rsidR="00F3177F">
        <w:trPr>
          <w:trHeight w:hRule="exact" w:val="449"/>
        </w:trPr>
        <w:tc>
          <w:tcPr>
            <w:tcW w:w="2341" w:type="dxa"/>
            <w:vMerge/>
          </w:tcPr>
          <w:p w:rsidR="00F3177F" w:rsidRDefault="00F3177F"/>
        </w:tc>
        <w:tc>
          <w:tcPr>
            <w:tcW w:w="1800" w:type="dxa"/>
          </w:tcPr>
          <w:p w:rsidR="00F3177F" w:rsidRDefault="0089671D">
            <w:pPr>
              <w:pStyle w:val="TableParagraph"/>
              <w:spacing w:before="82"/>
              <w:ind w:left="103"/>
              <w:rPr>
                <w:sz w:val="20"/>
              </w:rPr>
            </w:pPr>
            <w:r>
              <w:rPr>
                <w:sz w:val="20"/>
              </w:rPr>
              <w:t>Sami Frasheri 1</w:t>
            </w:r>
          </w:p>
        </w:tc>
        <w:tc>
          <w:tcPr>
            <w:tcW w:w="1846" w:type="dxa"/>
          </w:tcPr>
          <w:p w:rsidR="00F3177F" w:rsidRDefault="0089671D">
            <w:pPr>
              <w:pStyle w:val="TableParagraph"/>
              <w:spacing w:before="82"/>
              <w:ind w:left="691"/>
              <w:rPr>
                <w:sz w:val="20"/>
              </w:rPr>
            </w:pPr>
            <w:r>
              <w:rPr>
                <w:sz w:val="20"/>
              </w:rPr>
              <w:t>163.5</w:t>
            </w:r>
          </w:p>
        </w:tc>
        <w:tc>
          <w:tcPr>
            <w:tcW w:w="1141" w:type="dxa"/>
          </w:tcPr>
          <w:p w:rsidR="00F3177F" w:rsidRDefault="0089671D">
            <w:pPr>
              <w:pStyle w:val="TableParagraph"/>
              <w:spacing w:before="82"/>
              <w:ind w:left="370" w:right="370"/>
              <w:jc w:val="center"/>
              <w:rPr>
                <w:sz w:val="20"/>
              </w:rPr>
            </w:pPr>
            <w:r>
              <w:rPr>
                <w:sz w:val="20"/>
              </w:rPr>
              <w:t>0.37</w:t>
            </w:r>
          </w:p>
        </w:tc>
        <w:tc>
          <w:tcPr>
            <w:tcW w:w="1140" w:type="dxa"/>
          </w:tcPr>
          <w:p w:rsidR="00F3177F" w:rsidRDefault="0089671D">
            <w:pPr>
              <w:pStyle w:val="TableParagraph"/>
              <w:spacing w:before="82"/>
              <w:ind w:left="369" w:right="370"/>
              <w:jc w:val="center"/>
              <w:rPr>
                <w:sz w:val="20"/>
              </w:rPr>
            </w:pPr>
            <w:r>
              <w:rPr>
                <w:sz w:val="20"/>
              </w:rPr>
              <w:t>0.15</w:t>
            </w:r>
          </w:p>
        </w:tc>
      </w:tr>
    </w:tbl>
    <w:p w:rsidR="00F3177F" w:rsidRDefault="00F3177F">
      <w:pPr>
        <w:pStyle w:val="BodyText"/>
        <w:spacing w:before="7"/>
        <w:rPr>
          <w:sz w:val="29"/>
        </w:rPr>
      </w:pPr>
    </w:p>
    <w:p w:rsidR="00F3177F" w:rsidRDefault="0089671D">
      <w:pPr>
        <w:pStyle w:val="BodyText"/>
        <w:spacing w:before="69" w:line="360" w:lineRule="auto"/>
        <w:ind w:left="584" w:right="151"/>
      </w:pPr>
      <w:r>
        <w:t>The photographs of the six schools along with their satellite views are given below in Figure 10.</w:t>
      </w:r>
    </w:p>
    <w:p w:rsidR="00F3177F" w:rsidRDefault="0089671D">
      <w:pPr>
        <w:pStyle w:val="BodyText"/>
        <w:spacing w:before="10"/>
        <w:rPr>
          <w:sz w:val="21"/>
        </w:rPr>
      </w:pPr>
      <w:r>
        <w:rPr>
          <w:noProof/>
        </w:rPr>
        <w:drawing>
          <wp:anchor distT="0" distB="0" distL="0" distR="0" simplePos="0" relativeHeight="1216" behindDoc="0" locked="0" layoutInCell="1" allowOverlap="1">
            <wp:simplePos x="0" y="0"/>
            <wp:positionH relativeFrom="page">
              <wp:posOffset>1755394</wp:posOffset>
            </wp:positionH>
            <wp:positionV relativeFrom="paragraph">
              <wp:posOffset>184528</wp:posOffset>
            </wp:positionV>
            <wp:extent cx="4785031" cy="329812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5" cstate="print"/>
                    <a:stretch>
                      <a:fillRect/>
                    </a:stretch>
                  </pic:blipFill>
                  <pic:spPr>
                    <a:xfrm>
                      <a:off x="0" y="0"/>
                      <a:ext cx="4785031" cy="3298126"/>
                    </a:xfrm>
                    <a:prstGeom prst="rect">
                      <a:avLst/>
                    </a:prstGeom>
                  </pic:spPr>
                </pic:pic>
              </a:graphicData>
            </a:graphic>
          </wp:anchor>
        </w:drawing>
      </w:r>
    </w:p>
    <w:p w:rsidR="00F3177F" w:rsidRDefault="00F3177F">
      <w:pPr>
        <w:pStyle w:val="BodyText"/>
        <w:spacing w:before="9"/>
        <w:rPr>
          <w:sz w:val="35"/>
        </w:rPr>
      </w:pPr>
    </w:p>
    <w:p w:rsidR="00F3177F" w:rsidRDefault="0089671D">
      <w:pPr>
        <w:pStyle w:val="BodyText"/>
        <w:ind w:left="584" w:right="151"/>
      </w:pPr>
      <w:r>
        <w:t>Figure 10: The photographs and satellite views of the six MINECS and MAXECSs</w:t>
      </w:r>
    </w:p>
    <w:p w:rsidR="00F3177F" w:rsidRDefault="00F3177F">
      <w:pPr>
        <w:sectPr w:rsidR="00F3177F">
          <w:pgSz w:w="12240" w:h="15840"/>
          <w:pgMar w:top="1380" w:right="1340" w:bottom="2320" w:left="1720" w:header="0" w:footer="2095" w:gutter="0"/>
          <w:cols w:space="720"/>
        </w:sect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F3177F">
      <w:pPr>
        <w:pStyle w:val="BodyText"/>
        <w:rPr>
          <w:sz w:val="20"/>
        </w:rPr>
      </w:pPr>
    </w:p>
    <w:p w:rsidR="00F3177F" w:rsidRDefault="0089671D">
      <w:pPr>
        <w:pStyle w:val="BodyText"/>
        <w:spacing w:before="200"/>
        <w:ind w:left="8482"/>
      </w:pPr>
      <w:r>
        <w:rPr>
          <w:noProof/>
        </w:rPr>
        <w:drawing>
          <wp:anchor distT="0" distB="0" distL="0" distR="0" simplePos="0" relativeHeight="268199543" behindDoc="1" locked="0" layoutInCell="1" allowOverlap="1">
            <wp:simplePos x="0" y="0"/>
            <wp:positionH relativeFrom="page">
              <wp:posOffset>1657604</wp:posOffset>
            </wp:positionH>
            <wp:positionV relativeFrom="paragraph">
              <wp:posOffset>-1460713</wp:posOffset>
            </wp:positionV>
            <wp:extent cx="4810125" cy="1725295"/>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6" cstate="print"/>
                    <a:stretch>
                      <a:fillRect/>
                    </a:stretch>
                  </pic:blipFill>
                  <pic:spPr>
                    <a:xfrm>
                      <a:off x="0" y="0"/>
                      <a:ext cx="4810125" cy="1725295"/>
                    </a:xfrm>
                    <a:prstGeom prst="rect">
                      <a:avLst/>
                    </a:prstGeom>
                  </pic:spPr>
                </pic:pic>
              </a:graphicData>
            </a:graphic>
          </wp:anchor>
        </w:drawing>
      </w:r>
      <w:r>
        <w:t>An</w:t>
      </w:r>
    </w:p>
    <w:p w:rsidR="00F3177F" w:rsidRDefault="0089671D">
      <w:pPr>
        <w:pStyle w:val="BodyText"/>
        <w:spacing w:before="1"/>
        <w:rPr>
          <w:sz w:val="9"/>
        </w:rPr>
      </w:pPr>
      <w:r>
        <w:rPr>
          <w:noProof/>
        </w:rPr>
        <w:drawing>
          <wp:anchor distT="0" distB="0" distL="0" distR="0" simplePos="0" relativeHeight="1240" behindDoc="0" locked="0" layoutInCell="1" allowOverlap="1">
            <wp:simplePos x="0" y="0"/>
            <wp:positionH relativeFrom="page">
              <wp:posOffset>1756410</wp:posOffset>
            </wp:positionH>
            <wp:positionV relativeFrom="paragraph">
              <wp:posOffset>91240</wp:posOffset>
            </wp:positionV>
            <wp:extent cx="4811571" cy="508444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7" cstate="print"/>
                    <a:stretch>
                      <a:fillRect/>
                    </a:stretch>
                  </pic:blipFill>
                  <pic:spPr>
                    <a:xfrm>
                      <a:off x="0" y="0"/>
                      <a:ext cx="4811571" cy="5084445"/>
                    </a:xfrm>
                    <a:prstGeom prst="rect">
                      <a:avLst/>
                    </a:prstGeom>
                  </pic:spPr>
                </pic:pic>
              </a:graphicData>
            </a:graphic>
          </wp:anchor>
        </w:drawing>
      </w:r>
    </w:p>
    <w:p w:rsidR="00F3177F" w:rsidRDefault="00F3177F">
      <w:pPr>
        <w:pStyle w:val="BodyText"/>
        <w:rPr>
          <w:sz w:val="22"/>
        </w:rPr>
      </w:pPr>
    </w:p>
    <w:p w:rsidR="00F3177F" w:rsidRDefault="0089671D">
      <w:pPr>
        <w:pStyle w:val="BodyText"/>
        <w:spacing w:line="410" w:lineRule="atLeast"/>
        <w:ind w:left="584" w:right="290"/>
      </w:pPr>
      <w:r>
        <w:t>Figure 10: The photographs and satellite views of the six MINECS and MAXECSs (continued)</w:t>
      </w:r>
    </w:p>
    <w:p w:rsidR="00F3177F" w:rsidRDefault="00F3177F">
      <w:pPr>
        <w:spacing w:line="410" w:lineRule="atLeast"/>
        <w:sectPr w:rsidR="00F3177F">
          <w:pgSz w:w="12240" w:h="15840"/>
          <w:pgMar w:top="1440" w:right="1640" w:bottom="2300" w:left="1720" w:header="0" w:footer="2095" w:gutter="0"/>
          <w:cols w:space="720"/>
        </w:sectPr>
      </w:pPr>
    </w:p>
    <w:p w:rsidR="00F3177F" w:rsidRDefault="0089671D">
      <w:pPr>
        <w:pStyle w:val="BodyText"/>
        <w:spacing w:before="54" w:line="360" w:lineRule="auto"/>
        <w:ind w:left="584" w:right="108"/>
        <w:jc w:val="both"/>
      </w:pPr>
      <w:r>
        <w:lastRenderedPageBreak/>
        <w:t>English version of the Örebro model and the MM questionnaire built by Örebro University Hospital in Sweden (Anderson, 1993) was used for the survey. For the academic year 2014-2015 when the researches were carried out, the total numbers of the students in the three maximum energy consuming state schools (MAXECSs) was 2018 and in the three minimum energy consuming state schools (MINECSs) was 4142. For the accuracy of the research data, 95% of confidence level, +/-5 of confidence interval</w:t>
      </w:r>
      <w:r w:rsidR="0035743A">
        <w:t xml:space="preserve"> </w:t>
      </w:r>
      <w:r>
        <w:t>of +/-5 points and 50% population proportion were applied. The calculated sample sizes needed were 323 in the MINECSs and 352 in the MAXECSs. The aim was to cultivate</w:t>
      </w:r>
      <w:r w:rsidR="0035743A">
        <w:t xml:space="preserve"> </w:t>
      </w:r>
      <w:r>
        <w:t xml:space="preserve">a valid sample covering at least 352 participants from both MAXECSs and MINECSs per student although according to Krejcie et al. (1970), a sample size of 370 is adequate for a population size of 10,000 to provide rational promise to replicate the same results. As a result, 352 valid samples in MINECSs and 360 valid samples in MAXECSs were collected to be used in calculations. An online interactive sample size calculator </w:t>
      </w:r>
      <w:r>
        <w:rPr>
          <w:spacing w:val="4"/>
        </w:rPr>
        <w:t xml:space="preserve">by </w:t>
      </w:r>
      <w:r>
        <w:t xml:space="preserve">Creative Research Systems (n.d.) was used to confirm the necessary sample size for the survey. Participants were proportionally drawn as the numbers of the students </w:t>
      </w:r>
      <w:proofErr w:type="gramStart"/>
      <w:r>
        <w:t>in  schools</w:t>
      </w:r>
      <w:proofErr w:type="gramEnd"/>
      <w:r>
        <w:t xml:space="preserve"> vary. It must be noted observed that all MAXECSs and MINECSs per student were chosen among the state secondary schools in PCM. Simple random sampling method was used to ensure that the exploratory groups included approximately the same mix.</w:t>
      </w:r>
    </w:p>
    <w:p w:rsidR="00F3177F" w:rsidRDefault="00F3177F">
      <w:pPr>
        <w:pStyle w:val="BodyText"/>
      </w:pPr>
    </w:p>
    <w:p w:rsidR="00F3177F" w:rsidRDefault="00F3177F">
      <w:pPr>
        <w:pStyle w:val="BodyText"/>
        <w:spacing w:before="8"/>
      </w:pPr>
    </w:p>
    <w:p w:rsidR="00F3177F" w:rsidRDefault="0089671D">
      <w:pPr>
        <w:pStyle w:val="Heading2"/>
        <w:numPr>
          <w:ilvl w:val="1"/>
          <w:numId w:val="26"/>
        </w:numPr>
        <w:tabs>
          <w:tab w:val="left" w:pos="1065"/>
        </w:tabs>
        <w:jc w:val="both"/>
      </w:pPr>
      <w:r>
        <w:t>Instrument</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3"/>
        <w:jc w:val="both"/>
      </w:pPr>
      <w:r>
        <w:t>For the first stage of the research, the instrument to find out energy saving school features from the point of energy consumption per unit area was a table with the all necessary information including school features as mentioned in the Methodology Overview and their energy consumptions that were provided by PCM. Table 6 below gives school and energy consumption figures as a sample.</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CA6556">
      <w:pPr>
        <w:pStyle w:val="BodyText"/>
        <w:spacing w:before="52"/>
        <w:ind w:left="584" w:right="65"/>
      </w:pPr>
      <w:r>
        <w:lastRenderedPageBreak/>
        <w:pict>
          <v:shapetype id="_x0000_t202" coordsize="21600,21600" o:spt="202" path="m,l,21600r21600,l21600,xe">
            <v:stroke joinstyle="miter"/>
            <v:path gradientshapeok="t" o:connecttype="rect"/>
          </v:shapetype>
          <v:shape id="_x0000_s1053" type="#_x0000_t202" style="position:absolute;left:0;text-align:left;margin-left:359.6pt;margin-top:31.1pt;width:43.45pt;height:95.55pt;z-index:-235888;mso-position-horizontal-relative:page" filled="f" stroked="f">
            <v:textbox inset="0,0,0,0">
              <w:txbxContent>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rPr>
                      <w:sz w:val="6"/>
                    </w:rPr>
                  </w:pPr>
                </w:p>
                <w:p w:rsidR="008C4866" w:rsidRDefault="008C4866">
                  <w:pPr>
                    <w:pStyle w:val="BodyText"/>
                    <w:spacing w:before="10"/>
                    <w:rPr>
                      <w:sz w:val="4"/>
                    </w:rPr>
                  </w:pPr>
                </w:p>
                <w:p w:rsidR="008C4866" w:rsidRDefault="008C4866">
                  <w:pPr>
                    <w:spacing w:line="209" w:lineRule="exact"/>
                    <w:rPr>
                      <w:b/>
                      <w:sz w:val="20"/>
                    </w:rPr>
                  </w:pPr>
                  <w:r>
                    <w:rPr>
                      <w:b/>
                      <w:w w:val="99"/>
                      <w:sz w:val="20"/>
                    </w:rPr>
                    <w:t>)</w:t>
                  </w:r>
                </w:p>
                <w:p w:rsidR="008C4866" w:rsidRDefault="008C4866">
                  <w:pPr>
                    <w:pStyle w:val="BodyText"/>
                    <w:rPr>
                      <w:sz w:val="6"/>
                    </w:rPr>
                  </w:pPr>
                </w:p>
                <w:p w:rsidR="008C4866" w:rsidRDefault="008C4866">
                  <w:pPr>
                    <w:spacing w:before="42" w:line="69" w:lineRule="auto"/>
                    <w:ind w:right="660"/>
                    <w:rPr>
                      <w:b/>
                      <w:sz w:val="20"/>
                    </w:rPr>
                  </w:pPr>
                  <w:r>
                    <w:rPr>
                      <w:b/>
                      <w:sz w:val="20"/>
                    </w:rPr>
                    <w:t>M (</w:t>
                  </w:r>
                </w:p>
              </w:txbxContent>
            </v:textbox>
            <w10:wrap anchorx="page"/>
          </v:shape>
        </w:pict>
      </w:r>
      <w:r>
        <w:pict>
          <v:rect id="_x0000_s1052" style="position:absolute;left:0;text-align:left;margin-left:349.5pt;margin-top:31.1pt;width:8.75pt;height:95.5pt;z-index:-235864;mso-position-horizontal-relative:page" stroked="f">
            <w10:wrap anchorx="page"/>
          </v:rect>
        </w:pict>
      </w:r>
      <w:r w:rsidR="0089671D">
        <w:t>Table 6: School and Energy Consumption Figures as a Sample</w:t>
      </w:r>
    </w:p>
    <w:p w:rsidR="00F3177F" w:rsidRDefault="00F3177F">
      <w:pPr>
        <w:pStyle w:val="BodyText"/>
        <w:spacing w:before="8"/>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360"/>
        <w:gridCol w:w="540"/>
        <w:gridCol w:w="541"/>
        <w:gridCol w:w="269"/>
        <w:gridCol w:w="540"/>
        <w:gridCol w:w="540"/>
        <w:gridCol w:w="540"/>
        <w:gridCol w:w="540"/>
        <w:gridCol w:w="540"/>
        <w:gridCol w:w="360"/>
        <w:gridCol w:w="478"/>
        <w:gridCol w:w="242"/>
        <w:gridCol w:w="540"/>
        <w:gridCol w:w="271"/>
        <w:gridCol w:w="269"/>
        <w:gridCol w:w="540"/>
        <w:gridCol w:w="540"/>
        <w:gridCol w:w="540"/>
      </w:tblGrid>
      <w:tr w:rsidR="00F3177F">
        <w:trPr>
          <w:trHeight w:hRule="exact" w:val="528"/>
        </w:trPr>
        <w:tc>
          <w:tcPr>
            <w:tcW w:w="271" w:type="dxa"/>
            <w:vMerge w:val="restart"/>
            <w:textDirection w:val="btLr"/>
          </w:tcPr>
          <w:p w:rsidR="00F3177F" w:rsidRDefault="0089671D">
            <w:pPr>
              <w:pStyle w:val="TableParagraph"/>
              <w:spacing w:before="12"/>
              <w:ind w:left="525" w:right="3"/>
              <w:rPr>
                <w:b/>
                <w:sz w:val="20"/>
              </w:rPr>
            </w:pPr>
            <w:r>
              <w:rPr>
                <w:b/>
                <w:w w:val="99"/>
                <w:sz w:val="20"/>
              </w:rPr>
              <w:t>SCHOOL</w:t>
            </w:r>
          </w:p>
        </w:tc>
        <w:tc>
          <w:tcPr>
            <w:tcW w:w="360" w:type="dxa"/>
            <w:vMerge w:val="restart"/>
            <w:textDirection w:val="btLr"/>
          </w:tcPr>
          <w:p w:rsidR="00F3177F" w:rsidRDefault="0089671D">
            <w:pPr>
              <w:pStyle w:val="TableParagraph"/>
              <w:spacing w:before="55"/>
              <w:ind w:left="69" w:right="3"/>
              <w:rPr>
                <w:b/>
                <w:sz w:val="20"/>
              </w:rPr>
            </w:pPr>
            <w:r>
              <w:rPr>
                <w:b/>
                <w:spacing w:val="-1"/>
                <w:w w:val="99"/>
                <w:sz w:val="20"/>
              </w:rPr>
              <w:t>T</w:t>
            </w:r>
            <w:r>
              <w:rPr>
                <w:b/>
                <w:w w:val="99"/>
                <w:sz w:val="20"/>
              </w:rPr>
              <w:t>YPE</w:t>
            </w:r>
            <w:r>
              <w:rPr>
                <w:b/>
                <w:spacing w:val="-1"/>
                <w:sz w:val="20"/>
              </w:rPr>
              <w:t xml:space="preserve"> </w:t>
            </w:r>
            <w:r>
              <w:rPr>
                <w:b/>
                <w:w w:val="99"/>
                <w:sz w:val="20"/>
              </w:rPr>
              <w:t>OF</w:t>
            </w:r>
            <w:r>
              <w:rPr>
                <w:b/>
                <w:sz w:val="20"/>
              </w:rPr>
              <w:t xml:space="preserve"> </w:t>
            </w:r>
            <w:r>
              <w:rPr>
                <w:b/>
                <w:w w:val="99"/>
                <w:sz w:val="20"/>
              </w:rPr>
              <w:t>SCHOOL</w:t>
            </w:r>
          </w:p>
        </w:tc>
        <w:tc>
          <w:tcPr>
            <w:tcW w:w="1081" w:type="dxa"/>
            <w:gridSpan w:val="2"/>
          </w:tcPr>
          <w:p w:rsidR="00F3177F" w:rsidRDefault="0089671D">
            <w:pPr>
              <w:pStyle w:val="TableParagraph"/>
              <w:spacing w:before="27"/>
              <w:ind w:left="232" w:hanging="39"/>
              <w:rPr>
                <w:b/>
                <w:sz w:val="20"/>
              </w:rPr>
            </w:pPr>
            <w:r>
              <w:rPr>
                <w:b/>
                <w:w w:val="95"/>
                <w:sz w:val="20"/>
              </w:rPr>
              <w:t xml:space="preserve">STUDY </w:t>
            </w:r>
            <w:r>
              <w:rPr>
                <w:b/>
                <w:sz w:val="20"/>
              </w:rPr>
              <w:t>SHIFT</w:t>
            </w:r>
          </w:p>
        </w:tc>
        <w:tc>
          <w:tcPr>
            <w:tcW w:w="269" w:type="dxa"/>
            <w:vMerge w:val="restart"/>
            <w:textDirection w:val="btLr"/>
          </w:tcPr>
          <w:p w:rsidR="00F3177F" w:rsidRDefault="0089671D">
            <w:pPr>
              <w:pStyle w:val="TableParagraph"/>
              <w:spacing w:before="12"/>
              <w:ind w:left="139" w:right="3"/>
              <w:rPr>
                <w:b/>
                <w:sz w:val="20"/>
              </w:rPr>
            </w:pPr>
            <w:r>
              <w:rPr>
                <w:b/>
                <w:spacing w:val="-1"/>
                <w:w w:val="99"/>
                <w:sz w:val="20"/>
              </w:rPr>
              <w:t>B</w:t>
            </w:r>
            <w:r>
              <w:rPr>
                <w:b/>
                <w:w w:val="99"/>
                <w:sz w:val="20"/>
              </w:rPr>
              <w:t>U</w:t>
            </w:r>
            <w:r>
              <w:rPr>
                <w:b/>
                <w:spacing w:val="1"/>
                <w:w w:val="99"/>
                <w:sz w:val="20"/>
              </w:rPr>
              <w:t>I</w:t>
            </w:r>
            <w:r>
              <w:rPr>
                <w:b/>
                <w:spacing w:val="-1"/>
                <w:w w:val="99"/>
                <w:sz w:val="20"/>
              </w:rPr>
              <w:t>L</w:t>
            </w:r>
            <w:r>
              <w:rPr>
                <w:b/>
                <w:w w:val="99"/>
                <w:sz w:val="20"/>
              </w:rPr>
              <w:t>D</w:t>
            </w:r>
            <w:r>
              <w:rPr>
                <w:b/>
                <w:spacing w:val="1"/>
                <w:w w:val="99"/>
                <w:sz w:val="20"/>
              </w:rPr>
              <w:t>I</w:t>
            </w:r>
            <w:r>
              <w:rPr>
                <w:b/>
                <w:w w:val="99"/>
                <w:sz w:val="20"/>
              </w:rPr>
              <w:t>NG</w:t>
            </w:r>
            <w:r>
              <w:rPr>
                <w:b/>
                <w:spacing w:val="1"/>
                <w:sz w:val="20"/>
              </w:rPr>
              <w:t xml:space="preserve"> </w:t>
            </w:r>
            <w:r>
              <w:rPr>
                <w:b/>
                <w:spacing w:val="1"/>
                <w:w w:val="99"/>
                <w:sz w:val="20"/>
              </w:rPr>
              <w:t>Y</w:t>
            </w:r>
            <w:r>
              <w:rPr>
                <w:b/>
                <w:spacing w:val="-1"/>
                <w:w w:val="99"/>
                <w:sz w:val="20"/>
              </w:rPr>
              <w:t>E</w:t>
            </w:r>
            <w:r>
              <w:rPr>
                <w:b/>
                <w:w w:val="99"/>
                <w:sz w:val="20"/>
              </w:rPr>
              <w:t>AR</w:t>
            </w:r>
          </w:p>
        </w:tc>
        <w:tc>
          <w:tcPr>
            <w:tcW w:w="540" w:type="dxa"/>
            <w:vMerge w:val="restart"/>
            <w:textDirection w:val="btLr"/>
          </w:tcPr>
          <w:p w:rsidR="00F3177F" w:rsidRDefault="0089671D">
            <w:pPr>
              <w:pStyle w:val="TableParagraph"/>
              <w:spacing w:before="29" w:line="244" w:lineRule="auto"/>
              <w:ind w:left="391" w:right="334" w:hanging="46"/>
              <w:rPr>
                <w:b/>
                <w:sz w:val="20"/>
              </w:rPr>
            </w:pPr>
            <w:r>
              <w:rPr>
                <w:b/>
                <w:w w:val="99"/>
                <w:sz w:val="20"/>
              </w:rPr>
              <w:t>NU</w:t>
            </w:r>
            <w:r>
              <w:rPr>
                <w:b/>
                <w:spacing w:val="1"/>
                <w:w w:val="99"/>
                <w:sz w:val="20"/>
              </w:rPr>
              <w:t>M</w:t>
            </w:r>
            <w:r>
              <w:rPr>
                <w:b/>
                <w:spacing w:val="-1"/>
                <w:w w:val="99"/>
                <w:sz w:val="20"/>
              </w:rPr>
              <w:t>BE</w:t>
            </w:r>
            <w:r>
              <w:rPr>
                <w:b/>
                <w:w w:val="99"/>
                <w:sz w:val="20"/>
              </w:rPr>
              <w:t>R</w:t>
            </w:r>
            <w:r>
              <w:rPr>
                <w:b/>
                <w:sz w:val="20"/>
              </w:rPr>
              <w:t xml:space="preserve"> </w:t>
            </w:r>
            <w:r>
              <w:rPr>
                <w:b/>
                <w:w w:val="99"/>
                <w:sz w:val="20"/>
              </w:rPr>
              <w:t xml:space="preserve">OF </w:t>
            </w:r>
            <w:r>
              <w:rPr>
                <w:b/>
                <w:spacing w:val="-1"/>
                <w:w w:val="99"/>
                <w:sz w:val="20"/>
              </w:rPr>
              <w:t>B</w:t>
            </w:r>
            <w:r>
              <w:rPr>
                <w:b/>
                <w:w w:val="99"/>
                <w:sz w:val="20"/>
              </w:rPr>
              <w:t>U</w:t>
            </w:r>
            <w:r>
              <w:rPr>
                <w:b/>
                <w:spacing w:val="1"/>
                <w:w w:val="99"/>
                <w:sz w:val="20"/>
              </w:rPr>
              <w:t>I</w:t>
            </w:r>
            <w:r>
              <w:rPr>
                <w:b/>
                <w:spacing w:val="-1"/>
                <w:w w:val="99"/>
                <w:sz w:val="20"/>
              </w:rPr>
              <w:t>L</w:t>
            </w:r>
            <w:r>
              <w:rPr>
                <w:b/>
                <w:w w:val="99"/>
                <w:sz w:val="20"/>
              </w:rPr>
              <w:t>D</w:t>
            </w:r>
            <w:r>
              <w:rPr>
                <w:b/>
                <w:spacing w:val="1"/>
                <w:w w:val="99"/>
                <w:sz w:val="20"/>
              </w:rPr>
              <w:t>I</w:t>
            </w:r>
            <w:r>
              <w:rPr>
                <w:b/>
                <w:w w:val="99"/>
                <w:sz w:val="20"/>
              </w:rPr>
              <w:t>N</w:t>
            </w:r>
            <w:r>
              <w:rPr>
                <w:b/>
                <w:spacing w:val="1"/>
                <w:w w:val="99"/>
                <w:sz w:val="20"/>
              </w:rPr>
              <w:t>G</w:t>
            </w:r>
            <w:r>
              <w:rPr>
                <w:b/>
                <w:w w:val="99"/>
                <w:sz w:val="20"/>
              </w:rPr>
              <w:t>S</w:t>
            </w:r>
          </w:p>
        </w:tc>
        <w:tc>
          <w:tcPr>
            <w:tcW w:w="540" w:type="dxa"/>
            <w:vMerge w:val="restart"/>
            <w:textDirection w:val="btLr"/>
          </w:tcPr>
          <w:p w:rsidR="00F3177F" w:rsidRDefault="0089671D">
            <w:pPr>
              <w:pStyle w:val="TableParagraph"/>
              <w:spacing w:before="29" w:line="244" w:lineRule="auto"/>
              <w:ind w:left="11" w:right="3" w:firstLine="333"/>
              <w:rPr>
                <w:b/>
                <w:sz w:val="20"/>
              </w:rPr>
            </w:pPr>
            <w:r>
              <w:rPr>
                <w:b/>
                <w:w w:val="99"/>
                <w:sz w:val="20"/>
              </w:rPr>
              <w:t>NU</w:t>
            </w:r>
            <w:r>
              <w:rPr>
                <w:b/>
                <w:spacing w:val="1"/>
                <w:w w:val="99"/>
                <w:sz w:val="20"/>
              </w:rPr>
              <w:t>M</w:t>
            </w:r>
            <w:r>
              <w:rPr>
                <w:b/>
                <w:spacing w:val="-1"/>
                <w:w w:val="99"/>
                <w:sz w:val="20"/>
              </w:rPr>
              <w:t>BE</w:t>
            </w:r>
            <w:r>
              <w:rPr>
                <w:b/>
                <w:w w:val="99"/>
                <w:sz w:val="20"/>
              </w:rPr>
              <w:t>R</w:t>
            </w:r>
            <w:r>
              <w:rPr>
                <w:b/>
                <w:sz w:val="20"/>
              </w:rPr>
              <w:t xml:space="preserve"> </w:t>
            </w:r>
            <w:r>
              <w:rPr>
                <w:b/>
                <w:w w:val="99"/>
                <w:sz w:val="20"/>
              </w:rPr>
              <w:t xml:space="preserve">OF </w:t>
            </w:r>
            <w:r>
              <w:rPr>
                <w:b/>
                <w:spacing w:val="-1"/>
                <w:w w:val="99"/>
                <w:sz w:val="20"/>
              </w:rPr>
              <w:t>B</w:t>
            </w:r>
            <w:r>
              <w:rPr>
                <w:b/>
                <w:w w:val="99"/>
                <w:sz w:val="20"/>
              </w:rPr>
              <w:t>U</w:t>
            </w:r>
            <w:r>
              <w:rPr>
                <w:b/>
                <w:spacing w:val="1"/>
                <w:w w:val="99"/>
                <w:sz w:val="20"/>
              </w:rPr>
              <w:t>I</w:t>
            </w:r>
            <w:r>
              <w:rPr>
                <w:b/>
                <w:spacing w:val="-1"/>
                <w:w w:val="99"/>
                <w:sz w:val="20"/>
              </w:rPr>
              <w:t>L</w:t>
            </w:r>
            <w:r>
              <w:rPr>
                <w:b/>
                <w:w w:val="99"/>
                <w:sz w:val="20"/>
              </w:rPr>
              <w:t>D</w:t>
            </w:r>
            <w:r>
              <w:rPr>
                <w:b/>
                <w:spacing w:val="1"/>
                <w:w w:val="99"/>
                <w:sz w:val="20"/>
              </w:rPr>
              <w:t>I</w:t>
            </w:r>
            <w:r>
              <w:rPr>
                <w:b/>
                <w:w w:val="99"/>
                <w:sz w:val="20"/>
              </w:rPr>
              <w:t>NG</w:t>
            </w:r>
            <w:r>
              <w:rPr>
                <w:b/>
                <w:spacing w:val="1"/>
                <w:sz w:val="20"/>
              </w:rPr>
              <w:t xml:space="preserve"> </w:t>
            </w:r>
            <w:r>
              <w:rPr>
                <w:b/>
                <w:w w:val="99"/>
                <w:sz w:val="20"/>
              </w:rPr>
              <w:t>F</w:t>
            </w:r>
            <w:r>
              <w:rPr>
                <w:b/>
                <w:spacing w:val="-1"/>
                <w:w w:val="99"/>
                <w:sz w:val="20"/>
              </w:rPr>
              <w:t>L</w:t>
            </w:r>
            <w:r>
              <w:rPr>
                <w:b/>
                <w:w w:val="99"/>
                <w:sz w:val="20"/>
              </w:rPr>
              <w:t>OORS</w:t>
            </w:r>
          </w:p>
        </w:tc>
        <w:tc>
          <w:tcPr>
            <w:tcW w:w="540" w:type="dxa"/>
            <w:vMerge w:val="restart"/>
            <w:textDirection w:val="btLr"/>
          </w:tcPr>
          <w:p w:rsidR="00F3177F" w:rsidRDefault="0089671D">
            <w:pPr>
              <w:pStyle w:val="TableParagraph"/>
              <w:spacing w:before="29" w:line="244" w:lineRule="auto"/>
              <w:ind w:left="424" w:right="335" w:hanging="80"/>
              <w:rPr>
                <w:b/>
                <w:sz w:val="20"/>
              </w:rPr>
            </w:pPr>
            <w:r>
              <w:rPr>
                <w:b/>
                <w:w w:val="99"/>
                <w:sz w:val="20"/>
              </w:rPr>
              <w:t>NU</w:t>
            </w:r>
            <w:r>
              <w:rPr>
                <w:b/>
                <w:spacing w:val="1"/>
                <w:w w:val="99"/>
                <w:sz w:val="20"/>
              </w:rPr>
              <w:t>M</w:t>
            </w:r>
            <w:r>
              <w:rPr>
                <w:b/>
                <w:spacing w:val="-1"/>
                <w:w w:val="99"/>
                <w:sz w:val="20"/>
              </w:rPr>
              <w:t>BE</w:t>
            </w:r>
            <w:r>
              <w:rPr>
                <w:b/>
                <w:w w:val="99"/>
                <w:sz w:val="20"/>
              </w:rPr>
              <w:t>R</w:t>
            </w:r>
            <w:r>
              <w:rPr>
                <w:b/>
                <w:sz w:val="20"/>
              </w:rPr>
              <w:t xml:space="preserve"> </w:t>
            </w:r>
            <w:r>
              <w:rPr>
                <w:b/>
                <w:w w:val="99"/>
                <w:sz w:val="20"/>
              </w:rPr>
              <w:t>OF S</w:t>
            </w:r>
            <w:r>
              <w:rPr>
                <w:b/>
                <w:spacing w:val="-2"/>
                <w:w w:val="99"/>
                <w:sz w:val="20"/>
              </w:rPr>
              <w:t>T</w:t>
            </w:r>
            <w:r>
              <w:rPr>
                <w:b/>
                <w:w w:val="99"/>
                <w:sz w:val="20"/>
              </w:rPr>
              <w:t>U</w:t>
            </w:r>
            <w:r>
              <w:rPr>
                <w:b/>
                <w:spacing w:val="2"/>
                <w:w w:val="99"/>
                <w:sz w:val="20"/>
              </w:rPr>
              <w:t>D</w:t>
            </w:r>
            <w:r>
              <w:rPr>
                <w:b/>
                <w:spacing w:val="-1"/>
                <w:w w:val="99"/>
                <w:sz w:val="20"/>
              </w:rPr>
              <w:t>E</w:t>
            </w:r>
            <w:r>
              <w:rPr>
                <w:b/>
                <w:spacing w:val="2"/>
                <w:w w:val="99"/>
                <w:sz w:val="20"/>
              </w:rPr>
              <w:t>N</w:t>
            </w:r>
            <w:r>
              <w:rPr>
                <w:b/>
                <w:spacing w:val="-1"/>
                <w:w w:val="99"/>
                <w:sz w:val="20"/>
              </w:rPr>
              <w:t>T</w:t>
            </w:r>
            <w:r>
              <w:rPr>
                <w:b/>
                <w:w w:val="99"/>
                <w:sz w:val="20"/>
              </w:rPr>
              <w:t>S</w:t>
            </w:r>
          </w:p>
        </w:tc>
        <w:tc>
          <w:tcPr>
            <w:tcW w:w="540" w:type="dxa"/>
            <w:vMerge w:val="restart"/>
            <w:textDirection w:val="btLr"/>
          </w:tcPr>
          <w:p w:rsidR="00F3177F" w:rsidRDefault="0089671D">
            <w:pPr>
              <w:pStyle w:val="TableParagraph"/>
              <w:spacing w:before="29" w:line="244" w:lineRule="auto"/>
              <w:ind w:left="64" w:right="56" w:firstLine="297"/>
              <w:rPr>
                <w:b/>
                <w:sz w:val="20"/>
              </w:rPr>
            </w:pPr>
            <w:r>
              <w:rPr>
                <w:b/>
                <w:spacing w:val="-1"/>
                <w:w w:val="99"/>
                <w:sz w:val="20"/>
              </w:rPr>
              <w:t>T</w:t>
            </w:r>
            <w:r>
              <w:rPr>
                <w:b/>
                <w:w w:val="99"/>
                <w:sz w:val="20"/>
              </w:rPr>
              <w:t>O</w:t>
            </w:r>
            <w:r>
              <w:rPr>
                <w:b/>
                <w:spacing w:val="-1"/>
                <w:w w:val="99"/>
                <w:sz w:val="20"/>
              </w:rPr>
              <w:t>T</w:t>
            </w:r>
            <w:r>
              <w:rPr>
                <w:b/>
                <w:spacing w:val="2"/>
                <w:w w:val="99"/>
                <w:sz w:val="20"/>
              </w:rPr>
              <w:t>A</w:t>
            </w:r>
            <w:r>
              <w:rPr>
                <w:b/>
                <w:w w:val="99"/>
                <w:sz w:val="20"/>
              </w:rPr>
              <w:t>L</w:t>
            </w:r>
            <w:r>
              <w:rPr>
                <w:b/>
                <w:spacing w:val="-1"/>
                <w:sz w:val="20"/>
              </w:rPr>
              <w:t xml:space="preserve"> </w:t>
            </w:r>
            <w:r>
              <w:rPr>
                <w:b/>
                <w:w w:val="99"/>
                <w:sz w:val="20"/>
              </w:rPr>
              <w:t>ONE F</w:t>
            </w:r>
            <w:r>
              <w:rPr>
                <w:b/>
                <w:spacing w:val="-1"/>
                <w:w w:val="99"/>
                <w:sz w:val="20"/>
              </w:rPr>
              <w:t>L</w:t>
            </w:r>
            <w:r>
              <w:rPr>
                <w:b/>
                <w:w w:val="99"/>
                <w:sz w:val="20"/>
              </w:rPr>
              <w:t>OOR</w:t>
            </w:r>
            <w:r>
              <w:rPr>
                <w:b/>
                <w:sz w:val="20"/>
              </w:rPr>
              <w:t xml:space="preserve"> </w:t>
            </w:r>
            <w:r>
              <w:rPr>
                <w:b/>
                <w:w w:val="99"/>
                <w:sz w:val="20"/>
              </w:rPr>
              <w:t>AREA</w:t>
            </w:r>
            <w:r>
              <w:rPr>
                <w:b/>
                <w:spacing w:val="-1"/>
                <w:sz w:val="20"/>
              </w:rPr>
              <w:t xml:space="preserve"> </w:t>
            </w:r>
            <w:r>
              <w:rPr>
                <w:b/>
                <w:spacing w:val="1"/>
                <w:w w:val="99"/>
                <w:sz w:val="20"/>
              </w:rPr>
              <w:t>(</w:t>
            </w:r>
            <w:r>
              <w:rPr>
                <w:b/>
                <w:w w:val="99"/>
                <w:sz w:val="20"/>
              </w:rPr>
              <w:t>m2)</w:t>
            </w:r>
          </w:p>
        </w:tc>
        <w:tc>
          <w:tcPr>
            <w:tcW w:w="540" w:type="dxa"/>
            <w:vMerge w:val="restart"/>
            <w:textDirection w:val="btLr"/>
          </w:tcPr>
          <w:p w:rsidR="00F3177F" w:rsidRDefault="0089671D">
            <w:pPr>
              <w:pStyle w:val="TableParagraph"/>
              <w:spacing w:before="102" w:line="236" w:lineRule="exact"/>
              <w:ind w:left="609" w:right="2" w:hanging="598"/>
              <w:rPr>
                <w:b/>
                <w:sz w:val="20"/>
              </w:rPr>
            </w:pPr>
            <w:r>
              <w:rPr>
                <w:b/>
                <w:w w:val="99"/>
                <w:sz w:val="20"/>
              </w:rPr>
              <w:t>S</w:t>
            </w:r>
            <w:r>
              <w:rPr>
                <w:b/>
                <w:spacing w:val="-2"/>
                <w:w w:val="99"/>
                <w:sz w:val="20"/>
              </w:rPr>
              <w:t>T</w:t>
            </w:r>
            <w:r>
              <w:rPr>
                <w:b/>
                <w:w w:val="99"/>
                <w:sz w:val="20"/>
              </w:rPr>
              <w:t>U</w:t>
            </w:r>
            <w:r>
              <w:rPr>
                <w:b/>
                <w:spacing w:val="2"/>
                <w:w w:val="99"/>
                <w:sz w:val="20"/>
              </w:rPr>
              <w:t>D</w:t>
            </w:r>
            <w:r>
              <w:rPr>
                <w:b/>
                <w:spacing w:val="-1"/>
                <w:w w:val="99"/>
                <w:sz w:val="20"/>
              </w:rPr>
              <w:t>E</w:t>
            </w:r>
            <w:r>
              <w:rPr>
                <w:b/>
                <w:spacing w:val="2"/>
                <w:w w:val="99"/>
                <w:sz w:val="20"/>
              </w:rPr>
              <w:t>N</w:t>
            </w:r>
            <w:r>
              <w:rPr>
                <w:b/>
                <w:w w:val="99"/>
                <w:sz w:val="20"/>
              </w:rPr>
              <w:t>T</w:t>
            </w:r>
            <w:r>
              <w:rPr>
                <w:b/>
                <w:spacing w:val="-1"/>
                <w:sz w:val="20"/>
              </w:rPr>
              <w:t xml:space="preserve"> </w:t>
            </w:r>
            <w:r>
              <w:rPr>
                <w:b/>
                <w:w w:val="99"/>
                <w:sz w:val="20"/>
              </w:rPr>
              <w:t>D</w:t>
            </w:r>
            <w:r>
              <w:rPr>
                <w:b/>
                <w:spacing w:val="-1"/>
                <w:w w:val="99"/>
                <w:sz w:val="20"/>
              </w:rPr>
              <w:t>E</w:t>
            </w:r>
            <w:r>
              <w:rPr>
                <w:b/>
                <w:spacing w:val="2"/>
                <w:w w:val="99"/>
                <w:sz w:val="20"/>
              </w:rPr>
              <w:t>N</w:t>
            </w:r>
            <w:r>
              <w:rPr>
                <w:b/>
                <w:w w:val="99"/>
                <w:sz w:val="20"/>
              </w:rPr>
              <w:t>S</w:t>
            </w:r>
            <w:r>
              <w:rPr>
                <w:b/>
                <w:spacing w:val="1"/>
                <w:w w:val="99"/>
                <w:sz w:val="20"/>
              </w:rPr>
              <w:t>I</w:t>
            </w:r>
            <w:r>
              <w:rPr>
                <w:b/>
                <w:spacing w:val="-1"/>
                <w:w w:val="99"/>
                <w:sz w:val="20"/>
              </w:rPr>
              <w:t>T</w:t>
            </w:r>
            <w:r>
              <w:rPr>
                <w:b/>
                <w:w w:val="99"/>
                <w:sz w:val="20"/>
              </w:rPr>
              <w:t>Y (S</w:t>
            </w:r>
            <w:r>
              <w:rPr>
                <w:b/>
                <w:spacing w:val="-2"/>
                <w:w w:val="99"/>
                <w:sz w:val="20"/>
              </w:rPr>
              <w:t>T</w:t>
            </w:r>
            <w:r>
              <w:rPr>
                <w:b/>
                <w:spacing w:val="2"/>
                <w:w w:val="99"/>
                <w:sz w:val="20"/>
              </w:rPr>
              <w:t>/</w:t>
            </w:r>
            <w:r>
              <w:rPr>
                <w:b/>
                <w:spacing w:val="-1"/>
                <w:w w:val="99"/>
                <w:sz w:val="20"/>
              </w:rPr>
              <w:t>M</w:t>
            </w:r>
            <w:r>
              <w:rPr>
                <w:b/>
                <w:w w:val="99"/>
                <w:position w:val="9"/>
                <w:sz w:val="13"/>
              </w:rPr>
              <w:t>2</w:t>
            </w:r>
            <w:r>
              <w:rPr>
                <w:b/>
                <w:w w:val="99"/>
                <w:sz w:val="20"/>
              </w:rPr>
              <w:t>)</w:t>
            </w:r>
          </w:p>
        </w:tc>
        <w:tc>
          <w:tcPr>
            <w:tcW w:w="360" w:type="dxa"/>
            <w:vMerge w:val="restart"/>
            <w:textDirection w:val="btLr"/>
          </w:tcPr>
          <w:p w:rsidR="00F3177F" w:rsidRDefault="0089671D">
            <w:pPr>
              <w:pStyle w:val="TableParagraph"/>
              <w:spacing w:line="170" w:lineRule="exact"/>
              <w:ind w:left="167" w:right="3"/>
              <w:rPr>
                <w:b/>
                <w:sz w:val="20"/>
              </w:rPr>
            </w:pPr>
            <w:r>
              <w:rPr>
                <w:b/>
                <w:w w:val="99"/>
                <w:sz w:val="20"/>
              </w:rPr>
              <w:t>F</w:t>
            </w:r>
            <w:r>
              <w:rPr>
                <w:b/>
                <w:spacing w:val="-1"/>
                <w:w w:val="99"/>
                <w:sz w:val="20"/>
              </w:rPr>
              <w:t>L</w:t>
            </w:r>
            <w:r>
              <w:rPr>
                <w:b/>
                <w:w w:val="99"/>
                <w:sz w:val="20"/>
              </w:rPr>
              <w:t>OOR</w:t>
            </w:r>
            <w:r>
              <w:rPr>
                <w:b/>
                <w:sz w:val="20"/>
              </w:rPr>
              <w:t xml:space="preserve"> </w:t>
            </w:r>
            <w:r>
              <w:rPr>
                <w:b/>
                <w:w w:val="99"/>
                <w:sz w:val="20"/>
              </w:rPr>
              <w:t>H</w:t>
            </w:r>
            <w:r>
              <w:rPr>
                <w:b/>
                <w:spacing w:val="-1"/>
                <w:w w:val="99"/>
                <w:sz w:val="20"/>
              </w:rPr>
              <w:t>EI</w:t>
            </w:r>
            <w:r>
              <w:rPr>
                <w:b/>
                <w:w w:val="99"/>
                <w:sz w:val="20"/>
              </w:rPr>
              <w:t>GHT</w:t>
            </w:r>
          </w:p>
        </w:tc>
        <w:tc>
          <w:tcPr>
            <w:tcW w:w="478" w:type="dxa"/>
            <w:vMerge w:val="restart"/>
            <w:tcBorders>
              <w:right w:val="single" w:sz="0" w:space="0" w:color="FFFFFF"/>
            </w:tcBorders>
            <w:textDirection w:val="btLr"/>
          </w:tcPr>
          <w:p w:rsidR="00F3177F" w:rsidRDefault="0089671D">
            <w:pPr>
              <w:pStyle w:val="TableParagraph"/>
              <w:ind w:left="74" w:right="3"/>
              <w:rPr>
                <w:b/>
                <w:sz w:val="20"/>
              </w:rPr>
            </w:pPr>
            <w:r>
              <w:rPr>
                <w:b/>
                <w:spacing w:val="-1"/>
                <w:w w:val="99"/>
                <w:sz w:val="20"/>
              </w:rPr>
              <w:t>E</w:t>
            </w:r>
            <w:r>
              <w:rPr>
                <w:b/>
                <w:w w:val="99"/>
                <w:sz w:val="20"/>
              </w:rPr>
              <w:t>X</w:t>
            </w:r>
            <w:r>
              <w:rPr>
                <w:b/>
                <w:spacing w:val="1"/>
                <w:w w:val="99"/>
                <w:sz w:val="20"/>
              </w:rPr>
              <w:t>T</w:t>
            </w:r>
            <w:r>
              <w:rPr>
                <w:b/>
                <w:w w:val="99"/>
                <w:sz w:val="20"/>
              </w:rPr>
              <w:t>RA</w:t>
            </w:r>
            <w:r>
              <w:rPr>
                <w:b/>
                <w:sz w:val="20"/>
              </w:rPr>
              <w:t xml:space="preserve"> </w:t>
            </w:r>
            <w:r>
              <w:rPr>
                <w:b/>
                <w:spacing w:val="-1"/>
                <w:w w:val="99"/>
                <w:sz w:val="20"/>
              </w:rPr>
              <w:t>B</w:t>
            </w:r>
            <w:r>
              <w:rPr>
                <w:b/>
                <w:spacing w:val="2"/>
                <w:w w:val="99"/>
                <w:sz w:val="20"/>
              </w:rPr>
              <w:t>U</w:t>
            </w:r>
            <w:r>
              <w:rPr>
                <w:b/>
                <w:spacing w:val="-1"/>
                <w:w w:val="99"/>
                <w:sz w:val="20"/>
              </w:rPr>
              <w:t>I</w:t>
            </w:r>
            <w:r>
              <w:rPr>
                <w:b/>
                <w:spacing w:val="1"/>
                <w:w w:val="99"/>
                <w:sz w:val="20"/>
              </w:rPr>
              <w:t>L</w:t>
            </w:r>
            <w:r>
              <w:rPr>
                <w:b/>
                <w:w w:val="99"/>
                <w:sz w:val="20"/>
              </w:rPr>
              <w:t>DING</w:t>
            </w:r>
          </w:p>
          <w:p w:rsidR="00F3177F" w:rsidRDefault="0089671D">
            <w:pPr>
              <w:pStyle w:val="TableParagraph"/>
              <w:spacing w:before="7"/>
              <w:ind w:left="95" w:right="3"/>
              <w:rPr>
                <w:b/>
                <w:sz w:val="20"/>
              </w:rPr>
            </w:pPr>
            <w:r>
              <w:rPr>
                <w:b/>
                <w:w w:val="99"/>
                <w:sz w:val="20"/>
              </w:rPr>
              <w:t>&amp;</w:t>
            </w:r>
            <w:r>
              <w:rPr>
                <w:b/>
                <w:spacing w:val="-1"/>
                <w:sz w:val="20"/>
              </w:rPr>
              <w:t xml:space="preserve"> </w:t>
            </w:r>
            <w:r>
              <w:rPr>
                <w:b/>
                <w:w w:val="99"/>
                <w:sz w:val="20"/>
              </w:rPr>
              <w:t>I</w:t>
            </w:r>
            <w:r>
              <w:rPr>
                <w:b/>
                <w:spacing w:val="1"/>
                <w:w w:val="99"/>
                <w:sz w:val="20"/>
              </w:rPr>
              <w:t>T</w:t>
            </w:r>
            <w:r>
              <w:rPr>
                <w:b/>
                <w:w w:val="99"/>
                <w:sz w:val="20"/>
              </w:rPr>
              <w:t>S</w:t>
            </w:r>
            <w:r>
              <w:rPr>
                <w:b/>
                <w:spacing w:val="-1"/>
                <w:sz w:val="20"/>
              </w:rPr>
              <w:t xml:space="preserve"> </w:t>
            </w:r>
            <w:r>
              <w:rPr>
                <w:b/>
                <w:w w:val="99"/>
                <w:sz w:val="20"/>
              </w:rPr>
              <w:t>S</w:t>
            </w:r>
            <w:r>
              <w:rPr>
                <w:b/>
                <w:spacing w:val="1"/>
                <w:w w:val="99"/>
                <w:sz w:val="20"/>
              </w:rPr>
              <w:t>I</w:t>
            </w:r>
            <w:r>
              <w:rPr>
                <w:b/>
                <w:spacing w:val="-1"/>
                <w:w w:val="99"/>
                <w:sz w:val="20"/>
              </w:rPr>
              <w:t>Z</w:t>
            </w:r>
            <w:r>
              <w:rPr>
                <w:b/>
                <w:w w:val="99"/>
                <w:sz w:val="20"/>
              </w:rPr>
              <w:t>E</w:t>
            </w:r>
            <w:r>
              <w:rPr>
                <w:b/>
                <w:spacing w:val="-1"/>
                <w:sz w:val="20"/>
              </w:rPr>
              <w:t xml:space="preserve"> </w:t>
            </w:r>
            <w:r>
              <w:rPr>
                <w:b/>
                <w:w w:val="99"/>
                <w:sz w:val="20"/>
              </w:rPr>
              <w:t>(</w:t>
            </w:r>
            <w:r>
              <w:rPr>
                <w:b/>
                <w:spacing w:val="1"/>
                <w:w w:val="99"/>
                <w:sz w:val="20"/>
              </w:rPr>
              <w:t>S</w:t>
            </w:r>
            <w:r>
              <w:rPr>
                <w:b/>
                <w:w w:val="99"/>
                <w:sz w:val="20"/>
              </w:rPr>
              <w:t>por</w:t>
            </w:r>
            <w:r>
              <w:rPr>
                <w:b/>
                <w:spacing w:val="1"/>
                <w:w w:val="99"/>
                <w:sz w:val="20"/>
              </w:rPr>
              <w:t>t</w:t>
            </w:r>
            <w:r>
              <w:rPr>
                <w:b/>
                <w:w w:val="99"/>
                <w:sz w:val="20"/>
              </w:rPr>
              <w:t>s</w:t>
            </w:r>
          </w:p>
        </w:tc>
        <w:tc>
          <w:tcPr>
            <w:tcW w:w="242" w:type="dxa"/>
            <w:vMerge w:val="restart"/>
            <w:tcBorders>
              <w:left w:val="single" w:sz="0" w:space="0" w:color="FFFFFF"/>
            </w:tcBorders>
            <w:textDirection w:val="btLr"/>
          </w:tcPr>
          <w:p w:rsidR="00F3177F" w:rsidRDefault="0089671D">
            <w:pPr>
              <w:pStyle w:val="TableParagraph"/>
              <w:ind w:left="182"/>
              <w:rPr>
                <w:b/>
                <w:sz w:val="20"/>
              </w:rPr>
            </w:pPr>
            <w:proofErr w:type="gramStart"/>
            <w:r>
              <w:rPr>
                <w:b/>
                <w:w w:val="99"/>
                <w:sz w:val="20"/>
              </w:rPr>
              <w:t>hall</w:t>
            </w:r>
            <w:proofErr w:type="gramEnd"/>
            <w:r>
              <w:rPr>
                <w:b/>
                <w:w w:val="99"/>
                <w:sz w:val="20"/>
              </w:rPr>
              <w:t>,</w:t>
            </w:r>
            <w:r>
              <w:rPr>
                <w:b/>
                <w:sz w:val="20"/>
              </w:rPr>
              <w:t xml:space="preserve"> </w:t>
            </w:r>
            <w:r>
              <w:rPr>
                <w:b/>
                <w:w w:val="99"/>
                <w:sz w:val="20"/>
              </w:rPr>
              <w:t>c</w:t>
            </w:r>
            <w:r>
              <w:rPr>
                <w:b/>
                <w:spacing w:val="1"/>
                <w:w w:val="99"/>
                <w:sz w:val="20"/>
              </w:rPr>
              <w:t>a</w:t>
            </w:r>
            <w:r>
              <w:rPr>
                <w:b/>
                <w:w w:val="99"/>
                <w:sz w:val="20"/>
              </w:rPr>
              <w:t>nteen,</w:t>
            </w:r>
            <w:r>
              <w:rPr>
                <w:b/>
                <w:sz w:val="20"/>
              </w:rPr>
              <w:t xml:space="preserve"> </w:t>
            </w:r>
            <w:r>
              <w:rPr>
                <w:b/>
                <w:w w:val="99"/>
                <w:sz w:val="20"/>
              </w:rPr>
              <w:t>e</w:t>
            </w:r>
            <w:r>
              <w:rPr>
                <w:b/>
                <w:spacing w:val="1"/>
                <w:w w:val="99"/>
                <w:sz w:val="20"/>
              </w:rPr>
              <w:t>t</w:t>
            </w:r>
            <w:r>
              <w:rPr>
                <w:b/>
                <w:w w:val="99"/>
                <w:sz w:val="20"/>
              </w:rPr>
              <w:t>c.)</w:t>
            </w:r>
          </w:p>
        </w:tc>
        <w:tc>
          <w:tcPr>
            <w:tcW w:w="540" w:type="dxa"/>
            <w:vMerge w:val="restart"/>
            <w:textDirection w:val="btLr"/>
          </w:tcPr>
          <w:p w:rsidR="00F3177F" w:rsidRDefault="0089671D">
            <w:pPr>
              <w:pStyle w:val="TableParagraph"/>
              <w:spacing w:before="29" w:line="244" w:lineRule="auto"/>
              <w:ind w:left="251" w:right="243" w:firstLine="98"/>
              <w:rPr>
                <w:b/>
                <w:sz w:val="20"/>
              </w:rPr>
            </w:pPr>
            <w:r>
              <w:rPr>
                <w:b/>
                <w:w w:val="99"/>
                <w:sz w:val="20"/>
              </w:rPr>
              <w:t>KWA</w:t>
            </w:r>
            <w:r>
              <w:rPr>
                <w:b/>
                <w:spacing w:val="1"/>
                <w:w w:val="99"/>
                <w:sz w:val="20"/>
              </w:rPr>
              <w:t>T</w:t>
            </w:r>
            <w:r>
              <w:rPr>
                <w:b/>
                <w:spacing w:val="-1"/>
                <w:w w:val="99"/>
                <w:sz w:val="20"/>
              </w:rPr>
              <w:t>T</w:t>
            </w:r>
            <w:r>
              <w:rPr>
                <w:b/>
                <w:w w:val="99"/>
                <w:sz w:val="20"/>
              </w:rPr>
              <w:t>S</w:t>
            </w:r>
            <w:r>
              <w:rPr>
                <w:b/>
                <w:spacing w:val="-1"/>
                <w:sz w:val="20"/>
              </w:rPr>
              <w:t xml:space="preserve"> </w:t>
            </w:r>
            <w:r>
              <w:rPr>
                <w:b/>
                <w:spacing w:val="1"/>
                <w:w w:val="99"/>
                <w:sz w:val="20"/>
              </w:rPr>
              <w:t>O</w:t>
            </w:r>
            <w:r>
              <w:rPr>
                <w:b/>
                <w:w w:val="99"/>
                <w:sz w:val="20"/>
              </w:rPr>
              <w:t xml:space="preserve">F </w:t>
            </w:r>
            <w:r>
              <w:rPr>
                <w:b/>
                <w:spacing w:val="-1"/>
                <w:w w:val="99"/>
                <w:sz w:val="20"/>
              </w:rPr>
              <w:t>E</w:t>
            </w:r>
            <w:r>
              <w:rPr>
                <w:b/>
                <w:spacing w:val="1"/>
                <w:w w:val="99"/>
                <w:sz w:val="20"/>
              </w:rPr>
              <w:t>L</w:t>
            </w:r>
            <w:r>
              <w:rPr>
                <w:b/>
                <w:spacing w:val="-1"/>
                <w:w w:val="99"/>
                <w:sz w:val="20"/>
              </w:rPr>
              <w:t>E</w:t>
            </w:r>
            <w:r>
              <w:rPr>
                <w:b/>
                <w:spacing w:val="2"/>
                <w:w w:val="99"/>
                <w:sz w:val="20"/>
              </w:rPr>
              <w:t>C</w:t>
            </w:r>
            <w:r>
              <w:rPr>
                <w:b/>
                <w:spacing w:val="-1"/>
                <w:w w:val="99"/>
                <w:sz w:val="20"/>
              </w:rPr>
              <w:t>T</w:t>
            </w:r>
            <w:r>
              <w:rPr>
                <w:b/>
                <w:w w:val="99"/>
                <w:sz w:val="20"/>
              </w:rPr>
              <w:t>RI</w:t>
            </w:r>
            <w:r>
              <w:rPr>
                <w:b/>
                <w:spacing w:val="1"/>
                <w:w w:val="99"/>
                <w:sz w:val="20"/>
              </w:rPr>
              <w:t>C</w:t>
            </w:r>
            <w:r>
              <w:rPr>
                <w:b/>
                <w:spacing w:val="-1"/>
                <w:w w:val="99"/>
                <w:sz w:val="20"/>
              </w:rPr>
              <w:t>I</w:t>
            </w:r>
            <w:r>
              <w:rPr>
                <w:b/>
                <w:spacing w:val="1"/>
                <w:w w:val="99"/>
                <w:sz w:val="20"/>
              </w:rPr>
              <w:t>T</w:t>
            </w:r>
            <w:r>
              <w:rPr>
                <w:b/>
                <w:w w:val="99"/>
                <w:sz w:val="20"/>
              </w:rPr>
              <w:t>Y</w:t>
            </w:r>
          </w:p>
        </w:tc>
        <w:tc>
          <w:tcPr>
            <w:tcW w:w="271" w:type="dxa"/>
            <w:vMerge w:val="restart"/>
            <w:textDirection w:val="btLr"/>
          </w:tcPr>
          <w:p w:rsidR="00F3177F" w:rsidRDefault="0089671D">
            <w:pPr>
              <w:pStyle w:val="TableParagraph"/>
              <w:spacing w:before="12"/>
              <w:ind w:left="213" w:right="3"/>
              <w:rPr>
                <w:b/>
                <w:sz w:val="20"/>
              </w:rPr>
            </w:pPr>
            <w:r>
              <w:rPr>
                <w:b/>
                <w:spacing w:val="-1"/>
                <w:w w:val="99"/>
                <w:sz w:val="20"/>
              </w:rPr>
              <w:t>L</w:t>
            </w:r>
            <w:r>
              <w:rPr>
                <w:b/>
                <w:spacing w:val="1"/>
                <w:w w:val="99"/>
                <w:sz w:val="20"/>
              </w:rPr>
              <w:t>I</w:t>
            </w:r>
            <w:r>
              <w:rPr>
                <w:b/>
                <w:spacing w:val="-1"/>
                <w:w w:val="99"/>
                <w:sz w:val="20"/>
              </w:rPr>
              <w:t>T</w:t>
            </w:r>
            <w:r>
              <w:rPr>
                <w:b/>
                <w:w w:val="99"/>
                <w:sz w:val="20"/>
              </w:rPr>
              <w:t>R</w:t>
            </w:r>
            <w:r>
              <w:rPr>
                <w:b/>
                <w:spacing w:val="1"/>
                <w:w w:val="99"/>
                <w:sz w:val="20"/>
              </w:rPr>
              <w:t>E</w:t>
            </w:r>
            <w:r>
              <w:rPr>
                <w:b/>
                <w:w w:val="99"/>
                <w:sz w:val="20"/>
              </w:rPr>
              <w:t>S</w:t>
            </w:r>
            <w:r>
              <w:rPr>
                <w:b/>
                <w:spacing w:val="-1"/>
                <w:sz w:val="20"/>
              </w:rPr>
              <w:t xml:space="preserve"> </w:t>
            </w:r>
            <w:r>
              <w:rPr>
                <w:b/>
                <w:spacing w:val="1"/>
                <w:w w:val="99"/>
                <w:sz w:val="20"/>
              </w:rPr>
              <w:t>O</w:t>
            </w:r>
            <w:r>
              <w:rPr>
                <w:b/>
                <w:w w:val="99"/>
                <w:sz w:val="20"/>
              </w:rPr>
              <w:t>F</w:t>
            </w:r>
            <w:r>
              <w:rPr>
                <w:b/>
                <w:sz w:val="20"/>
              </w:rPr>
              <w:t xml:space="preserve"> </w:t>
            </w:r>
            <w:r>
              <w:rPr>
                <w:b/>
                <w:w w:val="99"/>
                <w:sz w:val="20"/>
              </w:rPr>
              <w:t>O</w:t>
            </w:r>
            <w:r>
              <w:rPr>
                <w:b/>
                <w:spacing w:val="-1"/>
                <w:w w:val="99"/>
                <w:sz w:val="20"/>
              </w:rPr>
              <w:t>I</w:t>
            </w:r>
            <w:r>
              <w:rPr>
                <w:b/>
                <w:w w:val="99"/>
                <w:sz w:val="20"/>
              </w:rPr>
              <w:t>L</w:t>
            </w:r>
          </w:p>
        </w:tc>
        <w:tc>
          <w:tcPr>
            <w:tcW w:w="269" w:type="dxa"/>
            <w:vMerge w:val="restart"/>
            <w:textDirection w:val="btLr"/>
          </w:tcPr>
          <w:p w:rsidR="00F3177F" w:rsidRDefault="0089671D">
            <w:pPr>
              <w:pStyle w:val="TableParagraph"/>
              <w:spacing w:before="13"/>
              <w:ind w:left="415" w:right="3"/>
              <w:rPr>
                <w:b/>
                <w:sz w:val="20"/>
              </w:rPr>
            </w:pPr>
            <w:r>
              <w:rPr>
                <w:b/>
                <w:w w:val="99"/>
                <w:sz w:val="20"/>
              </w:rPr>
              <w:t>WOOD</w:t>
            </w:r>
            <w:r>
              <w:rPr>
                <w:b/>
                <w:sz w:val="20"/>
              </w:rPr>
              <w:t xml:space="preserve"> </w:t>
            </w:r>
            <w:r>
              <w:rPr>
                <w:b/>
                <w:w w:val="99"/>
                <w:sz w:val="20"/>
              </w:rPr>
              <w:t>(</w:t>
            </w:r>
            <w:r>
              <w:rPr>
                <w:b/>
                <w:spacing w:val="-1"/>
                <w:w w:val="99"/>
                <w:sz w:val="20"/>
              </w:rPr>
              <w:t>M</w:t>
            </w:r>
            <w:r>
              <w:rPr>
                <w:b/>
                <w:spacing w:val="1"/>
                <w:w w:val="99"/>
                <w:sz w:val="20"/>
              </w:rPr>
              <w:t>3</w:t>
            </w:r>
            <w:r>
              <w:rPr>
                <w:b/>
                <w:w w:val="99"/>
                <w:sz w:val="20"/>
              </w:rPr>
              <w:t>)</w:t>
            </w:r>
          </w:p>
        </w:tc>
        <w:tc>
          <w:tcPr>
            <w:tcW w:w="540" w:type="dxa"/>
            <w:vMerge w:val="restart"/>
            <w:textDirection w:val="btLr"/>
          </w:tcPr>
          <w:p w:rsidR="00F3177F" w:rsidRDefault="0089671D">
            <w:pPr>
              <w:pStyle w:val="TableParagraph"/>
              <w:spacing w:before="29"/>
              <w:ind w:left="190" w:right="192"/>
              <w:jc w:val="center"/>
              <w:rPr>
                <w:b/>
                <w:sz w:val="20"/>
              </w:rPr>
            </w:pPr>
            <w:r>
              <w:rPr>
                <w:b/>
                <w:w w:val="99"/>
                <w:sz w:val="20"/>
              </w:rPr>
              <w:t>AVERA</w:t>
            </w:r>
            <w:r>
              <w:rPr>
                <w:b/>
                <w:spacing w:val="3"/>
                <w:w w:val="99"/>
                <w:sz w:val="20"/>
              </w:rPr>
              <w:t>G</w:t>
            </w:r>
            <w:r>
              <w:rPr>
                <w:b/>
                <w:w w:val="99"/>
                <w:sz w:val="20"/>
              </w:rPr>
              <w:t>E</w:t>
            </w:r>
          </w:p>
          <w:p w:rsidR="00F3177F" w:rsidRDefault="0089671D">
            <w:pPr>
              <w:pStyle w:val="TableParagraph"/>
              <w:spacing w:before="5"/>
              <w:ind w:left="190" w:right="194"/>
              <w:jc w:val="center"/>
              <w:rPr>
                <w:b/>
                <w:sz w:val="20"/>
              </w:rPr>
            </w:pPr>
            <w:r>
              <w:rPr>
                <w:b/>
                <w:w w:val="99"/>
                <w:sz w:val="20"/>
              </w:rPr>
              <w:t>kW</w:t>
            </w:r>
            <w:r>
              <w:rPr>
                <w:b/>
                <w:spacing w:val="-1"/>
                <w:w w:val="99"/>
                <w:sz w:val="20"/>
              </w:rPr>
              <w:t>h</w:t>
            </w:r>
            <w:r>
              <w:rPr>
                <w:b/>
                <w:spacing w:val="2"/>
                <w:w w:val="99"/>
                <w:sz w:val="20"/>
              </w:rPr>
              <w:t>/</w:t>
            </w:r>
            <w:r>
              <w:rPr>
                <w:b/>
                <w:w w:val="99"/>
                <w:sz w:val="20"/>
              </w:rPr>
              <w:t>person/ye</w:t>
            </w:r>
            <w:r>
              <w:rPr>
                <w:b/>
                <w:spacing w:val="1"/>
                <w:w w:val="99"/>
                <w:sz w:val="20"/>
              </w:rPr>
              <w:t>a</w:t>
            </w:r>
            <w:r>
              <w:rPr>
                <w:b/>
                <w:w w:val="99"/>
                <w:sz w:val="20"/>
              </w:rPr>
              <w:t>r</w:t>
            </w:r>
          </w:p>
        </w:tc>
        <w:tc>
          <w:tcPr>
            <w:tcW w:w="540" w:type="dxa"/>
            <w:vMerge w:val="restart"/>
            <w:textDirection w:val="btLr"/>
          </w:tcPr>
          <w:p w:rsidR="00F3177F" w:rsidRDefault="0089671D">
            <w:pPr>
              <w:pStyle w:val="TableParagraph"/>
              <w:spacing w:before="29"/>
              <w:ind w:left="453" w:right="3"/>
              <w:rPr>
                <w:b/>
                <w:sz w:val="20"/>
              </w:rPr>
            </w:pPr>
            <w:r>
              <w:rPr>
                <w:b/>
                <w:w w:val="99"/>
                <w:sz w:val="20"/>
              </w:rPr>
              <w:t>AVERA</w:t>
            </w:r>
            <w:r>
              <w:rPr>
                <w:b/>
                <w:spacing w:val="3"/>
                <w:w w:val="99"/>
                <w:sz w:val="20"/>
              </w:rPr>
              <w:t>G</w:t>
            </w:r>
            <w:r>
              <w:rPr>
                <w:b/>
                <w:w w:val="99"/>
                <w:sz w:val="20"/>
              </w:rPr>
              <w:t>E</w:t>
            </w:r>
          </w:p>
          <w:p w:rsidR="00F3177F" w:rsidRDefault="0089671D">
            <w:pPr>
              <w:pStyle w:val="TableParagraph"/>
              <w:spacing w:before="5"/>
              <w:ind w:left="364" w:right="3"/>
              <w:rPr>
                <w:b/>
                <w:sz w:val="20"/>
              </w:rPr>
            </w:pPr>
            <w:r>
              <w:rPr>
                <w:b/>
                <w:w w:val="99"/>
                <w:sz w:val="20"/>
              </w:rPr>
              <w:t>kW</w:t>
            </w:r>
            <w:r>
              <w:rPr>
                <w:b/>
                <w:spacing w:val="-1"/>
                <w:w w:val="99"/>
                <w:sz w:val="20"/>
              </w:rPr>
              <w:t>h</w:t>
            </w:r>
            <w:r>
              <w:rPr>
                <w:b/>
                <w:spacing w:val="2"/>
                <w:w w:val="99"/>
                <w:sz w:val="20"/>
              </w:rPr>
              <w:t>/</w:t>
            </w:r>
            <w:r>
              <w:rPr>
                <w:b/>
                <w:w w:val="99"/>
                <w:sz w:val="20"/>
              </w:rPr>
              <w:t>m2/ye</w:t>
            </w:r>
            <w:r>
              <w:rPr>
                <w:b/>
                <w:spacing w:val="1"/>
                <w:w w:val="99"/>
                <w:sz w:val="20"/>
              </w:rPr>
              <w:t>a</w:t>
            </w:r>
            <w:r>
              <w:rPr>
                <w:b/>
                <w:w w:val="99"/>
                <w:sz w:val="20"/>
              </w:rPr>
              <w:t>r</w:t>
            </w:r>
          </w:p>
        </w:tc>
        <w:tc>
          <w:tcPr>
            <w:tcW w:w="540" w:type="dxa"/>
            <w:vMerge w:val="restart"/>
            <w:textDirection w:val="btLr"/>
          </w:tcPr>
          <w:p w:rsidR="00F3177F" w:rsidRDefault="0089671D">
            <w:pPr>
              <w:pStyle w:val="TableParagraph"/>
              <w:spacing w:before="29"/>
              <w:ind w:left="453" w:right="3"/>
              <w:rPr>
                <w:b/>
                <w:sz w:val="20"/>
              </w:rPr>
            </w:pPr>
            <w:r>
              <w:rPr>
                <w:b/>
                <w:w w:val="99"/>
                <w:sz w:val="20"/>
              </w:rPr>
              <w:t>AVERA</w:t>
            </w:r>
            <w:r>
              <w:rPr>
                <w:b/>
                <w:spacing w:val="3"/>
                <w:w w:val="99"/>
                <w:sz w:val="20"/>
              </w:rPr>
              <w:t>G</w:t>
            </w:r>
            <w:r>
              <w:rPr>
                <w:b/>
                <w:w w:val="99"/>
                <w:sz w:val="20"/>
              </w:rPr>
              <w:t>E</w:t>
            </w:r>
          </w:p>
          <w:p w:rsidR="00F3177F" w:rsidRDefault="0089671D">
            <w:pPr>
              <w:pStyle w:val="TableParagraph"/>
              <w:spacing w:before="5"/>
              <w:ind w:left="374" w:right="3"/>
              <w:rPr>
                <w:b/>
                <w:sz w:val="20"/>
              </w:rPr>
            </w:pPr>
            <w:r>
              <w:rPr>
                <w:b/>
                <w:w w:val="99"/>
                <w:sz w:val="20"/>
              </w:rPr>
              <w:t>C</w:t>
            </w:r>
            <w:r>
              <w:rPr>
                <w:b/>
                <w:spacing w:val="1"/>
                <w:w w:val="99"/>
                <w:sz w:val="20"/>
              </w:rPr>
              <w:t>O2</w:t>
            </w:r>
            <w:r>
              <w:rPr>
                <w:b/>
                <w:w w:val="99"/>
                <w:sz w:val="20"/>
              </w:rPr>
              <w:t>/m2/ye</w:t>
            </w:r>
            <w:r>
              <w:rPr>
                <w:b/>
                <w:spacing w:val="1"/>
                <w:w w:val="99"/>
                <w:sz w:val="20"/>
              </w:rPr>
              <w:t>a</w:t>
            </w:r>
            <w:r>
              <w:rPr>
                <w:b/>
                <w:w w:val="99"/>
                <w:sz w:val="20"/>
              </w:rPr>
              <w:t>r</w:t>
            </w:r>
          </w:p>
        </w:tc>
      </w:tr>
      <w:tr w:rsidR="00F3177F">
        <w:trPr>
          <w:trHeight w:hRule="exact" w:val="1392"/>
        </w:trPr>
        <w:tc>
          <w:tcPr>
            <w:tcW w:w="271" w:type="dxa"/>
            <w:vMerge/>
            <w:textDirection w:val="btLr"/>
          </w:tcPr>
          <w:p w:rsidR="00F3177F" w:rsidRDefault="00F3177F"/>
        </w:tc>
        <w:tc>
          <w:tcPr>
            <w:tcW w:w="360" w:type="dxa"/>
            <w:vMerge/>
            <w:textDirection w:val="btLr"/>
          </w:tcPr>
          <w:p w:rsidR="00F3177F" w:rsidRDefault="00F3177F"/>
        </w:tc>
        <w:tc>
          <w:tcPr>
            <w:tcW w:w="540" w:type="dxa"/>
            <w:textDirection w:val="btLr"/>
          </w:tcPr>
          <w:p w:rsidR="00F3177F" w:rsidRDefault="0089671D">
            <w:pPr>
              <w:pStyle w:val="TableParagraph"/>
              <w:spacing w:before="147"/>
              <w:ind w:left="184"/>
              <w:rPr>
                <w:b/>
                <w:sz w:val="20"/>
              </w:rPr>
            </w:pPr>
            <w:r>
              <w:rPr>
                <w:b/>
                <w:spacing w:val="-1"/>
                <w:w w:val="99"/>
                <w:sz w:val="20"/>
              </w:rPr>
              <w:t>M</w:t>
            </w:r>
            <w:r>
              <w:rPr>
                <w:b/>
                <w:w w:val="99"/>
                <w:sz w:val="20"/>
              </w:rPr>
              <w:t>ORNING</w:t>
            </w:r>
          </w:p>
        </w:tc>
        <w:tc>
          <w:tcPr>
            <w:tcW w:w="541" w:type="dxa"/>
            <w:textDirection w:val="btLr"/>
          </w:tcPr>
          <w:p w:rsidR="00F3177F" w:rsidRDefault="0089671D">
            <w:pPr>
              <w:pStyle w:val="TableParagraph"/>
              <w:spacing w:before="147"/>
              <w:ind w:left="50"/>
              <w:rPr>
                <w:b/>
                <w:sz w:val="20"/>
              </w:rPr>
            </w:pPr>
            <w:r>
              <w:rPr>
                <w:b/>
                <w:w w:val="99"/>
                <w:sz w:val="20"/>
              </w:rPr>
              <w:t>AF</w:t>
            </w:r>
            <w:r>
              <w:rPr>
                <w:b/>
                <w:spacing w:val="-1"/>
                <w:w w:val="99"/>
                <w:sz w:val="20"/>
              </w:rPr>
              <w:t>TE</w:t>
            </w:r>
            <w:r>
              <w:rPr>
                <w:b/>
                <w:spacing w:val="2"/>
                <w:w w:val="99"/>
                <w:sz w:val="20"/>
              </w:rPr>
              <w:t>R</w:t>
            </w:r>
            <w:r>
              <w:rPr>
                <w:b/>
                <w:w w:val="99"/>
                <w:sz w:val="20"/>
              </w:rPr>
              <w:t>N</w:t>
            </w:r>
            <w:r>
              <w:rPr>
                <w:b/>
                <w:spacing w:val="1"/>
                <w:w w:val="99"/>
                <w:sz w:val="20"/>
              </w:rPr>
              <w:t>O</w:t>
            </w:r>
            <w:r>
              <w:rPr>
                <w:b/>
                <w:w w:val="99"/>
                <w:sz w:val="20"/>
              </w:rPr>
              <w:t>ON</w:t>
            </w:r>
          </w:p>
        </w:tc>
        <w:tc>
          <w:tcPr>
            <w:tcW w:w="269"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c>
          <w:tcPr>
            <w:tcW w:w="360" w:type="dxa"/>
            <w:vMerge/>
            <w:textDirection w:val="btLr"/>
          </w:tcPr>
          <w:p w:rsidR="00F3177F" w:rsidRDefault="00F3177F"/>
        </w:tc>
        <w:tc>
          <w:tcPr>
            <w:tcW w:w="478" w:type="dxa"/>
            <w:vMerge/>
            <w:tcBorders>
              <w:right w:val="single" w:sz="0" w:space="0" w:color="FFFFFF"/>
            </w:tcBorders>
            <w:textDirection w:val="btLr"/>
          </w:tcPr>
          <w:p w:rsidR="00F3177F" w:rsidRDefault="00F3177F"/>
        </w:tc>
        <w:tc>
          <w:tcPr>
            <w:tcW w:w="242" w:type="dxa"/>
            <w:vMerge/>
            <w:tcBorders>
              <w:left w:val="single" w:sz="0" w:space="0" w:color="FFFFFF"/>
            </w:tcBorders>
            <w:textDirection w:val="btLr"/>
          </w:tcPr>
          <w:p w:rsidR="00F3177F" w:rsidRDefault="00F3177F"/>
        </w:tc>
        <w:tc>
          <w:tcPr>
            <w:tcW w:w="540" w:type="dxa"/>
            <w:vMerge/>
            <w:textDirection w:val="btLr"/>
          </w:tcPr>
          <w:p w:rsidR="00F3177F" w:rsidRDefault="00F3177F"/>
        </w:tc>
        <w:tc>
          <w:tcPr>
            <w:tcW w:w="271" w:type="dxa"/>
            <w:vMerge/>
            <w:textDirection w:val="btLr"/>
          </w:tcPr>
          <w:p w:rsidR="00F3177F" w:rsidRDefault="00F3177F"/>
        </w:tc>
        <w:tc>
          <w:tcPr>
            <w:tcW w:w="269"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c>
          <w:tcPr>
            <w:tcW w:w="540" w:type="dxa"/>
            <w:vMerge/>
            <w:textDirection w:val="btLr"/>
          </w:tcPr>
          <w:p w:rsidR="00F3177F" w:rsidRDefault="00F3177F"/>
        </w:tc>
      </w:tr>
      <w:tr w:rsidR="00F3177F">
        <w:trPr>
          <w:trHeight w:hRule="exact" w:val="1044"/>
        </w:trPr>
        <w:tc>
          <w:tcPr>
            <w:tcW w:w="271" w:type="dxa"/>
            <w:textDirection w:val="btLr"/>
          </w:tcPr>
          <w:p w:rsidR="00F3177F" w:rsidRDefault="0089671D">
            <w:pPr>
              <w:pStyle w:val="TableParagraph"/>
              <w:spacing w:before="12"/>
              <w:ind w:left="199"/>
              <w:rPr>
                <w:b/>
                <w:sz w:val="20"/>
              </w:rPr>
            </w:pPr>
            <w:r>
              <w:rPr>
                <w:b/>
                <w:w w:val="99"/>
                <w:sz w:val="20"/>
              </w:rPr>
              <w:t>Sam</w:t>
            </w:r>
            <w:r>
              <w:rPr>
                <w:b/>
                <w:spacing w:val="-1"/>
                <w:w w:val="99"/>
                <w:sz w:val="20"/>
              </w:rPr>
              <w:t>p</w:t>
            </w:r>
            <w:r>
              <w:rPr>
                <w:b/>
                <w:w w:val="99"/>
                <w:sz w:val="20"/>
              </w:rPr>
              <w:t>le</w:t>
            </w:r>
          </w:p>
        </w:tc>
        <w:tc>
          <w:tcPr>
            <w:tcW w:w="360" w:type="dxa"/>
            <w:textDirection w:val="btLr"/>
          </w:tcPr>
          <w:p w:rsidR="00F3177F" w:rsidRDefault="0089671D">
            <w:pPr>
              <w:pStyle w:val="TableParagraph"/>
              <w:spacing w:before="55"/>
              <w:ind w:left="155"/>
              <w:rPr>
                <w:b/>
                <w:sz w:val="20"/>
              </w:rPr>
            </w:pPr>
            <w:r>
              <w:rPr>
                <w:b/>
                <w:w w:val="99"/>
                <w:sz w:val="20"/>
              </w:rPr>
              <w:t>Primary</w:t>
            </w:r>
          </w:p>
        </w:tc>
        <w:tc>
          <w:tcPr>
            <w:tcW w:w="540" w:type="dxa"/>
            <w:textDirection w:val="btLr"/>
          </w:tcPr>
          <w:p w:rsidR="00F3177F" w:rsidRDefault="0089671D">
            <w:pPr>
              <w:pStyle w:val="TableParagraph"/>
              <w:spacing w:before="147"/>
              <w:ind w:left="341" w:right="343"/>
              <w:jc w:val="center"/>
              <w:rPr>
                <w:b/>
                <w:sz w:val="20"/>
              </w:rPr>
            </w:pPr>
            <w:r>
              <w:rPr>
                <w:b/>
                <w:w w:val="99"/>
                <w:sz w:val="20"/>
              </w:rPr>
              <w:t>Yes</w:t>
            </w:r>
          </w:p>
        </w:tc>
        <w:tc>
          <w:tcPr>
            <w:tcW w:w="541" w:type="dxa"/>
            <w:textDirection w:val="btLr"/>
          </w:tcPr>
          <w:p w:rsidR="00F3177F" w:rsidRDefault="0089671D">
            <w:pPr>
              <w:pStyle w:val="TableParagraph"/>
              <w:spacing w:before="147"/>
              <w:ind w:left="341" w:right="343"/>
              <w:jc w:val="center"/>
              <w:rPr>
                <w:b/>
                <w:sz w:val="20"/>
              </w:rPr>
            </w:pPr>
            <w:r>
              <w:rPr>
                <w:b/>
                <w:w w:val="99"/>
                <w:sz w:val="20"/>
              </w:rPr>
              <w:t>Yes</w:t>
            </w:r>
          </w:p>
        </w:tc>
        <w:tc>
          <w:tcPr>
            <w:tcW w:w="269" w:type="dxa"/>
            <w:textDirection w:val="btLr"/>
          </w:tcPr>
          <w:p w:rsidR="00F3177F" w:rsidRDefault="0089671D">
            <w:pPr>
              <w:pStyle w:val="TableParagraph"/>
              <w:spacing w:before="12"/>
              <w:ind w:left="316"/>
              <w:rPr>
                <w:b/>
                <w:sz w:val="20"/>
              </w:rPr>
            </w:pPr>
            <w:r>
              <w:rPr>
                <w:b/>
                <w:spacing w:val="1"/>
                <w:w w:val="99"/>
                <w:sz w:val="20"/>
              </w:rPr>
              <w:t>2010</w:t>
            </w:r>
          </w:p>
        </w:tc>
        <w:tc>
          <w:tcPr>
            <w:tcW w:w="540" w:type="dxa"/>
            <w:textDirection w:val="btLr"/>
          </w:tcPr>
          <w:p w:rsidR="00F3177F" w:rsidRDefault="0089671D">
            <w:pPr>
              <w:pStyle w:val="TableParagraph"/>
              <w:spacing w:before="147"/>
              <w:ind w:right="1"/>
              <w:jc w:val="center"/>
              <w:rPr>
                <w:b/>
                <w:sz w:val="20"/>
              </w:rPr>
            </w:pPr>
            <w:r>
              <w:rPr>
                <w:b/>
                <w:w w:val="99"/>
                <w:sz w:val="20"/>
              </w:rPr>
              <w:t>1</w:t>
            </w:r>
          </w:p>
        </w:tc>
        <w:tc>
          <w:tcPr>
            <w:tcW w:w="540" w:type="dxa"/>
            <w:textDirection w:val="btLr"/>
          </w:tcPr>
          <w:p w:rsidR="00F3177F" w:rsidRDefault="0089671D">
            <w:pPr>
              <w:pStyle w:val="TableParagraph"/>
              <w:spacing w:before="147"/>
              <w:ind w:right="1"/>
              <w:jc w:val="center"/>
              <w:rPr>
                <w:b/>
                <w:sz w:val="20"/>
              </w:rPr>
            </w:pPr>
            <w:r>
              <w:rPr>
                <w:b/>
                <w:w w:val="99"/>
                <w:sz w:val="20"/>
              </w:rPr>
              <w:t>3</w:t>
            </w:r>
          </w:p>
        </w:tc>
        <w:tc>
          <w:tcPr>
            <w:tcW w:w="540" w:type="dxa"/>
            <w:textDirection w:val="btLr"/>
          </w:tcPr>
          <w:p w:rsidR="00F3177F" w:rsidRDefault="0089671D">
            <w:pPr>
              <w:pStyle w:val="TableParagraph"/>
              <w:spacing w:before="147"/>
              <w:ind w:left="341" w:right="339"/>
              <w:jc w:val="center"/>
              <w:rPr>
                <w:b/>
                <w:sz w:val="20"/>
              </w:rPr>
            </w:pPr>
            <w:r>
              <w:rPr>
                <w:b/>
                <w:spacing w:val="1"/>
                <w:w w:val="99"/>
                <w:sz w:val="20"/>
              </w:rPr>
              <w:t>651</w:t>
            </w:r>
          </w:p>
        </w:tc>
        <w:tc>
          <w:tcPr>
            <w:tcW w:w="540" w:type="dxa"/>
            <w:textDirection w:val="btLr"/>
          </w:tcPr>
          <w:p w:rsidR="00F3177F" w:rsidRDefault="0089671D">
            <w:pPr>
              <w:pStyle w:val="TableParagraph"/>
              <w:spacing w:before="147"/>
              <w:ind w:left="316"/>
              <w:rPr>
                <w:b/>
                <w:sz w:val="20"/>
              </w:rPr>
            </w:pPr>
            <w:r>
              <w:rPr>
                <w:b/>
                <w:spacing w:val="1"/>
                <w:w w:val="99"/>
                <w:sz w:val="20"/>
              </w:rPr>
              <w:t>2294</w:t>
            </w:r>
          </w:p>
        </w:tc>
        <w:tc>
          <w:tcPr>
            <w:tcW w:w="540" w:type="dxa"/>
            <w:textDirection w:val="btLr"/>
          </w:tcPr>
          <w:p w:rsidR="00F3177F" w:rsidRDefault="0089671D">
            <w:pPr>
              <w:pStyle w:val="TableParagraph"/>
              <w:spacing w:before="104"/>
              <w:ind w:left="340"/>
              <w:rPr>
                <w:b/>
                <w:sz w:val="20"/>
              </w:rPr>
            </w:pPr>
            <w:r>
              <w:rPr>
                <w:b/>
                <w:spacing w:val="1"/>
                <w:w w:val="99"/>
                <w:sz w:val="20"/>
              </w:rPr>
              <w:t>0</w:t>
            </w:r>
            <w:r>
              <w:rPr>
                <w:b/>
                <w:w w:val="99"/>
                <w:sz w:val="20"/>
              </w:rPr>
              <w:t>.</w:t>
            </w:r>
            <w:r>
              <w:rPr>
                <w:b/>
                <w:spacing w:val="1"/>
                <w:w w:val="99"/>
                <w:sz w:val="20"/>
              </w:rPr>
              <w:t>0</w:t>
            </w:r>
            <w:r>
              <w:rPr>
                <w:b/>
                <w:w w:val="99"/>
                <w:sz w:val="20"/>
              </w:rPr>
              <w:t>9</w:t>
            </w:r>
          </w:p>
        </w:tc>
        <w:tc>
          <w:tcPr>
            <w:tcW w:w="360" w:type="dxa"/>
            <w:textDirection w:val="btLr"/>
          </w:tcPr>
          <w:p w:rsidR="00F3177F" w:rsidRDefault="0089671D">
            <w:pPr>
              <w:pStyle w:val="TableParagraph"/>
              <w:spacing w:before="58"/>
              <w:ind w:left="341" w:right="342"/>
              <w:jc w:val="center"/>
              <w:rPr>
                <w:b/>
                <w:sz w:val="20"/>
              </w:rPr>
            </w:pPr>
            <w:r>
              <w:rPr>
                <w:b/>
                <w:spacing w:val="1"/>
                <w:w w:val="99"/>
                <w:sz w:val="20"/>
              </w:rPr>
              <w:t>3</w:t>
            </w:r>
            <w:r>
              <w:rPr>
                <w:b/>
                <w:w w:val="99"/>
                <w:sz w:val="20"/>
              </w:rPr>
              <w:t>.5</w:t>
            </w:r>
          </w:p>
        </w:tc>
        <w:tc>
          <w:tcPr>
            <w:tcW w:w="720" w:type="dxa"/>
            <w:gridSpan w:val="2"/>
            <w:textDirection w:val="btLr"/>
          </w:tcPr>
          <w:p w:rsidR="00F3177F" w:rsidRDefault="00F3177F">
            <w:pPr>
              <w:pStyle w:val="TableParagraph"/>
              <w:spacing w:before="8"/>
              <w:rPr>
                <w:sz w:val="20"/>
              </w:rPr>
            </w:pPr>
          </w:p>
          <w:p w:rsidR="00F3177F" w:rsidRDefault="0089671D">
            <w:pPr>
              <w:pStyle w:val="TableParagraph"/>
              <w:ind w:left="341" w:right="339"/>
              <w:jc w:val="center"/>
              <w:rPr>
                <w:b/>
                <w:sz w:val="20"/>
              </w:rPr>
            </w:pPr>
            <w:r>
              <w:rPr>
                <w:b/>
                <w:spacing w:val="1"/>
                <w:w w:val="99"/>
                <w:sz w:val="20"/>
              </w:rPr>
              <w:t>550</w:t>
            </w:r>
          </w:p>
        </w:tc>
        <w:tc>
          <w:tcPr>
            <w:tcW w:w="540" w:type="dxa"/>
            <w:textDirection w:val="btLr"/>
          </w:tcPr>
          <w:p w:rsidR="00F3177F" w:rsidRDefault="0089671D">
            <w:pPr>
              <w:pStyle w:val="TableParagraph"/>
              <w:spacing w:before="147"/>
              <w:ind w:left="191"/>
              <w:rPr>
                <w:b/>
                <w:sz w:val="20"/>
              </w:rPr>
            </w:pPr>
            <w:r>
              <w:rPr>
                <w:b/>
                <w:spacing w:val="1"/>
                <w:w w:val="99"/>
                <w:sz w:val="20"/>
              </w:rPr>
              <w:t>412</w:t>
            </w:r>
            <w:r>
              <w:rPr>
                <w:b/>
                <w:spacing w:val="-2"/>
                <w:w w:val="99"/>
                <w:sz w:val="20"/>
              </w:rPr>
              <w:t>9</w:t>
            </w:r>
            <w:r>
              <w:rPr>
                <w:b/>
                <w:spacing w:val="1"/>
                <w:w w:val="99"/>
                <w:sz w:val="20"/>
              </w:rPr>
              <w:t>0</w:t>
            </w:r>
            <w:r>
              <w:rPr>
                <w:b/>
                <w:w w:val="99"/>
                <w:sz w:val="20"/>
              </w:rPr>
              <w:t>.2</w:t>
            </w:r>
          </w:p>
        </w:tc>
        <w:tc>
          <w:tcPr>
            <w:tcW w:w="271" w:type="dxa"/>
            <w:textDirection w:val="btLr"/>
          </w:tcPr>
          <w:p w:rsidR="00F3177F" w:rsidRDefault="0089671D">
            <w:pPr>
              <w:pStyle w:val="TableParagraph"/>
              <w:spacing w:before="12"/>
              <w:ind w:left="316"/>
              <w:rPr>
                <w:b/>
                <w:sz w:val="20"/>
              </w:rPr>
            </w:pPr>
            <w:r>
              <w:rPr>
                <w:b/>
                <w:spacing w:val="1"/>
                <w:w w:val="99"/>
                <w:sz w:val="20"/>
              </w:rPr>
              <w:t>5000</w:t>
            </w:r>
          </w:p>
        </w:tc>
        <w:tc>
          <w:tcPr>
            <w:tcW w:w="269" w:type="dxa"/>
            <w:textDirection w:val="btLr"/>
          </w:tcPr>
          <w:p w:rsidR="00F3177F" w:rsidRDefault="0089671D">
            <w:pPr>
              <w:pStyle w:val="TableParagraph"/>
              <w:spacing w:before="13"/>
              <w:ind w:right="1"/>
              <w:jc w:val="center"/>
              <w:rPr>
                <w:b/>
                <w:sz w:val="20"/>
              </w:rPr>
            </w:pPr>
            <w:r>
              <w:rPr>
                <w:b/>
                <w:w w:val="99"/>
                <w:sz w:val="20"/>
              </w:rPr>
              <w:t>0</w:t>
            </w:r>
          </w:p>
        </w:tc>
        <w:tc>
          <w:tcPr>
            <w:tcW w:w="540" w:type="dxa"/>
            <w:textDirection w:val="btLr"/>
          </w:tcPr>
          <w:p w:rsidR="00F3177F" w:rsidRDefault="0089671D">
            <w:pPr>
              <w:pStyle w:val="TableParagraph"/>
              <w:spacing w:before="147"/>
              <w:ind w:left="290"/>
              <w:rPr>
                <w:b/>
                <w:sz w:val="20"/>
              </w:rPr>
            </w:pPr>
            <w:r>
              <w:rPr>
                <w:b/>
                <w:spacing w:val="1"/>
                <w:w w:val="99"/>
                <w:sz w:val="20"/>
              </w:rPr>
              <w:t>146</w:t>
            </w:r>
            <w:r>
              <w:rPr>
                <w:b/>
                <w:w w:val="99"/>
                <w:sz w:val="20"/>
              </w:rPr>
              <w:t>.2</w:t>
            </w:r>
          </w:p>
        </w:tc>
        <w:tc>
          <w:tcPr>
            <w:tcW w:w="540" w:type="dxa"/>
            <w:textDirection w:val="btLr"/>
          </w:tcPr>
          <w:p w:rsidR="00F3177F" w:rsidRDefault="0089671D">
            <w:pPr>
              <w:pStyle w:val="TableParagraph"/>
              <w:spacing w:before="147"/>
              <w:ind w:left="340"/>
              <w:rPr>
                <w:b/>
                <w:sz w:val="20"/>
              </w:rPr>
            </w:pPr>
            <w:r>
              <w:rPr>
                <w:b/>
                <w:spacing w:val="1"/>
                <w:w w:val="99"/>
                <w:sz w:val="20"/>
              </w:rPr>
              <w:t>13</w:t>
            </w:r>
            <w:r>
              <w:rPr>
                <w:b/>
                <w:w w:val="99"/>
                <w:sz w:val="20"/>
              </w:rPr>
              <w:t>.8</w:t>
            </w:r>
          </w:p>
        </w:tc>
        <w:tc>
          <w:tcPr>
            <w:tcW w:w="540" w:type="dxa"/>
            <w:textDirection w:val="btLr"/>
          </w:tcPr>
          <w:p w:rsidR="00F3177F" w:rsidRDefault="0089671D">
            <w:pPr>
              <w:pStyle w:val="TableParagraph"/>
              <w:spacing w:before="147"/>
              <w:ind w:left="341" w:right="342"/>
              <w:jc w:val="center"/>
              <w:rPr>
                <w:b/>
                <w:sz w:val="20"/>
              </w:rPr>
            </w:pPr>
            <w:r>
              <w:rPr>
                <w:b/>
                <w:spacing w:val="1"/>
                <w:w w:val="99"/>
                <w:sz w:val="20"/>
              </w:rPr>
              <w:t>5</w:t>
            </w:r>
            <w:r>
              <w:rPr>
                <w:b/>
                <w:w w:val="99"/>
                <w:sz w:val="20"/>
              </w:rPr>
              <w:t>.3</w:t>
            </w:r>
          </w:p>
        </w:tc>
      </w:tr>
    </w:tbl>
    <w:p w:rsidR="00F3177F" w:rsidRDefault="00F3177F">
      <w:pPr>
        <w:pStyle w:val="BodyText"/>
        <w:spacing w:before="5"/>
        <w:rPr>
          <w:sz w:val="29"/>
        </w:rPr>
      </w:pPr>
    </w:p>
    <w:p w:rsidR="00F3177F" w:rsidRDefault="0089671D">
      <w:pPr>
        <w:pStyle w:val="BodyText"/>
        <w:spacing w:before="69" w:line="360" w:lineRule="auto"/>
        <w:ind w:left="584" w:right="115"/>
        <w:jc w:val="both"/>
      </w:pPr>
      <w:r>
        <w:t>For the second stage, a students’ comfort survey by the "Örebro model" and the MM questionnaire built by Örebro University Hospital in Sweden (Anderson, 1993) was</w:t>
      </w:r>
      <w:r w:rsidR="0035743A">
        <w:t xml:space="preserve"> </w:t>
      </w:r>
      <w:r>
        <w:t xml:space="preserve">used as an instrument to evaluate and compare students’ comfort levels in their classrooms. The MM 060 SP1 questionnaire used for students was refined with the help of the method developed by Jerkø et al. in 2006.  </w:t>
      </w:r>
      <w:r>
        <w:rPr>
          <w:spacing w:val="-3"/>
        </w:rPr>
        <w:t xml:space="preserve">It </w:t>
      </w:r>
      <w:r>
        <w:t xml:space="preserve">is based on Örebro model as </w:t>
      </w:r>
      <w:proofErr w:type="gramStart"/>
      <w:r>
        <w:t>well  but</w:t>
      </w:r>
      <w:proofErr w:type="gramEnd"/>
      <w:r>
        <w:t xml:space="preserve"> a simplified version for</w:t>
      </w:r>
      <w:r>
        <w:rPr>
          <w:spacing w:val="-6"/>
        </w:rPr>
        <w:t xml:space="preserve"> </w:t>
      </w:r>
      <w:r>
        <w:t>students.</w:t>
      </w:r>
    </w:p>
    <w:p w:rsidR="00F3177F" w:rsidRDefault="00F3177F">
      <w:pPr>
        <w:pStyle w:val="BodyText"/>
      </w:pPr>
    </w:p>
    <w:p w:rsidR="00F3177F" w:rsidRDefault="0089671D">
      <w:pPr>
        <w:pStyle w:val="BodyText"/>
        <w:spacing w:before="143" w:line="360" w:lineRule="auto"/>
        <w:ind w:left="584" w:right="113"/>
        <w:jc w:val="both"/>
      </w:pPr>
      <w:r>
        <w:t xml:space="preserve">The questionnaire consists of 46 questions including 35 questions directly related to school including two questions about students’ location in the classroom and one question for the number of the lesson that students have already had. There are 12 questions about students’ health (How are you today?), 19 questions about their well- being (What is it like in the classroom today?), 5 questions about other conditions such as ‘Have you eaten anything today?’ and </w:t>
      </w:r>
      <w:proofErr w:type="gramStart"/>
      <w:r>
        <w:t>‘ Do</w:t>
      </w:r>
      <w:proofErr w:type="gramEnd"/>
      <w:r>
        <w:t xml:space="preserve"> you have asthma?’, 6 questions about home conditions in a two-level Likert format, and one environment evaluation survey question with four options. The results of the questions under the category “Home conditions” and “Other conditions” were neither stated nor commented in the dissertation, although calculated, since they are not directly related to conditions in schools.</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Heading2"/>
        <w:numPr>
          <w:ilvl w:val="1"/>
          <w:numId w:val="26"/>
        </w:numPr>
        <w:tabs>
          <w:tab w:val="left" w:pos="1065"/>
        </w:tabs>
        <w:spacing w:before="39"/>
        <w:jc w:val="both"/>
      </w:pPr>
      <w:r>
        <w:lastRenderedPageBreak/>
        <w:t>Data-Collection</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584" w:right="116"/>
        <w:jc w:val="both"/>
      </w:pPr>
      <w:r>
        <w:t>For the first stage of the research, data were collected through institutional contact. Ziyaddin Gashi, an advisor on education and a retired official inspector, was assigned to act as the institutional contact. Table 6 in Instrument section was sent to the Directory of Education in PCM via email and received in the same manner with all the required information for the first stage along with the information of the six schools about their building transparencies and compactness for the second stage of the thesis research as sampling</w:t>
      </w:r>
      <w:r>
        <w:rPr>
          <w:spacing w:val="-5"/>
        </w:rPr>
        <w:t xml:space="preserve"> </w:t>
      </w:r>
      <w:r>
        <w:t>criteria.</w:t>
      </w:r>
    </w:p>
    <w:p w:rsidR="00F3177F" w:rsidRDefault="00F3177F">
      <w:pPr>
        <w:pStyle w:val="BodyText"/>
      </w:pPr>
    </w:p>
    <w:p w:rsidR="00F3177F" w:rsidRDefault="0089671D">
      <w:pPr>
        <w:pStyle w:val="BodyText"/>
        <w:spacing w:before="143" w:line="360" w:lineRule="auto"/>
        <w:ind w:left="584" w:right="115"/>
        <w:jc w:val="both"/>
      </w:pPr>
      <w:r>
        <w:t xml:space="preserve">For the second stage of the research, through the same institutional contact, the school headmasters were informed about the research and asked permission to visit their schools to deliver and collect the survey. All the directors welcomed the request without any further requirement. 1000 copies of the questionnaire were printed as the total number of the target participants was 800 with an aimed sample size of 700 students.  All the six schools, three schools with the minimum annual energy consumption per student and three schools with the maximum annual energy consumption per student, were visited by the researcher and his colleagues as instructors together in the last week of April 2015. All the instructors who helped the researcher during the application were Albanian who also spoke English well. The purpose of the survey and instructions were explained to the headmasters once more and they themselves, if vice-principles </w:t>
      </w:r>
      <w:proofErr w:type="gramStart"/>
      <w:r>
        <w:t>were  not</w:t>
      </w:r>
      <w:proofErr w:type="gramEnd"/>
      <w:r>
        <w:t xml:space="preserve"> available, were asked to accompany the researchers and the instructors to make students be more aware of the seriousness of the application. Classes were visited </w:t>
      </w:r>
      <w:proofErr w:type="gramStart"/>
      <w:r>
        <w:t>one  by</w:t>
      </w:r>
      <w:proofErr w:type="gramEnd"/>
      <w:r>
        <w:t xml:space="preserve"> one with at least two instructors. The purpose, importance and instructions were explained to the students in their own language. Students were also informed that the questionnaire did not require their identity, the information collected through the questionnaire would be confidential and would only be used for the research purposes. The first three questions of the questionnaire do not require personal ideas or feelings as they ask students about their location in their classrooms and the number of the   lessons</w:t>
      </w:r>
    </w:p>
    <w:p w:rsidR="00F3177F" w:rsidRDefault="00F3177F">
      <w:pPr>
        <w:spacing w:line="360" w:lineRule="auto"/>
        <w:jc w:val="both"/>
        <w:sectPr w:rsidR="00F3177F">
          <w:pgSz w:w="12240" w:h="15840"/>
          <w:pgMar w:top="1400" w:right="1320" w:bottom="2320" w:left="1720" w:header="0" w:footer="2095" w:gutter="0"/>
          <w:cols w:space="720"/>
        </w:sectPr>
      </w:pPr>
    </w:p>
    <w:p w:rsidR="00F3177F" w:rsidRDefault="0089671D">
      <w:pPr>
        <w:pStyle w:val="BodyText"/>
        <w:spacing w:before="54" w:line="360" w:lineRule="auto"/>
        <w:ind w:left="584" w:right="115"/>
        <w:jc w:val="both"/>
      </w:pPr>
      <w:proofErr w:type="gramStart"/>
      <w:r>
        <w:lastRenderedPageBreak/>
        <w:t>they</w:t>
      </w:r>
      <w:proofErr w:type="gramEnd"/>
      <w:r>
        <w:t xml:space="preserve"> have already attended. These three questions were answered together with the help of instructors. Students were asked not to communicate during the rest of the questionnaire completion as they were supposed to express their own ideas or feelings. The instructors were allowed to help students if they could not understand anything about the questionnaire items. Paper-based questionnaires were collected by the researcher and the instructors and all the information was transferred to a Microsoft Excel database. Papers with missing response(s) were eliminated. 352 questionnaire papers from MINECSs and 360 from MAXECSs were accepted as valid for the calculations.</w:t>
      </w:r>
    </w:p>
    <w:p w:rsidR="00F3177F" w:rsidRDefault="00F3177F">
      <w:pPr>
        <w:pStyle w:val="BodyText"/>
      </w:pPr>
    </w:p>
    <w:p w:rsidR="00F3177F" w:rsidRDefault="00F3177F">
      <w:pPr>
        <w:pStyle w:val="BodyText"/>
        <w:spacing w:before="9"/>
      </w:pPr>
    </w:p>
    <w:p w:rsidR="00F3177F" w:rsidRDefault="0089671D">
      <w:pPr>
        <w:pStyle w:val="Heading2"/>
        <w:numPr>
          <w:ilvl w:val="1"/>
          <w:numId w:val="26"/>
        </w:numPr>
        <w:tabs>
          <w:tab w:val="left" w:pos="1065"/>
        </w:tabs>
        <w:jc w:val="both"/>
      </w:pPr>
      <w:r>
        <w:t>Data-Analysis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52" w:lineRule="auto"/>
        <w:ind w:left="584" w:right="115"/>
        <w:jc w:val="both"/>
      </w:pPr>
      <w:r>
        <w:t>For the first stage of the research, the energy consumption figures and affecting factors as given in Table 6 were added to Microsoft Excel database to calculate differences as percentages to calculate and see if there are any differences between school types/levels as state primary and secondary school, students’ shift as morning and afternoon</w:t>
      </w:r>
      <w:proofErr w:type="gramStart"/>
      <w:r>
        <w:t>,  building</w:t>
      </w:r>
      <w:proofErr w:type="gramEnd"/>
      <w:r>
        <w:t xml:space="preserve"> age, number of students, number of buildings, total school building area  </w:t>
      </w:r>
      <w:r>
        <w:rPr>
          <w:spacing w:val="48"/>
        </w:rPr>
        <w:t xml:space="preserve"> </w:t>
      </w:r>
      <w:r>
        <w:t>(m</w:t>
      </w:r>
      <w:r>
        <w:rPr>
          <w:position w:val="11"/>
          <w:sz w:val="16"/>
        </w:rPr>
        <w:t>2</w:t>
      </w:r>
      <w:r>
        <w:t>),</w:t>
      </w:r>
    </w:p>
    <w:p w:rsidR="00F3177F" w:rsidRDefault="0089671D">
      <w:pPr>
        <w:pStyle w:val="BodyText"/>
        <w:spacing w:line="350" w:lineRule="auto"/>
        <w:ind w:left="584" w:right="116"/>
        <w:jc w:val="both"/>
      </w:pPr>
      <w:proofErr w:type="gramStart"/>
      <w:r>
        <w:t>number</w:t>
      </w:r>
      <w:proofErr w:type="gramEnd"/>
      <w:r>
        <w:t xml:space="preserve"> of school building floors, floor heights, extra buildings and their sizes, the number of students, energy type and student density (st/m</w:t>
      </w:r>
      <w:r>
        <w:rPr>
          <w:position w:val="11"/>
          <w:sz w:val="16"/>
        </w:rPr>
        <w:t>2</w:t>
      </w:r>
      <w:r>
        <w:t xml:space="preserve">) from the point of school energy  consumption.   An   interactive   program   from   the   official   website   of   The Sustainable Energy Authority of Ireland's (SEAI) (seai, n.d.c) was used to  </w:t>
      </w:r>
      <w:r>
        <w:rPr>
          <w:spacing w:val="46"/>
        </w:rPr>
        <w:t xml:space="preserve"> </w:t>
      </w:r>
      <w:r>
        <w:t>convert</w:t>
      </w:r>
    </w:p>
    <w:p w:rsidR="00F3177F" w:rsidRDefault="0089671D">
      <w:pPr>
        <w:pStyle w:val="BodyText"/>
        <w:spacing w:before="17" w:line="360" w:lineRule="auto"/>
        <w:ind w:left="584" w:right="119"/>
        <w:jc w:val="both"/>
      </w:pPr>
      <w:proofErr w:type="gramStart"/>
      <w:r>
        <w:t>oil</w:t>
      </w:r>
      <w:proofErr w:type="gramEnd"/>
      <w:r>
        <w:t xml:space="preserve"> and coal into kilowatt energy to find out the total school energy consumption. According to the website, energy conversion equivalences are as given below:</w:t>
      </w:r>
    </w:p>
    <w:p w:rsidR="00F3177F" w:rsidRDefault="0089671D">
      <w:pPr>
        <w:pStyle w:val="ListParagraph"/>
        <w:numPr>
          <w:ilvl w:val="2"/>
          <w:numId w:val="26"/>
        </w:numPr>
        <w:tabs>
          <w:tab w:val="left" w:pos="1304"/>
          <w:tab w:val="left" w:pos="1305"/>
        </w:tabs>
        <w:spacing w:before="6"/>
        <w:rPr>
          <w:sz w:val="24"/>
        </w:rPr>
      </w:pPr>
      <w:r>
        <w:rPr>
          <w:sz w:val="24"/>
        </w:rPr>
        <w:t>A</w:t>
      </w:r>
      <w:r>
        <w:rPr>
          <w:spacing w:val="-10"/>
          <w:sz w:val="24"/>
        </w:rPr>
        <w:t xml:space="preserve"> </w:t>
      </w:r>
      <w:r>
        <w:rPr>
          <w:sz w:val="24"/>
        </w:rPr>
        <w:t>liter</w:t>
      </w:r>
      <w:r>
        <w:rPr>
          <w:spacing w:val="-8"/>
          <w:sz w:val="24"/>
        </w:rPr>
        <w:t xml:space="preserve"> </w:t>
      </w:r>
      <w:r>
        <w:rPr>
          <w:sz w:val="24"/>
        </w:rPr>
        <w:t>of</w:t>
      </w:r>
      <w:r>
        <w:rPr>
          <w:spacing w:val="-8"/>
          <w:sz w:val="24"/>
        </w:rPr>
        <w:t xml:space="preserve"> </w:t>
      </w:r>
      <w:r>
        <w:rPr>
          <w:sz w:val="24"/>
        </w:rPr>
        <w:t>heating</w:t>
      </w:r>
      <w:r>
        <w:rPr>
          <w:spacing w:val="-9"/>
          <w:sz w:val="24"/>
        </w:rPr>
        <w:t xml:space="preserve"> </w:t>
      </w:r>
      <w:r>
        <w:rPr>
          <w:spacing w:val="-3"/>
          <w:sz w:val="24"/>
        </w:rPr>
        <w:t>fuel</w:t>
      </w:r>
      <w:r>
        <w:rPr>
          <w:spacing w:val="-6"/>
          <w:sz w:val="24"/>
        </w:rPr>
        <w:t xml:space="preserve"> </w:t>
      </w:r>
      <w:r>
        <w:rPr>
          <w:sz w:val="24"/>
        </w:rPr>
        <w:t>=</w:t>
      </w:r>
      <w:r>
        <w:rPr>
          <w:spacing w:val="-10"/>
          <w:sz w:val="24"/>
        </w:rPr>
        <w:t xml:space="preserve"> </w:t>
      </w:r>
      <w:r>
        <w:rPr>
          <w:spacing w:val="-3"/>
          <w:sz w:val="24"/>
        </w:rPr>
        <w:t>10.7826</w:t>
      </w:r>
      <w:r>
        <w:rPr>
          <w:spacing w:val="-9"/>
          <w:sz w:val="24"/>
        </w:rPr>
        <w:t xml:space="preserve"> </w:t>
      </w:r>
      <w:r>
        <w:rPr>
          <w:sz w:val="24"/>
        </w:rPr>
        <w:t>kwatt</w:t>
      </w:r>
    </w:p>
    <w:p w:rsidR="00F3177F" w:rsidRDefault="0089671D">
      <w:pPr>
        <w:pStyle w:val="ListParagraph"/>
        <w:numPr>
          <w:ilvl w:val="2"/>
          <w:numId w:val="26"/>
        </w:numPr>
        <w:tabs>
          <w:tab w:val="left" w:pos="1304"/>
          <w:tab w:val="left" w:pos="1305"/>
        </w:tabs>
        <w:spacing w:before="136"/>
        <w:rPr>
          <w:sz w:val="24"/>
        </w:rPr>
      </w:pPr>
      <w:r>
        <w:rPr>
          <w:sz w:val="24"/>
        </w:rPr>
        <w:t>A</w:t>
      </w:r>
      <w:r>
        <w:rPr>
          <w:spacing w:val="-11"/>
          <w:sz w:val="24"/>
        </w:rPr>
        <w:t xml:space="preserve"> </w:t>
      </w:r>
      <w:r>
        <w:rPr>
          <w:sz w:val="24"/>
        </w:rPr>
        <w:t>ton</w:t>
      </w:r>
      <w:r>
        <w:rPr>
          <w:spacing w:val="-10"/>
          <w:sz w:val="24"/>
        </w:rPr>
        <w:t xml:space="preserve"> </w:t>
      </w:r>
      <w:r>
        <w:rPr>
          <w:sz w:val="24"/>
        </w:rPr>
        <w:t>of</w:t>
      </w:r>
      <w:r>
        <w:rPr>
          <w:spacing w:val="-11"/>
          <w:sz w:val="24"/>
        </w:rPr>
        <w:t xml:space="preserve"> </w:t>
      </w:r>
      <w:r>
        <w:rPr>
          <w:sz w:val="24"/>
        </w:rPr>
        <w:t>coal</w:t>
      </w:r>
      <w:r>
        <w:rPr>
          <w:spacing w:val="-7"/>
          <w:sz w:val="24"/>
        </w:rPr>
        <w:t xml:space="preserve"> </w:t>
      </w:r>
      <w:r>
        <w:rPr>
          <w:sz w:val="24"/>
        </w:rPr>
        <w:t>=</w:t>
      </w:r>
      <w:r>
        <w:rPr>
          <w:spacing w:val="-11"/>
          <w:sz w:val="24"/>
        </w:rPr>
        <w:t xml:space="preserve"> </w:t>
      </w:r>
      <w:r>
        <w:rPr>
          <w:sz w:val="24"/>
        </w:rPr>
        <w:t>7734</w:t>
      </w:r>
      <w:r>
        <w:rPr>
          <w:spacing w:val="-10"/>
          <w:sz w:val="24"/>
        </w:rPr>
        <w:t xml:space="preserve"> </w:t>
      </w:r>
      <w:r>
        <w:rPr>
          <w:sz w:val="24"/>
        </w:rPr>
        <w:t>kwatt</w:t>
      </w:r>
    </w:p>
    <w:p w:rsidR="00F3177F" w:rsidRDefault="00F3177F">
      <w:pPr>
        <w:pStyle w:val="BodyText"/>
      </w:pPr>
    </w:p>
    <w:p w:rsidR="00F3177F" w:rsidRDefault="00F3177F">
      <w:pPr>
        <w:pStyle w:val="BodyText"/>
        <w:spacing w:before="9"/>
        <w:rPr>
          <w:sz w:val="20"/>
        </w:rPr>
      </w:pPr>
    </w:p>
    <w:p w:rsidR="00F3177F" w:rsidRDefault="0089671D">
      <w:pPr>
        <w:pStyle w:val="BodyText"/>
        <w:spacing w:before="1"/>
        <w:ind w:left="584"/>
        <w:jc w:val="both"/>
      </w:pPr>
      <w:r>
        <w:t>Wood is sold as in loosem</w:t>
      </w:r>
      <w:r>
        <w:rPr>
          <w:position w:val="11"/>
          <w:sz w:val="16"/>
        </w:rPr>
        <w:t xml:space="preserve">3 </w:t>
      </w:r>
      <w:r>
        <w:t>in Kosovo and the net caloric value of a m</w:t>
      </w:r>
      <w:r>
        <w:rPr>
          <w:position w:val="11"/>
          <w:sz w:val="16"/>
        </w:rPr>
        <w:t>3</w:t>
      </w:r>
      <w:r>
        <w:t>-loose-oak with an</w:t>
      </w:r>
    </w:p>
    <w:p w:rsidR="00F3177F" w:rsidRDefault="0089671D" w:rsidP="0035743A">
      <w:pPr>
        <w:pStyle w:val="BodyText"/>
        <w:spacing w:before="33" w:line="412" w:lineRule="exact"/>
        <w:ind w:left="584" w:right="113"/>
        <w:jc w:val="both"/>
      </w:pPr>
      <w:proofErr w:type="gramStart"/>
      <w:r>
        <w:rPr>
          <w:spacing w:val="-3"/>
        </w:rPr>
        <w:t>average</w:t>
      </w:r>
      <w:proofErr w:type="gramEnd"/>
      <w:r>
        <w:rPr>
          <w:spacing w:val="-3"/>
        </w:rPr>
        <w:t xml:space="preserve"> </w:t>
      </w:r>
      <w:r>
        <w:t xml:space="preserve">of 30% water is </w:t>
      </w:r>
      <w:r>
        <w:rPr>
          <w:spacing w:val="-3"/>
        </w:rPr>
        <w:t xml:space="preserve">equal </w:t>
      </w:r>
      <w:r>
        <w:t xml:space="preserve">to </w:t>
      </w:r>
      <w:r>
        <w:rPr>
          <w:spacing w:val="-3"/>
        </w:rPr>
        <w:t xml:space="preserve">1034 </w:t>
      </w:r>
      <w:r>
        <w:t xml:space="preserve">kWh </w:t>
      </w:r>
      <w:r>
        <w:rPr>
          <w:spacing w:val="-3"/>
        </w:rPr>
        <w:t xml:space="preserve">(Krajnc, 2015). Finally, </w:t>
      </w:r>
      <w:r>
        <w:t xml:space="preserve">the </w:t>
      </w:r>
      <w:r>
        <w:rPr>
          <w:spacing w:val="-3"/>
        </w:rPr>
        <w:t xml:space="preserve">total annual </w:t>
      </w:r>
      <w:r>
        <w:t xml:space="preserve">energy  </w:t>
      </w:r>
      <w:r>
        <w:rPr>
          <w:spacing w:val="-3"/>
        </w:rPr>
        <w:t xml:space="preserve">consumption  and  </w:t>
      </w:r>
      <w:r>
        <w:t>CO</w:t>
      </w:r>
      <w:r>
        <w:rPr>
          <w:position w:val="-2"/>
          <w:sz w:val="16"/>
        </w:rPr>
        <w:t xml:space="preserve">2   </w:t>
      </w:r>
      <w:r>
        <w:rPr>
          <w:spacing w:val="-3"/>
        </w:rPr>
        <w:t xml:space="preserve">emissions  </w:t>
      </w:r>
      <w:r>
        <w:t>per  m</w:t>
      </w:r>
      <w:r>
        <w:rPr>
          <w:position w:val="11"/>
          <w:sz w:val="16"/>
        </w:rPr>
        <w:t xml:space="preserve">2   </w:t>
      </w:r>
      <w:r>
        <w:t xml:space="preserve">along  with  the  total  </w:t>
      </w:r>
      <w:r>
        <w:rPr>
          <w:spacing w:val="-3"/>
        </w:rPr>
        <w:t xml:space="preserve">annual </w:t>
      </w:r>
      <w:r>
        <w:t xml:space="preserve"> energy</w:t>
      </w:r>
      <w:r w:rsidR="0035743A">
        <w:t xml:space="preserve"> </w:t>
      </w:r>
      <w:r>
        <w:rPr>
          <w:spacing w:val="-3"/>
        </w:rPr>
        <w:lastRenderedPageBreak/>
        <w:t xml:space="preserve">consumption </w:t>
      </w:r>
      <w:r>
        <w:t xml:space="preserve">per student were </w:t>
      </w:r>
      <w:r>
        <w:rPr>
          <w:spacing w:val="-3"/>
        </w:rPr>
        <w:t xml:space="preserve">calculated. </w:t>
      </w:r>
      <w:r>
        <w:t xml:space="preserve">Having found out the </w:t>
      </w:r>
      <w:r>
        <w:rPr>
          <w:spacing w:val="-3"/>
        </w:rPr>
        <w:t xml:space="preserve">annual </w:t>
      </w:r>
      <w:r>
        <w:t xml:space="preserve">energy </w:t>
      </w:r>
      <w:r>
        <w:rPr>
          <w:spacing w:val="-3"/>
        </w:rPr>
        <w:t xml:space="preserve">consumptions and carbon emissions </w:t>
      </w:r>
      <w:r>
        <w:t xml:space="preserve">of the state primary </w:t>
      </w:r>
      <w:r>
        <w:rPr>
          <w:spacing w:val="-3"/>
        </w:rPr>
        <w:t xml:space="preserve">and </w:t>
      </w:r>
      <w:r>
        <w:t xml:space="preserve">secondary schools in PCM </w:t>
      </w:r>
      <w:r>
        <w:rPr>
          <w:spacing w:val="-3"/>
        </w:rPr>
        <w:t>per</w:t>
      </w:r>
      <w:r>
        <w:rPr>
          <w:spacing w:val="-7"/>
        </w:rPr>
        <w:t xml:space="preserve"> </w:t>
      </w:r>
      <w:r>
        <w:t>m</w:t>
      </w:r>
      <w:r>
        <w:rPr>
          <w:position w:val="11"/>
          <w:sz w:val="16"/>
        </w:rPr>
        <w:t>2</w:t>
      </w:r>
      <w:r>
        <w:t>,</w:t>
      </w:r>
      <w:r>
        <w:rPr>
          <w:spacing w:val="-6"/>
        </w:rPr>
        <w:t xml:space="preserve"> </w:t>
      </w:r>
      <w:r>
        <w:t>the</w:t>
      </w:r>
      <w:r>
        <w:rPr>
          <w:spacing w:val="-4"/>
        </w:rPr>
        <w:t xml:space="preserve"> </w:t>
      </w:r>
      <w:r>
        <w:rPr>
          <w:spacing w:val="-3"/>
        </w:rPr>
        <w:t>research</w:t>
      </w:r>
      <w:r>
        <w:rPr>
          <w:spacing w:val="-5"/>
        </w:rPr>
        <w:t xml:space="preserve"> </w:t>
      </w:r>
      <w:r>
        <w:t>aims</w:t>
      </w:r>
      <w:r>
        <w:rPr>
          <w:spacing w:val="-1"/>
        </w:rPr>
        <w:t xml:space="preserve"> </w:t>
      </w:r>
      <w:r>
        <w:t>to</w:t>
      </w:r>
      <w:r>
        <w:rPr>
          <w:spacing w:val="-6"/>
        </w:rPr>
        <w:t xml:space="preserve"> </w:t>
      </w:r>
      <w:r>
        <w:t>compare</w:t>
      </w:r>
      <w:r>
        <w:rPr>
          <w:spacing w:val="-8"/>
        </w:rPr>
        <w:t xml:space="preserve"> </w:t>
      </w:r>
      <w:r>
        <w:rPr>
          <w:spacing w:val="-3"/>
        </w:rPr>
        <w:t xml:space="preserve">school </w:t>
      </w:r>
      <w:r>
        <w:t>energy</w:t>
      </w:r>
      <w:r>
        <w:rPr>
          <w:spacing w:val="-9"/>
        </w:rPr>
        <w:t xml:space="preserve"> </w:t>
      </w:r>
      <w:r>
        <w:rPr>
          <w:spacing w:val="-3"/>
        </w:rPr>
        <w:t xml:space="preserve">consumptions </w:t>
      </w:r>
      <w:r>
        <w:t>according</w:t>
      </w:r>
      <w:r>
        <w:rPr>
          <w:spacing w:val="-6"/>
        </w:rPr>
        <w:t xml:space="preserve"> </w:t>
      </w:r>
      <w:r>
        <w:t>to</w:t>
      </w:r>
      <w:r>
        <w:rPr>
          <w:spacing w:val="-6"/>
        </w:rPr>
        <w:t xml:space="preserve"> </w:t>
      </w:r>
      <w:r>
        <w:t>the</w:t>
      </w:r>
      <w:r>
        <w:rPr>
          <w:spacing w:val="-7"/>
        </w:rPr>
        <w:t xml:space="preserve"> </w:t>
      </w:r>
      <w:r>
        <w:rPr>
          <w:spacing w:val="-3"/>
        </w:rPr>
        <w:t xml:space="preserve">school </w:t>
      </w:r>
      <w:r>
        <w:t xml:space="preserve">feature </w:t>
      </w:r>
      <w:r>
        <w:rPr>
          <w:spacing w:val="-3"/>
        </w:rPr>
        <w:t xml:space="preserve">variables </w:t>
      </w:r>
      <w:r>
        <w:t xml:space="preserve">to </w:t>
      </w:r>
      <w:r>
        <w:rPr>
          <w:spacing w:val="-3"/>
        </w:rPr>
        <w:t xml:space="preserve">find </w:t>
      </w:r>
      <w:r>
        <w:t xml:space="preserve">out the </w:t>
      </w:r>
      <w:r>
        <w:rPr>
          <w:spacing w:val="-3"/>
        </w:rPr>
        <w:t xml:space="preserve">percentage differences </w:t>
      </w:r>
      <w:r>
        <w:t xml:space="preserve">and consequently energy saving </w:t>
      </w:r>
      <w:r>
        <w:rPr>
          <w:spacing w:val="-3"/>
        </w:rPr>
        <w:t xml:space="preserve">school features. </w:t>
      </w:r>
      <w:r>
        <w:t xml:space="preserve">However, </w:t>
      </w:r>
      <w:r>
        <w:rPr>
          <w:spacing w:val="-3"/>
        </w:rPr>
        <w:t xml:space="preserve">according </w:t>
      </w:r>
      <w:r>
        <w:t xml:space="preserve">to the brief </w:t>
      </w:r>
      <w:r>
        <w:rPr>
          <w:spacing w:val="-3"/>
        </w:rPr>
        <w:t xml:space="preserve">evaluations, </w:t>
      </w:r>
      <w:r>
        <w:t xml:space="preserve">the average </w:t>
      </w:r>
      <w:r>
        <w:rPr>
          <w:spacing w:val="-3"/>
        </w:rPr>
        <w:t xml:space="preserve">school </w:t>
      </w:r>
      <w:r>
        <w:t xml:space="preserve">energy </w:t>
      </w:r>
      <w:r>
        <w:rPr>
          <w:spacing w:val="-3"/>
        </w:rPr>
        <w:t xml:space="preserve">consumptions and </w:t>
      </w:r>
      <w:r>
        <w:t xml:space="preserve">carbon </w:t>
      </w:r>
      <w:r>
        <w:rPr>
          <w:spacing w:val="-3"/>
        </w:rPr>
        <w:t xml:space="preserve">emissions </w:t>
      </w:r>
      <w:r>
        <w:t xml:space="preserve">are below the </w:t>
      </w:r>
      <w:r>
        <w:rPr>
          <w:spacing w:val="-3"/>
        </w:rPr>
        <w:t xml:space="preserve">averages </w:t>
      </w:r>
      <w:r>
        <w:t xml:space="preserve">even in EU </w:t>
      </w:r>
      <w:r>
        <w:rPr>
          <w:spacing w:val="-3"/>
        </w:rPr>
        <w:t xml:space="preserve">countries </w:t>
      </w:r>
      <w:r>
        <w:t xml:space="preserve">mostly due to the </w:t>
      </w:r>
      <w:r>
        <w:rPr>
          <w:spacing w:val="-3"/>
        </w:rPr>
        <w:t xml:space="preserve">central </w:t>
      </w:r>
      <w:r>
        <w:t xml:space="preserve">heating </w:t>
      </w:r>
      <w:r>
        <w:rPr>
          <w:spacing w:val="-3"/>
        </w:rPr>
        <w:t xml:space="preserve">system called </w:t>
      </w:r>
      <w:r>
        <w:t xml:space="preserve">Termokos. </w:t>
      </w:r>
      <w:r>
        <w:rPr>
          <w:spacing w:val="-3"/>
        </w:rPr>
        <w:t xml:space="preserve">School </w:t>
      </w:r>
      <w:r>
        <w:t xml:space="preserve">energy </w:t>
      </w:r>
      <w:r>
        <w:rPr>
          <w:spacing w:val="-3"/>
        </w:rPr>
        <w:t xml:space="preserve">consumptions and </w:t>
      </w:r>
      <w:r>
        <w:t>CO</w:t>
      </w:r>
      <w:r>
        <w:rPr>
          <w:position w:val="11"/>
          <w:sz w:val="16"/>
        </w:rPr>
        <w:t xml:space="preserve">2 </w:t>
      </w:r>
      <w:r>
        <w:rPr>
          <w:spacing w:val="-3"/>
        </w:rPr>
        <w:t xml:space="preserve">emissions </w:t>
      </w:r>
      <w:r>
        <w:t xml:space="preserve">were </w:t>
      </w:r>
      <w:r>
        <w:rPr>
          <w:spacing w:val="-3"/>
        </w:rPr>
        <w:t xml:space="preserve">analyzed </w:t>
      </w:r>
      <w:r>
        <w:t xml:space="preserve">with the </w:t>
      </w:r>
      <w:r>
        <w:rPr>
          <w:spacing w:val="-3"/>
        </w:rPr>
        <w:t xml:space="preserve">help </w:t>
      </w:r>
      <w:r>
        <w:t xml:space="preserve">Word </w:t>
      </w:r>
      <w:r>
        <w:rPr>
          <w:spacing w:val="-3"/>
        </w:rPr>
        <w:t xml:space="preserve">Excel worksheet </w:t>
      </w:r>
      <w:r>
        <w:t xml:space="preserve">under the </w:t>
      </w:r>
      <w:r>
        <w:rPr>
          <w:spacing w:val="-3"/>
        </w:rPr>
        <w:t>subcategories given</w:t>
      </w:r>
      <w:r>
        <w:rPr>
          <w:spacing w:val="-1"/>
        </w:rPr>
        <w:t xml:space="preserve"> </w:t>
      </w:r>
      <w:r>
        <w:rPr>
          <w:spacing w:val="-2"/>
        </w:rPr>
        <w:t>below:</w:t>
      </w:r>
    </w:p>
    <w:p w:rsidR="00F3177F" w:rsidRDefault="0089671D">
      <w:pPr>
        <w:pStyle w:val="ListParagraph"/>
        <w:numPr>
          <w:ilvl w:val="2"/>
          <w:numId w:val="26"/>
        </w:numPr>
        <w:tabs>
          <w:tab w:val="left" w:pos="1304"/>
          <w:tab w:val="left" w:pos="1305"/>
        </w:tabs>
        <w:spacing w:before="12"/>
        <w:rPr>
          <w:sz w:val="24"/>
        </w:rPr>
      </w:pPr>
      <w:r>
        <w:rPr>
          <w:spacing w:val="-3"/>
          <w:sz w:val="24"/>
        </w:rPr>
        <w:t xml:space="preserve">School Type: </w:t>
      </w:r>
      <w:r>
        <w:rPr>
          <w:sz w:val="24"/>
        </w:rPr>
        <w:t xml:space="preserve">primary </w:t>
      </w:r>
      <w:r>
        <w:rPr>
          <w:spacing w:val="-3"/>
          <w:sz w:val="24"/>
        </w:rPr>
        <w:t xml:space="preserve">(42 schools) and </w:t>
      </w:r>
      <w:r>
        <w:rPr>
          <w:sz w:val="24"/>
        </w:rPr>
        <w:t>secondary (13</w:t>
      </w:r>
      <w:r>
        <w:rPr>
          <w:spacing w:val="-29"/>
          <w:sz w:val="24"/>
        </w:rPr>
        <w:t xml:space="preserve"> </w:t>
      </w:r>
      <w:r>
        <w:rPr>
          <w:spacing w:val="-3"/>
          <w:sz w:val="24"/>
        </w:rPr>
        <w:t>schools)</w:t>
      </w:r>
    </w:p>
    <w:p w:rsidR="00F3177F" w:rsidRDefault="0089671D">
      <w:pPr>
        <w:pStyle w:val="ListParagraph"/>
        <w:numPr>
          <w:ilvl w:val="2"/>
          <w:numId w:val="26"/>
        </w:numPr>
        <w:tabs>
          <w:tab w:val="left" w:pos="1304"/>
          <w:tab w:val="left" w:pos="1305"/>
        </w:tabs>
        <w:rPr>
          <w:sz w:val="24"/>
        </w:rPr>
      </w:pPr>
      <w:r>
        <w:rPr>
          <w:spacing w:val="-3"/>
          <w:sz w:val="24"/>
        </w:rPr>
        <w:t>Students’</w:t>
      </w:r>
      <w:r>
        <w:rPr>
          <w:spacing w:val="-12"/>
          <w:sz w:val="24"/>
        </w:rPr>
        <w:t xml:space="preserve"> </w:t>
      </w:r>
      <w:r>
        <w:rPr>
          <w:sz w:val="24"/>
        </w:rPr>
        <w:t>Shift:</w:t>
      </w:r>
      <w:r>
        <w:rPr>
          <w:spacing w:val="-11"/>
          <w:sz w:val="24"/>
        </w:rPr>
        <w:t xml:space="preserve"> </w:t>
      </w:r>
      <w:r>
        <w:rPr>
          <w:sz w:val="24"/>
        </w:rPr>
        <w:t>morning</w:t>
      </w:r>
      <w:r>
        <w:rPr>
          <w:spacing w:val="-11"/>
          <w:sz w:val="24"/>
        </w:rPr>
        <w:t xml:space="preserve"> </w:t>
      </w:r>
      <w:r>
        <w:rPr>
          <w:spacing w:val="-3"/>
          <w:sz w:val="24"/>
        </w:rPr>
        <w:t>(25</w:t>
      </w:r>
      <w:r>
        <w:rPr>
          <w:spacing w:val="-11"/>
          <w:sz w:val="24"/>
        </w:rPr>
        <w:t xml:space="preserve"> </w:t>
      </w:r>
      <w:r>
        <w:rPr>
          <w:sz w:val="24"/>
        </w:rPr>
        <w:t>schools)</w:t>
      </w:r>
      <w:r>
        <w:rPr>
          <w:spacing w:val="-11"/>
          <w:sz w:val="24"/>
        </w:rPr>
        <w:t xml:space="preserve"> </w:t>
      </w:r>
      <w:r>
        <w:rPr>
          <w:sz w:val="24"/>
        </w:rPr>
        <w:t>and</w:t>
      </w:r>
      <w:r>
        <w:rPr>
          <w:spacing w:val="-11"/>
          <w:sz w:val="24"/>
        </w:rPr>
        <w:t xml:space="preserve"> </w:t>
      </w:r>
      <w:r>
        <w:rPr>
          <w:sz w:val="24"/>
        </w:rPr>
        <w:t>morning</w:t>
      </w:r>
      <w:r>
        <w:rPr>
          <w:spacing w:val="-11"/>
          <w:sz w:val="24"/>
        </w:rPr>
        <w:t xml:space="preserve"> </w:t>
      </w:r>
      <w:r>
        <w:rPr>
          <w:sz w:val="24"/>
        </w:rPr>
        <w:t>+</w:t>
      </w:r>
      <w:r>
        <w:rPr>
          <w:spacing w:val="-12"/>
          <w:sz w:val="24"/>
        </w:rPr>
        <w:t xml:space="preserve"> </w:t>
      </w:r>
      <w:r>
        <w:rPr>
          <w:sz w:val="24"/>
        </w:rPr>
        <w:t>afternoon</w:t>
      </w:r>
      <w:r>
        <w:rPr>
          <w:spacing w:val="-11"/>
          <w:sz w:val="24"/>
        </w:rPr>
        <w:t xml:space="preserve"> </w:t>
      </w:r>
      <w:r>
        <w:rPr>
          <w:sz w:val="24"/>
        </w:rPr>
        <w:t>(30</w:t>
      </w:r>
      <w:r>
        <w:rPr>
          <w:spacing w:val="-11"/>
          <w:sz w:val="24"/>
        </w:rPr>
        <w:t xml:space="preserve"> </w:t>
      </w:r>
      <w:r>
        <w:rPr>
          <w:spacing w:val="-3"/>
          <w:sz w:val="24"/>
        </w:rPr>
        <w:t>schools)</w:t>
      </w:r>
    </w:p>
    <w:p w:rsidR="00F3177F" w:rsidRDefault="0089671D">
      <w:pPr>
        <w:pStyle w:val="ListParagraph"/>
        <w:numPr>
          <w:ilvl w:val="2"/>
          <w:numId w:val="26"/>
        </w:numPr>
        <w:tabs>
          <w:tab w:val="left" w:pos="1304"/>
          <w:tab w:val="left" w:pos="1305"/>
        </w:tabs>
        <w:spacing w:line="350" w:lineRule="auto"/>
        <w:ind w:right="115"/>
        <w:rPr>
          <w:sz w:val="24"/>
        </w:rPr>
      </w:pPr>
      <w:r>
        <w:rPr>
          <w:spacing w:val="-3"/>
          <w:sz w:val="24"/>
        </w:rPr>
        <w:t xml:space="preserve">Building Year: </w:t>
      </w:r>
      <w:r>
        <w:rPr>
          <w:spacing w:val="-2"/>
          <w:sz w:val="24"/>
        </w:rPr>
        <w:t xml:space="preserve">between </w:t>
      </w:r>
      <w:r>
        <w:rPr>
          <w:spacing w:val="-3"/>
          <w:sz w:val="24"/>
        </w:rPr>
        <w:t xml:space="preserve">1936-1969 (18 </w:t>
      </w:r>
      <w:r>
        <w:rPr>
          <w:sz w:val="24"/>
        </w:rPr>
        <w:t xml:space="preserve">schools), </w:t>
      </w:r>
      <w:r>
        <w:rPr>
          <w:spacing w:val="-3"/>
          <w:sz w:val="24"/>
        </w:rPr>
        <w:t xml:space="preserve">1970-1999 </w:t>
      </w:r>
      <w:r>
        <w:rPr>
          <w:sz w:val="24"/>
        </w:rPr>
        <w:t xml:space="preserve">(the </w:t>
      </w:r>
      <w:r>
        <w:rPr>
          <w:spacing w:val="-3"/>
          <w:sz w:val="24"/>
        </w:rPr>
        <w:t xml:space="preserve">period </w:t>
      </w:r>
      <w:r>
        <w:rPr>
          <w:sz w:val="24"/>
        </w:rPr>
        <w:t xml:space="preserve">of </w:t>
      </w:r>
      <w:r>
        <w:rPr>
          <w:spacing w:val="-3"/>
          <w:sz w:val="24"/>
        </w:rPr>
        <w:t xml:space="preserve">mass construction) </w:t>
      </w:r>
      <w:r>
        <w:rPr>
          <w:sz w:val="24"/>
        </w:rPr>
        <w:t xml:space="preserve">(22 schools) </w:t>
      </w:r>
      <w:r>
        <w:rPr>
          <w:spacing w:val="-3"/>
          <w:sz w:val="24"/>
        </w:rPr>
        <w:t>and 2000-2013 (15</w:t>
      </w:r>
      <w:r>
        <w:rPr>
          <w:spacing w:val="-31"/>
          <w:sz w:val="24"/>
        </w:rPr>
        <w:t xml:space="preserve"> </w:t>
      </w:r>
      <w:r>
        <w:rPr>
          <w:sz w:val="24"/>
        </w:rPr>
        <w:t>schools)</w:t>
      </w:r>
    </w:p>
    <w:p w:rsidR="00F3177F" w:rsidRDefault="0089671D">
      <w:pPr>
        <w:pStyle w:val="ListParagraph"/>
        <w:numPr>
          <w:ilvl w:val="2"/>
          <w:numId w:val="26"/>
        </w:numPr>
        <w:tabs>
          <w:tab w:val="left" w:pos="1304"/>
          <w:tab w:val="left" w:pos="1305"/>
        </w:tabs>
        <w:spacing w:before="16"/>
        <w:rPr>
          <w:sz w:val="24"/>
        </w:rPr>
      </w:pPr>
      <w:r>
        <w:rPr>
          <w:sz w:val="24"/>
        </w:rPr>
        <w:t xml:space="preserve">The </w:t>
      </w:r>
      <w:r>
        <w:rPr>
          <w:spacing w:val="-2"/>
          <w:sz w:val="24"/>
        </w:rPr>
        <w:t xml:space="preserve">Number </w:t>
      </w:r>
      <w:r>
        <w:rPr>
          <w:sz w:val="24"/>
        </w:rPr>
        <w:t xml:space="preserve">of </w:t>
      </w:r>
      <w:r>
        <w:rPr>
          <w:spacing w:val="-3"/>
          <w:sz w:val="24"/>
        </w:rPr>
        <w:t xml:space="preserve">Buildings: </w:t>
      </w:r>
      <w:r>
        <w:rPr>
          <w:sz w:val="24"/>
        </w:rPr>
        <w:t xml:space="preserve">1 </w:t>
      </w:r>
      <w:r>
        <w:rPr>
          <w:spacing w:val="-3"/>
          <w:sz w:val="24"/>
        </w:rPr>
        <w:t xml:space="preserve">(45 schools) and </w:t>
      </w:r>
      <w:r>
        <w:rPr>
          <w:sz w:val="24"/>
        </w:rPr>
        <w:t xml:space="preserve">2 or </w:t>
      </w:r>
      <w:r>
        <w:rPr>
          <w:spacing w:val="-3"/>
          <w:sz w:val="24"/>
        </w:rPr>
        <w:t>more (10</w:t>
      </w:r>
      <w:r>
        <w:rPr>
          <w:spacing w:val="-35"/>
          <w:sz w:val="24"/>
        </w:rPr>
        <w:t xml:space="preserve"> </w:t>
      </w:r>
      <w:r>
        <w:rPr>
          <w:sz w:val="24"/>
        </w:rPr>
        <w:t>schools)</w:t>
      </w:r>
    </w:p>
    <w:p w:rsidR="00F3177F" w:rsidRDefault="0089671D">
      <w:pPr>
        <w:pStyle w:val="ListParagraph"/>
        <w:numPr>
          <w:ilvl w:val="2"/>
          <w:numId w:val="26"/>
        </w:numPr>
        <w:tabs>
          <w:tab w:val="left" w:pos="1304"/>
          <w:tab w:val="left" w:pos="1305"/>
        </w:tabs>
        <w:rPr>
          <w:sz w:val="24"/>
        </w:rPr>
      </w:pPr>
      <w:r>
        <w:rPr>
          <w:sz w:val="24"/>
        </w:rPr>
        <w:t>The</w:t>
      </w:r>
      <w:r>
        <w:rPr>
          <w:spacing w:val="-8"/>
          <w:sz w:val="24"/>
        </w:rPr>
        <w:t xml:space="preserve"> </w:t>
      </w:r>
      <w:r>
        <w:rPr>
          <w:spacing w:val="-2"/>
          <w:sz w:val="24"/>
        </w:rPr>
        <w:t>Number</w:t>
      </w:r>
      <w:r>
        <w:rPr>
          <w:spacing w:val="-10"/>
          <w:sz w:val="24"/>
        </w:rPr>
        <w:t xml:space="preserve"> </w:t>
      </w:r>
      <w:r>
        <w:rPr>
          <w:sz w:val="24"/>
        </w:rPr>
        <w:t>of</w:t>
      </w:r>
      <w:r>
        <w:rPr>
          <w:spacing w:val="-8"/>
          <w:sz w:val="24"/>
        </w:rPr>
        <w:t xml:space="preserve"> </w:t>
      </w:r>
      <w:r>
        <w:rPr>
          <w:spacing w:val="-3"/>
          <w:sz w:val="24"/>
        </w:rPr>
        <w:t>Floors:</w:t>
      </w:r>
      <w:r>
        <w:rPr>
          <w:spacing w:val="-6"/>
          <w:sz w:val="24"/>
        </w:rPr>
        <w:t xml:space="preserve"> </w:t>
      </w:r>
      <w:r>
        <w:rPr>
          <w:sz w:val="24"/>
        </w:rPr>
        <w:t>1</w:t>
      </w:r>
      <w:r>
        <w:rPr>
          <w:spacing w:val="-7"/>
          <w:sz w:val="24"/>
        </w:rPr>
        <w:t xml:space="preserve"> </w:t>
      </w:r>
      <w:r>
        <w:rPr>
          <w:spacing w:val="-3"/>
          <w:sz w:val="24"/>
        </w:rPr>
        <w:t>(22</w:t>
      </w:r>
      <w:r>
        <w:rPr>
          <w:spacing w:val="-9"/>
          <w:sz w:val="24"/>
        </w:rPr>
        <w:t xml:space="preserve"> </w:t>
      </w:r>
      <w:r>
        <w:rPr>
          <w:sz w:val="24"/>
        </w:rPr>
        <w:t>schools),</w:t>
      </w:r>
      <w:r>
        <w:rPr>
          <w:spacing w:val="-9"/>
          <w:sz w:val="24"/>
        </w:rPr>
        <w:t xml:space="preserve"> </w:t>
      </w:r>
      <w:r>
        <w:rPr>
          <w:sz w:val="24"/>
        </w:rPr>
        <w:t>2</w:t>
      </w:r>
      <w:r>
        <w:rPr>
          <w:spacing w:val="-7"/>
          <w:sz w:val="24"/>
        </w:rPr>
        <w:t xml:space="preserve"> </w:t>
      </w:r>
      <w:r>
        <w:rPr>
          <w:spacing w:val="-3"/>
          <w:sz w:val="24"/>
        </w:rPr>
        <w:t>(17</w:t>
      </w:r>
      <w:r>
        <w:rPr>
          <w:spacing w:val="-9"/>
          <w:sz w:val="24"/>
        </w:rPr>
        <w:t xml:space="preserve"> </w:t>
      </w:r>
      <w:r>
        <w:rPr>
          <w:sz w:val="24"/>
        </w:rPr>
        <w:t>schools)</w:t>
      </w:r>
      <w:r>
        <w:rPr>
          <w:spacing w:val="-9"/>
          <w:sz w:val="24"/>
        </w:rPr>
        <w:t xml:space="preserve"> </w:t>
      </w:r>
      <w:r>
        <w:rPr>
          <w:sz w:val="24"/>
        </w:rPr>
        <w:t>and</w:t>
      </w:r>
      <w:r>
        <w:rPr>
          <w:spacing w:val="-9"/>
          <w:sz w:val="24"/>
        </w:rPr>
        <w:t xml:space="preserve"> </w:t>
      </w:r>
      <w:r>
        <w:rPr>
          <w:sz w:val="24"/>
        </w:rPr>
        <w:t>3</w:t>
      </w:r>
      <w:r>
        <w:rPr>
          <w:spacing w:val="-7"/>
          <w:sz w:val="24"/>
        </w:rPr>
        <w:t xml:space="preserve"> </w:t>
      </w:r>
      <w:r>
        <w:rPr>
          <w:spacing w:val="-3"/>
          <w:sz w:val="24"/>
        </w:rPr>
        <w:t>(16</w:t>
      </w:r>
      <w:r>
        <w:rPr>
          <w:spacing w:val="-9"/>
          <w:sz w:val="24"/>
        </w:rPr>
        <w:t xml:space="preserve"> </w:t>
      </w:r>
      <w:r>
        <w:rPr>
          <w:sz w:val="24"/>
        </w:rPr>
        <w:t>schools)</w:t>
      </w:r>
    </w:p>
    <w:p w:rsidR="00F3177F" w:rsidRDefault="0089671D">
      <w:pPr>
        <w:pStyle w:val="ListParagraph"/>
        <w:numPr>
          <w:ilvl w:val="2"/>
          <w:numId w:val="26"/>
        </w:numPr>
        <w:tabs>
          <w:tab w:val="left" w:pos="1304"/>
          <w:tab w:val="left" w:pos="1305"/>
        </w:tabs>
        <w:spacing w:before="135" w:line="352" w:lineRule="auto"/>
        <w:ind w:right="112"/>
        <w:rPr>
          <w:sz w:val="24"/>
        </w:rPr>
      </w:pPr>
      <w:r>
        <w:rPr>
          <w:sz w:val="24"/>
        </w:rPr>
        <w:t xml:space="preserve">The </w:t>
      </w:r>
      <w:r>
        <w:rPr>
          <w:spacing w:val="-2"/>
          <w:sz w:val="24"/>
        </w:rPr>
        <w:t xml:space="preserve">Number </w:t>
      </w:r>
      <w:r>
        <w:rPr>
          <w:sz w:val="24"/>
        </w:rPr>
        <w:t xml:space="preserve">of Students: 1-500 (19 schools), </w:t>
      </w:r>
      <w:r>
        <w:rPr>
          <w:spacing w:val="-3"/>
          <w:sz w:val="24"/>
        </w:rPr>
        <w:t xml:space="preserve">501-1000 (15 </w:t>
      </w:r>
      <w:r>
        <w:rPr>
          <w:sz w:val="24"/>
        </w:rPr>
        <w:t xml:space="preserve">schools) </w:t>
      </w:r>
      <w:r>
        <w:rPr>
          <w:spacing w:val="-3"/>
          <w:sz w:val="24"/>
        </w:rPr>
        <w:t xml:space="preserve">and </w:t>
      </w:r>
      <w:r>
        <w:rPr>
          <w:sz w:val="24"/>
        </w:rPr>
        <w:t xml:space="preserve">1001+ </w:t>
      </w:r>
      <w:r>
        <w:rPr>
          <w:spacing w:val="-3"/>
          <w:sz w:val="24"/>
        </w:rPr>
        <w:t>(21</w:t>
      </w:r>
      <w:r>
        <w:rPr>
          <w:spacing w:val="-18"/>
          <w:sz w:val="24"/>
        </w:rPr>
        <w:t xml:space="preserve"> </w:t>
      </w:r>
      <w:r>
        <w:rPr>
          <w:sz w:val="24"/>
        </w:rPr>
        <w:t>schools)</w:t>
      </w:r>
    </w:p>
    <w:p w:rsidR="00F3177F" w:rsidRDefault="0089671D">
      <w:pPr>
        <w:pStyle w:val="BodyText"/>
        <w:tabs>
          <w:tab w:val="left" w:pos="1304"/>
        </w:tabs>
        <w:spacing w:line="306" w:lineRule="exact"/>
        <w:ind w:left="944" w:right="65"/>
      </w:pPr>
      <w:r>
        <w:rPr>
          <w:rFonts w:ascii="Symbol" w:hAnsi="Symbol"/>
        </w:rPr>
        <w:t></w:t>
      </w:r>
      <w:r>
        <w:tab/>
      </w:r>
      <w:r>
        <w:rPr>
          <w:spacing w:val="-3"/>
        </w:rPr>
        <w:t xml:space="preserve">Total School </w:t>
      </w:r>
      <w:r>
        <w:t xml:space="preserve">Area </w:t>
      </w:r>
      <w:r>
        <w:rPr>
          <w:spacing w:val="-3"/>
        </w:rPr>
        <w:t>(m</w:t>
      </w:r>
      <w:r>
        <w:rPr>
          <w:spacing w:val="-3"/>
          <w:position w:val="11"/>
          <w:sz w:val="16"/>
        </w:rPr>
        <w:t>2</w:t>
      </w:r>
      <w:r>
        <w:rPr>
          <w:spacing w:val="-3"/>
        </w:rPr>
        <w:t xml:space="preserve">): 1-1000 </w:t>
      </w:r>
      <w:r>
        <w:t xml:space="preserve">(9 schools), </w:t>
      </w:r>
      <w:r>
        <w:rPr>
          <w:spacing w:val="-3"/>
        </w:rPr>
        <w:t xml:space="preserve">1001-3000 </w:t>
      </w:r>
      <w:r>
        <w:t xml:space="preserve">(9 </w:t>
      </w:r>
      <w:r>
        <w:rPr>
          <w:spacing w:val="-3"/>
        </w:rPr>
        <w:t xml:space="preserve">schools), </w:t>
      </w:r>
      <w:proofErr w:type="gramStart"/>
      <w:r>
        <w:rPr>
          <w:spacing w:val="-3"/>
        </w:rPr>
        <w:t>3001</w:t>
      </w:r>
      <w:proofErr w:type="gramEnd"/>
      <w:r>
        <w:rPr>
          <w:spacing w:val="-3"/>
        </w:rPr>
        <w:t>-5000</w:t>
      </w:r>
      <w:r>
        <w:rPr>
          <w:spacing w:val="36"/>
        </w:rPr>
        <w:t xml:space="preserve"> </w:t>
      </w:r>
      <w:r>
        <w:t>(4</w:t>
      </w:r>
    </w:p>
    <w:p w:rsidR="00F3177F" w:rsidRDefault="0089671D">
      <w:pPr>
        <w:pStyle w:val="BodyText"/>
        <w:spacing w:before="138"/>
        <w:ind w:left="1304" w:right="65"/>
      </w:pPr>
      <w:proofErr w:type="gramStart"/>
      <w:r>
        <w:t>schools</w:t>
      </w:r>
      <w:proofErr w:type="gramEnd"/>
      <w:r>
        <w:t>) and 5001+ (33 schools)</w:t>
      </w:r>
    </w:p>
    <w:p w:rsidR="00F3177F" w:rsidRDefault="0089671D">
      <w:pPr>
        <w:pStyle w:val="ListParagraph"/>
        <w:numPr>
          <w:ilvl w:val="2"/>
          <w:numId w:val="26"/>
        </w:numPr>
        <w:tabs>
          <w:tab w:val="left" w:pos="1304"/>
          <w:tab w:val="left" w:pos="1305"/>
        </w:tabs>
        <w:spacing w:before="136"/>
        <w:rPr>
          <w:sz w:val="24"/>
        </w:rPr>
      </w:pPr>
      <w:r>
        <w:rPr>
          <w:sz w:val="24"/>
        </w:rPr>
        <w:t>Floor</w:t>
      </w:r>
      <w:r>
        <w:rPr>
          <w:spacing w:val="-10"/>
          <w:sz w:val="24"/>
        </w:rPr>
        <w:t xml:space="preserve"> </w:t>
      </w:r>
      <w:r>
        <w:rPr>
          <w:sz w:val="24"/>
        </w:rPr>
        <w:t>Height</w:t>
      </w:r>
      <w:r>
        <w:rPr>
          <w:spacing w:val="-6"/>
          <w:sz w:val="24"/>
        </w:rPr>
        <w:t xml:space="preserve"> </w:t>
      </w:r>
      <w:r>
        <w:rPr>
          <w:spacing w:val="-3"/>
          <w:sz w:val="24"/>
        </w:rPr>
        <w:t>(m):</w:t>
      </w:r>
      <w:r>
        <w:rPr>
          <w:spacing w:val="-9"/>
          <w:sz w:val="24"/>
        </w:rPr>
        <w:t xml:space="preserve"> </w:t>
      </w:r>
      <w:r>
        <w:rPr>
          <w:sz w:val="24"/>
        </w:rPr>
        <w:t>between</w:t>
      </w:r>
      <w:r>
        <w:rPr>
          <w:spacing w:val="-9"/>
          <w:sz w:val="24"/>
        </w:rPr>
        <w:t xml:space="preserve"> </w:t>
      </w:r>
      <w:r>
        <w:rPr>
          <w:spacing w:val="-3"/>
          <w:sz w:val="24"/>
        </w:rPr>
        <w:t>2.7-3</w:t>
      </w:r>
      <w:r>
        <w:rPr>
          <w:spacing w:val="-7"/>
          <w:sz w:val="24"/>
        </w:rPr>
        <w:t xml:space="preserve"> </w:t>
      </w:r>
      <w:r>
        <w:rPr>
          <w:spacing w:val="-3"/>
          <w:sz w:val="24"/>
        </w:rPr>
        <w:t>(12</w:t>
      </w:r>
      <w:r>
        <w:rPr>
          <w:spacing w:val="-7"/>
          <w:sz w:val="24"/>
        </w:rPr>
        <w:t xml:space="preserve"> </w:t>
      </w:r>
      <w:r>
        <w:rPr>
          <w:spacing w:val="-3"/>
          <w:sz w:val="24"/>
        </w:rPr>
        <w:t>schools)</w:t>
      </w:r>
      <w:r>
        <w:rPr>
          <w:spacing w:val="-7"/>
          <w:sz w:val="24"/>
        </w:rPr>
        <w:t xml:space="preserve"> </w:t>
      </w:r>
      <w:r>
        <w:rPr>
          <w:spacing w:val="-3"/>
          <w:sz w:val="24"/>
        </w:rPr>
        <w:t>and</w:t>
      </w:r>
      <w:r>
        <w:rPr>
          <w:spacing w:val="-7"/>
          <w:sz w:val="24"/>
        </w:rPr>
        <w:t xml:space="preserve"> </w:t>
      </w:r>
      <w:r>
        <w:rPr>
          <w:sz w:val="24"/>
        </w:rPr>
        <w:t>3.2+</w:t>
      </w:r>
      <w:r>
        <w:rPr>
          <w:spacing w:val="-8"/>
          <w:sz w:val="24"/>
        </w:rPr>
        <w:t xml:space="preserve"> </w:t>
      </w:r>
      <w:r>
        <w:rPr>
          <w:spacing w:val="-3"/>
          <w:sz w:val="24"/>
        </w:rPr>
        <w:t>(43</w:t>
      </w:r>
      <w:r>
        <w:rPr>
          <w:spacing w:val="-9"/>
          <w:sz w:val="24"/>
        </w:rPr>
        <w:t xml:space="preserve"> </w:t>
      </w:r>
      <w:r>
        <w:rPr>
          <w:sz w:val="24"/>
        </w:rPr>
        <w:t>schools)</w:t>
      </w:r>
    </w:p>
    <w:p w:rsidR="00F3177F" w:rsidRDefault="0089671D">
      <w:pPr>
        <w:pStyle w:val="ListParagraph"/>
        <w:numPr>
          <w:ilvl w:val="2"/>
          <w:numId w:val="26"/>
        </w:numPr>
        <w:tabs>
          <w:tab w:val="left" w:pos="1304"/>
          <w:tab w:val="left" w:pos="1305"/>
        </w:tabs>
        <w:rPr>
          <w:sz w:val="24"/>
        </w:rPr>
      </w:pPr>
      <w:r>
        <w:rPr>
          <w:sz w:val="24"/>
        </w:rPr>
        <w:t>Extra</w:t>
      </w:r>
      <w:r>
        <w:rPr>
          <w:spacing w:val="-10"/>
          <w:sz w:val="24"/>
        </w:rPr>
        <w:t xml:space="preserve"> </w:t>
      </w:r>
      <w:r>
        <w:rPr>
          <w:spacing w:val="-3"/>
          <w:sz w:val="24"/>
        </w:rPr>
        <w:t>Building:</w:t>
      </w:r>
      <w:r>
        <w:rPr>
          <w:spacing w:val="-5"/>
          <w:sz w:val="24"/>
        </w:rPr>
        <w:t xml:space="preserve"> </w:t>
      </w:r>
      <w:r>
        <w:rPr>
          <w:spacing w:val="-3"/>
          <w:sz w:val="24"/>
        </w:rPr>
        <w:t>yes</w:t>
      </w:r>
      <w:r>
        <w:rPr>
          <w:spacing w:val="-7"/>
          <w:sz w:val="24"/>
        </w:rPr>
        <w:t xml:space="preserve"> </w:t>
      </w:r>
      <w:r>
        <w:rPr>
          <w:spacing w:val="-3"/>
          <w:sz w:val="24"/>
        </w:rPr>
        <w:t>(33</w:t>
      </w:r>
      <w:r>
        <w:rPr>
          <w:spacing w:val="-9"/>
          <w:sz w:val="24"/>
        </w:rPr>
        <w:t xml:space="preserve"> </w:t>
      </w:r>
      <w:r>
        <w:rPr>
          <w:sz w:val="24"/>
        </w:rPr>
        <w:t>schools)</w:t>
      </w:r>
      <w:r>
        <w:rPr>
          <w:spacing w:val="-7"/>
          <w:sz w:val="24"/>
        </w:rPr>
        <w:t xml:space="preserve"> </w:t>
      </w:r>
      <w:r>
        <w:rPr>
          <w:spacing w:val="-3"/>
          <w:sz w:val="24"/>
        </w:rPr>
        <w:t>and</w:t>
      </w:r>
      <w:r>
        <w:rPr>
          <w:spacing w:val="-9"/>
          <w:sz w:val="24"/>
        </w:rPr>
        <w:t xml:space="preserve"> </w:t>
      </w:r>
      <w:r>
        <w:rPr>
          <w:sz w:val="24"/>
        </w:rPr>
        <w:t>no</w:t>
      </w:r>
      <w:r>
        <w:rPr>
          <w:spacing w:val="-9"/>
          <w:sz w:val="24"/>
        </w:rPr>
        <w:t xml:space="preserve"> </w:t>
      </w:r>
      <w:r>
        <w:rPr>
          <w:sz w:val="24"/>
        </w:rPr>
        <w:t>(22</w:t>
      </w:r>
      <w:r>
        <w:rPr>
          <w:spacing w:val="-9"/>
          <w:sz w:val="24"/>
        </w:rPr>
        <w:t xml:space="preserve"> </w:t>
      </w:r>
      <w:r>
        <w:rPr>
          <w:sz w:val="24"/>
        </w:rPr>
        <w:t>schools)</w:t>
      </w:r>
    </w:p>
    <w:p w:rsidR="00F3177F" w:rsidRDefault="0089671D">
      <w:pPr>
        <w:pStyle w:val="ListParagraph"/>
        <w:numPr>
          <w:ilvl w:val="2"/>
          <w:numId w:val="26"/>
        </w:numPr>
        <w:tabs>
          <w:tab w:val="left" w:pos="1304"/>
          <w:tab w:val="left" w:pos="1305"/>
          <w:tab w:val="left" w:pos="3464"/>
        </w:tabs>
        <w:spacing w:line="350" w:lineRule="auto"/>
        <w:ind w:right="115"/>
        <w:rPr>
          <w:sz w:val="24"/>
        </w:rPr>
      </w:pPr>
      <w:r>
        <w:rPr>
          <w:sz w:val="24"/>
        </w:rPr>
        <w:t>Energy</w:t>
      </w:r>
      <w:r>
        <w:rPr>
          <w:spacing w:val="-12"/>
          <w:sz w:val="24"/>
        </w:rPr>
        <w:t xml:space="preserve"> </w:t>
      </w:r>
      <w:r>
        <w:rPr>
          <w:sz w:val="24"/>
        </w:rPr>
        <w:t>Type</w:t>
      </w:r>
      <w:r>
        <w:rPr>
          <w:spacing w:val="-8"/>
          <w:sz w:val="24"/>
        </w:rPr>
        <w:t xml:space="preserve"> </w:t>
      </w:r>
      <w:r>
        <w:rPr>
          <w:spacing w:val="-3"/>
          <w:sz w:val="24"/>
        </w:rPr>
        <w:t>Used:</w:t>
      </w:r>
      <w:r>
        <w:rPr>
          <w:spacing w:val="-3"/>
          <w:sz w:val="24"/>
        </w:rPr>
        <w:tab/>
      </w:r>
      <w:r>
        <w:rPr>
          <w:sz w:val="24"/>
        </w:rPr>
        <w:t xml:space="preserve">electricity + oil  </w:t>
      </w:r>
      <w:r>
        <w:rPr>
          <w:spacing w:val="-3"/>
          <w:sz w:val="24"/>
        </w:rPr>
        <w:t xml:space="preserve">(37  </w:t>
      </w:r>
      <w:r>
        <w:rPr>
          <w:sz w:val="24"/>
        </w:rPr>
        <w:t xml:space="preserve">schools)  and electricity + </w:t>
      </w:r>
      <w:r>
        <w:rPr>
          <w:spacing w:val="48"/>
          <w:sz w:val="24"/>
        </w:rPr>
        <w:t xml:space="preserve"> </w:t>
      </w:r>
      <w:r>
        <w:rPr>
          <w:spacing w:val="-3"/>
          <w:sz w:val="24"/>
        </w:rPr>
        <w:t>wood</w:t>
      </w:r>
      <w:r>
        <w:rPr>
          <w:spacing w:val="35"/>
          <w:sz w:val="24"/>
        </w:rPr>
        <w:t xml:space="preserve"> </w:t>
      </w:r>
      <w:r>
        <w:rPr>
          <w:sz w:val="24"/>
        </w:rPr>
        <w:t xml:space="preserve">(18 </w:t>
      </w:r>
      <w:r>
        <w:rPr>
          <w:spacing w:val="-3"/>
          <w:sz w:val="24"/>
        </w:rPr>
        <w:t>schools)</w:t>
      </w:r>
    </w:p>
    <w:p w:rsidR="00F3177F" w:rsidRDefault="0089671D">
      <w:pPr>
        <w:pStyle w:val="ListParagraph"/>
        <w:numPr>
          <w:ilvl w:val="2"/>
          <w:numId w:val="26"/>
        </w:numPr>
        <w:tabs>
          <w:tab w:val="left" w:pos="1304"/>
          <w:tab w:val="left" w:pos="1305"/>
        </w:tabs>
        <w:spacing w:before="0" w:line="352" w:lineRule="auto"/>
        <w:ind w:right="112"/>
        <w:rPr>
          <w:sz w:val="24"/>
        </w:rPr>
      </w:pPr>
      <w:r>
        <w:rPr>
          <w:spacing w:val="-3"/>
          <w:sz w:val="24"/>
        </w:rPr>
        <w:t xml:space="preserve">Student density: </w:t>
      </w:r>
      <w:r>
        <w:rPr>
          <w:sz w:val="24"/>
        </w:rPr>
        <w:t xml:space="preserve">0.01-0.2 </w:t>
      </w:r>
      <w:r>
        <w:rPr>
          <w:spacing w:val="-3"/>
          <w:sz w:val="24"/>
        </w:rPr>
        <w:t>student/m</w:t>
      </w:r>
      <w:r>
        <w:rPr>
          <w:spacing w:val="-3"/>
          <w:position w:val="11"/>
          <w:sz w:val="16"/>
        </w:rPr>
        <w:t xml:space="preserve">2 </w:t>
      </w:r>
      <w:r>
        <w:rPr>
          <w:sz w:val="24"/>
        </w:rPr>
        <w:t xml:space="preserve">(43 schools) </w:t>
      </w:r>
      <w:r>
        <w:rPr>
          <w:spacing w:val="-3"/>
          <w:sz w:val="24"/>
        </w:rPr>
        <w:t xml:space="preserve">and </w:t>
      </w:r>
      <w:r>
        <w:rPr>
          <w:sz w:val="24"/>
        </w:rPr>
        <w:t>more than 0.2 student/m</w:t>
      </w:r>
      <w:r>
        <w:rPr>
          <w:position w:val="11"/>
          <w:sz w:val="16"/>
        </w:rPr>
        <w:t xml:space="preserve">2 </w:t>
      </w:r>
      <w:r>
        <w:rPr>
          <w:spacing w:val="-3"/>
          <w:sz w:val="24"/>
        </w:rPr>
        <w:t>(12</w:t>
      </w:r>
      <w:r>
        <w:rPr>
          <w:spacing w:val="-18"/>
          <w:sz w:val="24"/>
        </w:rPr>
        <w:t xml:space="preserve"> </w:t>
      </w:r>
      <w:r>
        <w:rPr>
          <w:sz w:val="24"/>
        </w:rPr>
        <w:t>schools)</w:t>
      </w:r>
    </w:p>
    <w:p w:rsidR="00F3177F" w:rsidRDefault="00F3177F">
      <w:pPr>
        <w:pStyle w:val="BodyText"/>
      </w:pPr>
    </w:p>
    <w:p w:rsidR="00F3177F" w:rsidRDefault="0089671D">
      <w:pPr>
        <w:pStyle w:val="BodyText"/>
        <w:spacing w:before="151" w:line="360" w:lineRule="auto"/>
        <w:ind w:left="584" w:right="110"/>
        <w:jc w:val="both"/>
      </w:pPr>
      <w:r>
        <w:rPr>
          <w:spacing w:val="-3"/>
        </w:rPr>
        <w:t xml:space="preserve">In addition, </w:t>
      </w:r>
      <w:r>
        <w:t xml:space="preserve">as building </w:t>
      </w:r>
      <w:r>
        <w:rPr>
          <w:spacing w:val="-3"/>
        </w:rPr>
        <w:t xml:space="preserve">carbon emissions </w:t>
      </w:r>
      <w:r>
        <w:t xml:space="preserve">is a </w:t>
      </w:r>
      <w:r>
        <w:rPr>
          <w:spacing w:val="-3"/>
        </w:rPr>
        <w:t xml:space="preserve">significant factor </w:t>
      </w:r>
      <w:r>
        <w:t xml:space="preserve">in building energy </w:t>
      </w:r>
      <w:r>
        <w:rPr>
          <w:spacing w:val="-3"/>
        </w:rPr>
        <w:t xml:space="preserve">regulations and </w:t>
      </w:r>
      <w:r>
        <w:t xml:space="preserve">saving </w:t>
      </w:r>
      <w:r>
        <w:rPr>
          <w:spacing w:val="-3"/>
        </w:rPr>
        <w:t xml:space="preserve">environment, </w:t>
      </w:r>
      <w:r>
        <w:t xml:space="preserve">the state </w:t>
      </w:r>
      <w:r>
        <w:rPr>
          <w:spacing w:val="-3"/>
        </w:rPr>
        <w:t xml:space="preserve">school </w:t>
      </w:r>
      <w:r>
        <w:t>building carbon emissions in   PCM</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57" w:lineRule="auto"/>
        <w:ind w:left="584" w:right="114"/>
        <w:jc w:val="both"/>
      </w:pPr>
      <w:proofErr w:type="gramStart"/>
      <w:r>
        <w:lastRenderedPageBreak/>
        <w:t>were</w:t>
      </w:r>
      <w:proofErr w:type="gramEnd"/>
      <w:r>
        <w:rPr>
          <w:spacing w:val="-7"/>
        </w:rPr>
        <w:t xml:space="preserve"> </w:t>
      </w:r>
      <w:r>
        <w:rPr>
          <w:spacing w:val="-3"/>
        </w:rPr>
        <w:t>also</w:t>
      </w:r>
      <w:r>
        <w:rPr>
          <w:spacing w:val="-6"/>
        </w:rPr>
        <w:t xml:space="preserve"> </w:t>
      </w:r>
      <w:r>
        <w:rPr>
          <w:spacing w:val="-3"/>
        </w:rPr>
        <w:t>calculated</w:t>
      </w:r>
      <w:r>
        <w:rPr>
          <w:spacing w:val="-7"/>
        </w:rPr>
        <w:t xml:space="preserve"> </w:t>
      </w:r>
      <w:r>
        <w:t>to</w:t>
      </w:r>
      <w:r>
        <w:rPr>
          <w:spacing w:val="-6"/>
        </w:rPr>
        <w:t xml:space="preserve"> </w:t>
      </w:r>
      <w:r>
        <w:t>find</w:t>
      </w:r>
      <w:r>
        <w:rPr>
          <w:spacing w:val="-7"/>
        </w:rPr>
        <w:t xml:space="preserve"> </w:t>
      </w:r>
      <w:r>
        <w:t>the</w:t>
      </w:r>
      <w:r>
        <w:rPr>
          <w:spacing w:val="-7"/>
        </w:rPr>
        <w:t xml:space="preserve"> </w:t>
      </w:r>
      <w:r>
        <w:rPr>
          <w:spacing w:val="-3"/>
        </w:rPr>
        <w:t>averages.</w:t>
      </w:r>
      <w:r>
        <w:rPr>
          <w:spacing w:val="-7"/>
        </w:rPr>
        <w:t xml:space="preserve"> </w:t>
      </w:r>
      <w:r>
        <w:t>An</w:t>
      </w:r>
      <w:r>
        <w:rPr>
          <w:spacing w:val="-8"/>
        </w:rPr>
        <w:t xml:space="preserve"> </w:t>
      </w:r>
      <w:r>
        <w:t>interactive</w:t>
      </w:r>
      <w:r>
        <w:rPr>
          <w:spacing w:val="-8"/>
        </w:rPr>
        <w:t xml:space="preserve"> </w:t>
      </w:r>
      <w:r>
        <w:t>program</w:t>
      </w:r>
      <w:r>
        <w:rPr>
          <w:spacing w:val="-5"/>
        </w:rPr>
        <w:t xml:space="preserve"> </w:t>
      </w:r>
      <w:r>
        <w:rPr>
          <w:spacing w:val="-3"/>
        </w:rPr>
        <w:t>from</w:t>
      </w:r>
      <w:r>
        <w:rPr>
          <w:spacing w:val="-7"/>
        </w:rPr>
        <w:t xml:space="preserve"> </w:t>
      </w:r>
      <w:r>
        <w:t>the</w:t>
      </w:r>
      <w:r>
        <w:rPr>
          <w:spacing w:val="-7"/>
        </w:rPr>
        <w:t xml:space="preserve"> </w:t>
      </w:r>
      <w:r>
        <w:rPr>
          <w:spacing w:val="-3"/>
        </w:rPr>
        <w:t>official</w:t>
      </w:r>
      <w:r>
        <w:rPr>
          <w:spacing w:val="-5"/>
        </w:rPr>
        <w:t xml:space="preserve"> </w:t>
      </w:r>
      <w:r>
        <w:rPr>
          <w:spacing w:val="-3"/>
        </w:rPr>
        <w:t xml:space="preserve">website </w:t>
      </w:r>
      <w:r>
        <w:t xml:space="preserve">of </w:t>
      </w:r>
      <w:r>
        <w:rPr>
          <w:spacing w:val="-3"/>
        </w:rPr>
        <w:t xml:space="preserve">Carbon Footprint Ltd. (n.d.) </w:t>
      </w:r>
      <w:r>
        <w:t xml:space="preserve">was </w:t>
      </w:r>
      <w:r>
        <w:rPr>
          <w:spacing w:val="-3"/>
        </w:rPr>
        <w:t xml:space="preserve">used </w:t>
      </w:r>
      <w:r>
        <w:t xml:space="preserve">to </w:t>
      </w:r>
      <w:r>
        <w:rPr>
          <w:spacing w:val="-3"/>
        </w:rPr>
        <w:t xml:space="preserve">convert </w:t>
      </w:r>
      <w:r>
        <w:rPr>
          <w:spacing w:val="-2"/>
        </w:rPr>
        <w:t xml:space="preserve">all </w:t>
      </w:r>
      <w:r>
        <w:rPr>
          <w:spacing w:val="-3"/>
        </w:rPr>
        <w:t xml:space="preserve">types </w:t>
      </w:r>
      <w:r>
        <w:t xml:space="preserve">of energy </w:t>
      </w:r>
      <w:r>
        <w:rPr>
          <w:spacing w:val="-3"/>
        </w:rPr>
        <w:t xml:space="preserve">resources </w:t>
      </w:r>
      <w:r>
        <w:t xml:space="preserve">into </w:t>
      </w:r>
      <w:r>
        <w:rPr>
          <w:spacing w:val="-3"/>
        </w:rPr>
        <w:t>kgCO</w:t>
      </w:r>
      <w:r>
        <w:rPr>
          <w:spacing w:val="-3"/>
          <w:position w:val="-2"/>
          <w:sz w:val="16"/>
        </w:rPr>
        <w:t xml:space="preserve">2 </w:t>
      </w:r>
      <w:r>
        <w:rPr>
          <w:spacing w:val="-3"/>
        </w:rPr>
        <w:t xml:space="preserve">emission </w:t>
      </w:r>
      <w:r>
        <w:t xml:space="preserve">to </w:t>
      </w:r>
      <w:r>
        <w:rPr>
          <w:spacing w:val="-3"/>
        </w:rPr>
        <w:t xml:space="preserve">find </w:t>
      </w:r>
      <w:r>
        <w:t xml:space="preserve">out the </w:t>
      </w:r>
      <w:r>
        <w:rPr>
          <w:spacing w:val="-3"/>
        </w:rPr>
        <w:t xml:space="preserve">schools’ </w:t>
      </w:r>
      <w:r>
        <w:t xml:space="preserve">annual </w:t>
      </w:r>
      <w:r>
        <w:rPr>
          <w:spacing w:val="-3"/>
        </w:rPr>
        <w:t xml:space="preserve">carbon emissions </w:t>
      </w:r>
      <w:r>
        <w:t xml:space="preserve">per </w:t>
      </w:r>
      <w:r>
        <w:rPr>
          <w:spacing w:val="-3"/>
        </w:rPr>
        <w:t xml:space="preserve">meter square. According </w:t>
      </w:r>
      <w:r>
        <w:t xml:space="preserve">the </w:t>
      </w:r>
      <w:r>
        <w:rPr>
          <w:spacing w:val="-3"/>
        </w:rPr>
        <w:t xml:space="preserve">Carbon Footprint’s website, </w:t>
      </w:r>
      <w:r>
        <w:t xml:space="preserve">the </w:t>
      </w:r>
      <w:r>
        <w:rPr>
          <w:spacing w:val="-3"/>
        </w:rPr>
        <w:t xml:space="preserve">following conversion measures given below </w:t>
      </w:r>
      <w:r>
        <w:t xml:space="preserve">are used to </w:t>
      </w:r>
      <w:r>
        <w:rPr>
          <w:spacing w:val="-3"/>
        </w:rPr>
        <w:t xml:space="preserve">find </w:t>
      </w:r>
      <w:r>
        <w:t xml:space="preserve">out </w:t>
      </w:r>
      <w:r>
        <w:rPr>
          <w:spacing w:val="-3"/>
        </w:rPr>
        <w:t>carbon</w:t>
      </w:r>
      <w:r>
        <w:rPr>
          <w:spacing w:val="-22"/>
        </w:rPr>
        <w:t xml:space="preserve"> </w:t>
      </w:r>
      <w:r>
        <w:rPr>
          <w:spacing w:val="-3"/>
        </w:rPr>
        <w:t>emissions.</w:t>
      </w:r>
    </w:p>
    <w:p w:rsidR="00F3177F" w:rsidRDefault="0089671D">
      <w:pPr>
        <w:pStyle w:val="ListParagraph"/>
        <w:numPr>
          <w:ilvl w:val="2"/>
          <w:numId w:val="26"/>
        </w:numPr>
        <w:tabs>
          <w:tab w:val="left" w:pos="1304"/>
          <w:tab w:val="left" w:pos="1305"/>
        </w:tabs>
        <w:spacing w:before="0" w:line="300" w:lineRule="exact"/>
        <w:rPr>
          <w:sz w:val="16"/>
        </w:rPr>
      </w:pPr>
      <w:r>
        <w:rPr>
          <w:sz w:val="24"/>
        </w:rPr>
        <w:t>1</w:t>
      </w:r>
      <w:r>
        <w:rPr>
          <w:spacing w:val="-10"/>
          <w:sz w:val="24"/>
        </w:rPr>
        <w:t xml:space="preserve"> </w:t>
      </w:r>
      <w:r>
        <w:rPr>
          <w:sz w:val="24"/>
        </w:rPr>
        <w:t>kWatt</w:t>
      </w:r>
      <w:r>
        <w:rPr>
          <w:spacing w:val="-10"/>
          <w:sz w:val="24"/>
        </w:rPr>
        <w:t xml:space="preserve"> </w:t>
      </w:r>
      <w:r>
        <w:rPr>
          <w:sz w:val="24"/>
        </w:rPr>
        <w:t>electric</w:t>
      </w:r>
      <w:r>
        <w:rPr>
          <w:spacing w:val="-9"/>
          <w:sz w:val="24"/>
        </w:rPr>
        <w:t xml:space="preserve"> </w:t>
      </w:r>
      <w:r>
        <w:rPr>
          <w:sz w:val="24"/>
        </w:rPr>
        <w:t>energy</w:t>
      </w:r>
      <w:r>
        <w:rPr>
          <w:spacing w:val="-13"/>
          <w:sz w:val="24"/>
        </w:rPr>
        <w:t xml:space="preserve"> </w:t>
      </w:r>
      <w:r>
        <w:rPr>
          <w:sz w:val="24"/>
        </w:rPr>
        <w:t>=</w:t>
      </w:r>
      <w:r>
        <w:rPr>
          <w:spacing w:val="-9"/>
          <w:sz w:val="24"/>
        </w:rPr>
        <w:t xml:space="preserve"> </w:t>
      </w:r>
      <w:r>
        <w:rPr>
          <w:spacing w:val="-3"/>
          <w:sz w:val="24"/>
        </w:rPr>
        <w:t>0.53</w:t>
      </w:r>
      <w:r>
        <w:rPr>
          <w:spacing w:val="-10"/>
          <w:sz w:val="24"/>
        </w:rPr>
        <w:t xml:space="preserve"> </w:t>
      </w:r>
      <w:r>
        <w:rPr>
          <w:sz w:val="24"/>
        </w:rPr>
        <w:t>kg</w:t>
      </w:r>
      <w:r>
        <w:rPr>
          <w:spacing w:val="-13"/>
          <w:sz w:val="24"/>
        </w:rPr>
        <w:t xml:space="preserve"> </w:t>
      </w:r>
      <w:r>
        <w:rPr>
          <w:sz w:val="24"/>
        </w:rPr>
        <w:t>CO</w:t>
      </w:r>
      <w:r>
        <w:rPr>
          <w:position w:val="11"/>
          <w:sz w:val="16"/>
        </w:rPr>
        <w:t>2</w:t>
      </w:r>
    </w:p>
    <w:p w:rsidR="00F3177F" w:rsidRDefault="0089671D">
      <w:pPr>
        <w:pStyle w:val="ListParagraph"/>
        <w:numPr>
          <w:ilvl w:val="2"/>
          <w:numId w:val="26"/>
        </w:numPr>
        <w:tabs>
          <w:tab w:val="left" w:pos="1304"/>
          <w:tab w:val="left" w:pos="1305"/>
        </w:tabs>
        <w:spacing w:before="120"/>
        <w:rPr>
          <w:sz w:val="16"/>
        </w:rPr>
      </w:pPr>
      <w:r>
        <w:rPr>
          <w:sz w:val="24"/>
        </w:rPr>
        <w:t>1</w:t>
      </w:r>
      <w:r>
        <w:rPr>
          <w:spacing w:val="-10"/>
          <w:sz w:val="24"/>
        </w:rPr>
        <w:t xml:space="preserve"> </w:t>
      </w:r>
      <w:r>
        <w:rPr>
          <w:sz w:val="24"/>
        </w:rPr>
        <w:t>liter</w:t>
      </w:r>
      <w:r>
        <w:rPr>
          <w:spacing w:val="-9"/>
          <w:sz w:val="24"/>
        </w:rPr>
        <w:t xml:space="preserve"> </w:t>
      </w:r>
      <w:r>
        <w:rPr>
          <w:sz w:val="24"/>
        </w:rPr>
        <w:t>of</w:t>
      </w:r>
      <w:r>
        <w:rPr>
          <w:spacing w:val="-11"/>
          <w:sz w:val="24"/>
        </w:rPr>
        <w:t xml:space="preserve"> </w:t>
      </w:r>
      <w:r>
        <w:rPr>
          <w:sz w:val="24"/>
        </w:rPr>
        <w:t>heating</w:t>
      </w:r>
      <w:r>
        <w:rPr>
          <w:spacing w:val="-12"/>
          <w:sz w:val="24"/>
        </w:rPr>
        <w:t xml:space="preserve"> </w:t>
      </w:r>
      <w:r>
        <w:rPr>
          <w:sz w:val="24"/>
        </w:rPr>
        <w:t>oil</w:t>
      </w:r>
      <w:r>
        <w:rPr>
          <w:spacing w:val="-8"/>
          <w:sz w:val="24"/>
        </w:rPr>
        <w:t xml:space="preserve"> </w:t>
      </w:r>
      <w:r>
        <w:rPr>
          <w:sz w:val="24"/>
        </w:rPr>
        <w:t>=</w:t>
      </w:r>
      <w:r>
        <w:rPr>
          <w:spacing w:val="-11"/>
          <w:sz w:val="24"/>
        </w:rPr>
        <w:t xml:space="preserve"> </w:t>
      </w:r>
      <w:r>
        <w:rPr>
          <w:sz w:val="24"/>
        </w:rPr>
        <w:t>2.97</w:t>
      </w:r>
      <w:r>
        <w:rPr>
          <w:spacing w:val="-10"/>
          <w:sz w:val="24"/>
        </w:rPr>
        <w:t xml:space="preserve"> </w:t>
      </w:r>
      <w:r>
        <w:rPr>
          <w:sz w:val="24"/>
        </w:rPr>
        <w:t>kg</w:t>
      </w:r>
      <w:r>
        <w:rPr>
          <w:spacing w:val="-13"/>
          <w:sz w:val="24"/>
        </w:rPr>
        <w:t xml:space="preserve"> </w:t>
      </w:r>
      <w:r>
        <w:rPr>
          <w:sz w:val="24"/>
        </w:rPr>
        <w:t>CO</w:t>
      </w:r>
      <w:r>
        <w:rPr>
          <w:position w:val="11"/>
          <w:sz w:val="16"/>
        </w:rPr>
        <w:t>2</w:t>
      </w:r>
    </w:p>
    <w:p w:rsidR="00F3177F" w:rsidRDefault="0089671D">
      <w:pPr>
        <w:pStyle w:val="ListParagraph"/>
        <w:numPr>
          <w:ilvl w:val="2"/>
          <w:numId w:val="26"/>
        </w:numPr>
        <w:tabs>
          <w:tab w:val="left" w:pos="1304"/>
          <w:tab w:val="left" w:pos="1305"/>
        </w:tabs>
        <w:spacing w:before="120"/>
        <w:rPr>
          <w:sz w:val="16"/>
        </w:rPr>
      </w:pPr>
      <w:r>
        <w:rPr>
          <w:sz w:val="24"/>
        </w:rPr>
        <w:t>1</w:t>
      </w:r>
      <w:r>
        <w:rPr>
          <w:spacing w:val="-8"/>
          <w:sz w:val="24"/>
        </w:rPr>
        <w:t xml:space="preserve"> </w:t>
      </w:r>
      <w:r>
        <w:rPr>
          <w:sz w:val="24"/>
        </w:rPr>
        <w:t>ton</w:t>
      </w:r>
      <w:r>
        <w:rPr>
          <w:spacing w:val="-8"/>
          <w:sz w:val="24"/>
        </w:rPr>
        <w:t xml:space="preserve"> </w:t>
      </w:r>
      <w:r>
        <w:rPr>
          <w:sz w:val="24"/>
        </w:rPr>
        <w:t>of</w:t>
      </w:r>
      <w:r>
        <w:rPr>
          <w:spacing w:val="-7"/>
          <w:sz w:val="24"/>
        </w:rPr>
        <w:t xml:space="preserve"> </w:t>
      </w:r>
      <w:r>
        <w:rPr>
          <w:sz w:val="24"/>
        </w:rPr>
        <w:t>coal</w:t>
      </w:r>
      <w:r>
        <w:rPr>
          <w:spacing w:val="-5"/>
          <w:sz w:val="24"/>
        </w:rPr>
        <w:t xml:space="preserve"> </w:t>
      </w:r>
      <w:r>
        <w:rPr>
          <w:sz w:val="24"/>
        </w:rPr>
        <w:t>=</w:t>
      </w:r>
      <w:r>
        <w:rPr>
          <w:spacing w:val="-9"/>
          <w:sz w:val="24"/>
        </w:rPr>
        <w:t xml:space="preserve"> </w:t>
      </w:r>
      <w:r>
        <w:rPr>
          <w:spacing w:val="-3"/>
          <w:sz w:val="24"/>
        </w:rPr>
        <w:t>2420</w:t>
      </w:r>
      <w:r>
        <w:rPr>
          <w:spacing w:val="-6"/>
          <w:sz w:val="24"/>
        </w:rPr>
        <w:t xml:space="preserve"> </w:t>
      </w:r>
      <w:r>
        <w:rPr>
          <w:sz w:val="24"/>
        </w:rPr>
        <w:t>kg</w:t>
      </w:r>
      <w:r>
        <w:rPr>
          <w:spacing w:val="-11"/>
          <w:sz w:val="24"/>
        </w:rPr>
        <w:t xml:space="preserve"> </w:t>
      </w:r>
      <w:r>
        <w:rPr>
          <w:sz w:val="24"/>
        </w:rPr>
        <w:t>CO</w:t>
      </w:r>
      <w:r>
        <w:rPr>
          <w:position w:val="11"/>
          <w:sz w:val="16"/>
        </w:rPr>
        <w:t>2</w:t>
      </w:r>
    </w:p>
    <w:p w:rsidR="00F3177F" w:rsidRDefault="0089671D">
      <w:pPr>
        <w:pStyle w:val="ListParagraph"/>
        <w:numPr>
          <w:ilvl w:val="2"/>
          <w:numId w:val="26"/>
        </w:numPr>
        <w:tabs>
          <w:tab w:val="left" w:pos="1304"/>
          <w:tab w:val="left" w:pos="1305"/>
        </w:tabs>
        <w:spacing w:before="118"/>
        <w:rPr>
          <w:sz w:val="16"/>
        </w:rPr>
      </w:pPr>
      <w:r>
        <w:rPr>
          <w:sz w:val="24"/>
        </w:rPr>
        <w:t>1</w:t>
      </w:r>
      <w:r>
        <w:rPr>
          <w:spacing w:val="-8"/>
          <w:sz w:val="24"/>
        </w:rPr>
        <w:t xml:space="preserve"> </w:t>
      </w:r>
      <w:r>
        <w:rPr>
          <w:sz w:val="24"/>
        </w:rPr>
        <w:t>ton</w:t>
      </w:r>
      <w:r>
        <w:rPr>
          <w:spacing w:val="-8"/>
          <w:sz w:val="24"/>
        </w:rPr>
        <w:t xml:space="preserve"> </w:t>
      </w:r>
      <w:r>
        <w:rPr>
          <w:sz w:val="24"/>
        </w:rPr>
        <w:t>of</w:t>
      </w:r>
      <w:r>
        <w:rPr>
          <w:spacing w:val="-7"/>
          <w:sz w:val="24"/>
        </w:rPr>
        <w:t xml:space="preserve"> </w:t>
      </w:r>
      <w:r>
        <w:rPr>
          <w:spacing w:val="-3"/>
          <w:sz w:val="24"/>
        </w:rPr>
        <w:t>oak</w:t>
      </w:r>
      <w:r>
        <w:rPr>
          <w:spacing w:val="-6"/>
          <w:sz w:val="24"/>
        </w:rPr>
        <w:t xml:space="preserve"> </w:t>
      </w:r>
      <w:r>
        <w:rPr>
          <w:sz w:val="24"/>
        </w:rPr>
        <w:t>tree</w:t>
      </w:r>
      <w:r>
        <w:rPr>
          <w:spacing w:val="-7"/>
          <w:sz w:val="24"/>
        </w:rPr>
        <w:t xml:space="preserve"> </w:t>
      </w:r>
      <w:r>
        <w:rPr>
          <w:sz w:val="24"/>
        </w:rPr>
        <w:t>=</w:t>
      </w:r>
      <w:r>
        <w:rPr>
          <w:spacing w:val="-9"/>
          <w:sz w:val="24"/>
        </w:rPr>
        <w:t xml:space="preserve"> </w:t>
      </w:r>
      <w:r>
        <w:rPr>
          <w:sz w:val="24"/>
        </w:rPr>
        <w:t>50</w:t>
      </w:r>
      <w:r>
        <w:rPr>
          <w:spacing w:val="-6"/>
          <w:sz w:val="24"/>
        </w:rPr>
        <w:t xml:space="preserve"> </w:t>
      </w:r>
      <w:r>
        <w:rPr>
          <w:sz w:val="24"/>
        </w:rPr>
        <w:t>kg</w:t>
      </w:r>
      <w:r>
        <w:rPr>
          <w:spacing w:val="-8"/>
          <w:sz w:val="24"/>
        </w:rPr>
        <w:t xml:space="preserve"> </w:t>
      </w:r>
      <w:r>
        <w:rPr>
          <w:sz w:val="24"/>
        </w:rPr>
        <w:t>CO</w:t>
      </w:r>
      <w:r>
        <w:rPr>
          <w:position w:val="11"/>
          <w:sz w:val="16"/>
        </w:rPr>
        <w:t>2</w:t>
      </w:r>
    </w:p>
    <w:p w:rsidR="00F3177F" w:rsidRDefault="00F3177F">
      <w:pPr>
        <w:pStyle w:val="BodyText"/>
        <w:rPr>
          <w:sz w:val="28"/>
        </w:rPr>
      </w:pPr>
    </w:p>
    <w:p w:rsidR="00F3177F" w:rsidRDefault="0089671D">
      <w:pPr>
        <w:pStyle w:val="BodyText"/>
        <w:spacing w:before="231" w:line="360" w:lineRule="auto"/>
        <w:ind w:left="584" w:right="115"/>
        <w:jc w:val="both"/>
      </w:pPr>
      <w:r>
        <w:t>The</w:t>
      </w:r>
      <w:r>
        <w:rPr>
          <w:spacing w:val="-5"/>
        </w:rPr>
        <w:t xml:space="preserve"> </w:t>
      </w:r>
      <w:r>
        <w:rPr>
          <w:spacing w:val="-2"/>
        </w:rPr>
        <w:t>aim</w:t>
      </w:r>
      <w:r>
        <w:rPr>
          <w:spacing w:val="-6"/>
        </w:rPr>
        <w:t xml:space="preserve"> </w:t>
      </w:r>
      <w:r>
        <w:t>of</w:t>
      </w:r>
      <w:r>
        <w:rPr>
          <w:spacing w:val="-5"/>
        </w:rPr>
        <w:t xml:space="preserve"> </w:t>
      </w:r>
      <w:r>
        <w:t>the</w:t>
      </w:r>
      <w:r>
        <w:rPr>
          <w:spacing w:val="-5"/>
        </w:rPr>
        <w:t xml:space="preserve"> </w:t>
      </w:r>
      <w:r>
        <w:rPr>
          <w:spacing w:val="-3"/>
        </w:rPr>
        <w:t>second</w:t>
      </w:r>
      <w:r>
        <w:rPr>
          <w:spacing w:val="-4"/>
        </w:rPr>
        <w:t xml:space="preserve"> </w:t>
      </w:r>
      <w:r>
        <w:t>stage</w:t>
      </w:r>
      <w:r>
        <w:rPr>
          <w:spacing w:val="-7"/>
        </w:rPr>
        <w:t xml:space="preserve"> </w:t>
      </w:r>
      <w:r>
        <w:t>of</w:t>
      </w:r>
      <w:r>
        <w:rPr>
          <w:spacing w:val="-7"/>
        </w:rPr>
        <w:t xml:space="preserve"> </w:t>
      </w:r>
      <w:r>
        <w:t>the</w:t>
      </w:r>
      <w:r>
        <w:rPr>
          <w:spacing w:val="-5"/>
        </w:rPr>
        <w:t xml:space="preserve"> </w:t>
      </w:r>
      <w:r>
        <w:rPr>
          <w:spacing w:val="-3"/>
        </w:rPr>
        <w:t>research</w:t>
      </w:r>
      <w:r>
        <w:rPr>
          <w:spacing w:val="-4"/>
        </w:rPr>
        <w:t xml:space="preserve"> </w:t>
      </w:r>
      <w:r>
        <w:rPr>
          <w:spacing w:val="-3"/>
        </w:rPr>
        <w:t>was</w:t>
      </w:r>
      <w:r>
        <w:rPr>
          <w:spacing w:val="-4"/>
        </w:rPr>
        <w:t xml:space="preserve"> </w:t>
      </w:r>
      <w:r>
        <w:t>to</w:t>
      </w:r>
      <w:r>
        <w:rPr>
          <w:spacing w:val="-4"/>
        </w:rPr>
        <w:t xml:space="preserve"> </w:t>
      </w:r>
      <w:r>
        <w:rPr>
          <w:spacing w:val="-3"/>
        </w:rPr>
        <w:t>find</w:t>
      </w:r>
      <w:r>
        <w:rPr>
          <w:spacing w:val="-6"/>
        </w:rPr>
        <w:t xml:space="preserve"> </w:t>
      </w:r>
      <w:r>
        <w:t>out</w:t>
      </w:r>
      <w:r>
        <w:rPr>
          <w:spacing w:val="-6"/>
        </w:rPr>
        <w:t xml:space="preserve"> </w:t>
      </w:r>
      <w:r>
        <w:t>the</w:t>
      </w:r>
      <w:r>
        <w:rPr>
          <w:spacing w:val="-5"/>
        </w:rPr>
        <w:t xml:space="preserve"> </w:t>
      </w:r>
      <w:r>
        <w:rPr>
          <w:spacing w:val="-3"/>
        </w:rPr>
        <w:t>complaint</w:t>
      </w:r>
      <w:r>
        <w:rPr>
          <w:spacing w:val="-6"/>
        </w:rPr>
        <w:t xml:space="preserve"> </w:t>
      </w:r>
      <w:r>
        <w:t>level</w:t>
      </w:r>
      <w:r>
        <w:rPr>
          <w:spacing w:val="-6"/>
        </w:rPr>
        <w:t xml:space="preserve"> </w:t>
      </w:r>
      <w:r>
        <w:rPr>
          <w:spacing w:val="-3"/>
        </w:rPr>
        <w:t xml:space="preserve">differences </w:t>
      </w:r>
      <w:r>
        <w:t xml:space="preserve">in the MAXECSs </w:t>
      </w:r>
      <w:r>
        <w:rPr>
          <w:spacing w:val="-3"/>
        </w:rPr>
        <w:t xml:space="preserve">and </w:t>
      </w:r>
      <w:r>
        <w:t xml:space="preserve">the MINECSs per students in PCM with the help of Word </w:t>
      </w:r>
      <w:r>
        <w:rPr>
          <w:spacing w:val="-3"/>
        </w:rPr>
        <w:t xml:space="preserve">Excel worksheet. </w:t>
      </w:r>
      <w:r>
        <w:t xml:space="preserve">First of all, three </w:t>
      </w:r>
      <w:r>
        <w:rPr>
          <w:spacing w:val="-3"/>
        </w:rPr>
        <w:t xml:space="preserve">schools </w:t>
      </w:r>
      <w:r>
        <w:t xml:space="preserve">with the </w:t>
      </w:r>
      <w:r>
        <w:rPr>
          <w:spacing w:val="-3"/>
        </w:rPr>
        <w:t xml:space="preserve">highest </w:t>
      </w:r>
      <w:r>
        <w:t xml:space="preserve">energy consumption </w:t>
      </w:r>
      <w:r>
        <w:rPr>
          <w:spacing w:val="-3"/>
        </w:rPr>
        <w:t xml:space="preserve">and </w:t>
      </w:r>
      <w:r>
        <w:t xml:space="preserve">three </w:t>
      </w:r>
      <w:r>
        <w:rPr>
          <w:spacing w:val="-3"/>
        </w:rPr>
        <w:t xml:space="preserve">schools </w:t>
      </w:r>
      <w:r>
        <w:t xml:space="preserve">with the lowest energy </w:t>
      </w:r>
      <w:r>
        <w:rPr>
          <w:spacing w:val="-3"/>
        </w:rPr>
        <w:t xml:space="preserve">consumptions </w:t>
      </w:r>
      <w:r>
        <w:t xml:space="preserve">per </w:t>
      </w:r>
      <w:r>
        <w:rPr>
          <w:spacing w:val="-3"/>
        </w:rPr>
        <w:t xml:space="preserve">student </w:t>
      </w:r>
      <w:r>
        <w:t xml:space="preserve">according to the </w:t>
      </w:r>
      <w:r>
        <w:rPr>
          <w:spacing w:val="-3"/>
        </w:rPr>
        <w:t xml:space="preserve">first </w:t>
      </w:r>
      <w:r>
        <w:t xml:space="preserve">stage of the </w:t>
      </w:r>
      <w:r>
        <w:rPr>
          <w:spacing w:val="-3"/>
        </w:rPr>
        <w:t xml:space="preserve">research </w:t>
      </w:r>
      <w:r>
        <w:t xml:space="preserve">along with their building </w:t>
      </w:r>
      <w:r>
        <w:rPr>
          <w:spacing w:val="-3"/>
        </w:rPr>
        <w:t xml:space="preserve">transparencies and compactness </w:t>
      </w:r>
      <w:r>
        <w:t xml:space="preserve">were found out. </w:t>
      </w:r>
      <w:r>
        <w:rPr>
          <w:spacing w:val="-3"/>
        </w:rPr>
        <w:t xml:space="preserve">Although </w:t>
      </w:r>
      <w:r>
        <w:t xml:space="preserve">an </w:t>
      </w:r>
      <w:r>
        <w:rPr>
          <w:spacing w:val="-3"/>
        </w:rPr>
        <w:t xml:space="preserve">exact </w:t>
      </w:r>
      <w:r>
        <w:t xml:space="preserve">English </w:t>
      </w:r>
      <w:r>
        <w:rPr>
          <w:spacing w:val="-3"/>
        </w:rPr>
        <w:t xml:space="preserve">version </w:t>
      </w:r>
      <w:r>
        <w:t xml:space="preserve">of </w:t>
      </w:r>
      <w:r>
        <w:rPr>
          <w:spacing w:val="-2"/>
        </w:rPr>
        <w:t xml:space="preserve">Örebro </w:t>
      </w:r>
      <w:r>
        <w:t xml:space="preserve">survey was </w:t>
      </w:r>
      <w:r>
        <w:rPr>
          <w:spacing w:val="-3"/>
        </w:rPr>
        <w:t xml:space="preserve">applied </w:t>
      </w:r>
      <w:r>
        <w:t xml:space="preserve">in those </w:t>
      </w:r>
      <w:r>
        <w:rPr>
          <w:spacing w:val="-3"/>
        </w:rPr>
        <w:t xml:space="preserve">schools, </w:t>
      </w:r>
      <w:r>
        <w:t xml:space="preserve">items under the </w:t>
      </w:r>
      <w:r>
        <w:rPr>
          <w:spacing w:val="-3"/>
        </w:rPr>
        <w:t xml:space="preserve">sections </w:t>
      </w:r>
      <w:r>
        <w:t xml:space="preserve">“Other </w:t>
      </w:r>
      <w:r>
        <w:rPr>
          <w:spacing w:val="-3"/>
        </w:rPr>
        <w:t xml:space="preserve">Conditions”, </w:t>
      </w:r>
      <w:r>
        <w:t xml:space="preserve">“Home </w:t>
      </w:r>
      <w:r>
        <w:rPr>
          <w:spacing w:val="-3"/>
        </w:rPr>
        <w:t xml:space="preserve">Conditions” </w:t>
      </w:r>
      <w:r>
        <w:t xml:space="preserve">and </w:t>
      </w:r>
      <w:r>
        <w:rPr>
          <w:spacing w:val="-3"/>
        </w:rPr>
        <w:t xml:space="preserve">“Environmental Survey” </w:t>
      </w:r>
      <w:r>
        <w:t xml:space="preserve">were not taken into </w:t>
      </w:r>
      <w:r>
        <w:rPr>
          <w:spacing w:val="-3"/>
        </w:rPr>
        <w:t xml:space="preserve">consideration when </w:t>
      </w:r>
      <w:r>
        <w:t xml:space="preserve">calculating the </w:t>
      </w:r>
      <w:r>
        <w:rPr>
          <w:spacing w:val="-3"/>
        </w:rPr>
        <w:t xml:space="preserve">averages </w:t>
      </w:r>
      <w:r>
        <w:t>as they are dealing with home</w:t>
      </w:r>
      <w:r>
        <w:rPr>
          <w:spacing w:val="-8"/>
        </w:rPr>
        <w:t xml:space="preserve"> </w:t>
      </w:r>
      <w:r>
        <w:rPr>
          <w:spacing w:val="-3"/>
        </w:rPr>
        <w:t>conditions</w:t>
      </w:r>
      <w:r>
        <w:rPr>
          <w:spacing w:val="-7"/>
        </w:rPr>
        <w:t xml:space="preserve"> </w:t>
      </w:r>
      <w:r>
        <w:rPr>
          <w:spacing w:val="-3"/>
        </w:rPr>
        <w:t>and</w:t>
      </w:r>
      <w:r>
        <w:rPr>
          <w:spacing w:val="-7"/>
        </w:rPr>
        <w:t xml:space="preserve"> </w:t>
      </w:r>
      <w:r>
        <w:t>there</w:t>
      </w:r>
      <w:r>
        <w:rPr>
          <w:spacing w:val="-10"/>
        </w:rPr>
        <w:t xml:space="preserve"> </w:t>
      </w:r>
      <w:r>
        <w:t>are</w:t>
      </w:r>
      <w:r>
        <w:rPr>
          <w:spacing w:val="-8"/>
        </w:rPr>
        <w:t xml:space="preserve"> </w:t>
      </w:r>
      <w:r>
        <w:t>already</w:t>
      </w:r>
      <w:r>
        <w:rPr>
          <w:spacing w:val="-13"/>
        </w:rPr>
        <w:t xml:space="preserve"> </w:t>
      </w:r>
      <w:r>
        <w:t>some</w:t>
      </w:r>
      <w:r>
        <w:rPr>
          <w:spacing w:val="-9"/>
        </w:rPr>
        <w:t xml:space="preserve"> </w:t>
      </w:r>
      <w:r>
        <w:t>items</w:t>
      </w:r>
      <w:r>
        <w:rPr>
          <w:spacing w:val="-4"/>
        </w:rPr>
        <w:t xml:space="preserve"> </w:t>
      </w:r>
      <w:r>
        <w:rPr>
          <w:spacing w:val="-3"/>
        </w:rPr>
        <w:t>concerning</w:t>
      </w:r>
      <w:r>
        <w:rPr>
          <w:spacing w:val="-11"/>
        </w:rPr>
        <w:t xml:space="preserve"> </w:t>
      </w:r>
      <w:r>
        <w:t>indoor</w:t>
      </w:r>
      <w:r>
        <w:rPr>
          <w:spacing w:val="-8"/>
        </w:rPr>
        <w:t xml:space="preserve"> </w:t>
      </w:r>
      <w:r>
        <w:rPr>
          <w:spacing w:val="-2"/>
        </w:rPr>
        <w:t>air</w:t>
      </w:r>
      <w:r>
        <w:rPr>
          <w:spacing w:val="-8"/>
        </w:rPr>
        <w:t xml:space="preserve"> </w:t>
      </w:r>
      <w:r>
        <w:rPr>
          <w:spacing w:val="-3"/>
        </w:rPr>
        <w:t>quality.</w:t>
      </w:r>
    </w:p>
    <w:p w:rsidR="00F3177F" w:rsidRDefault="00F3177F">
      <w:pPr>
        <w:pStyle w:val="BodyText"/>
      </w:pPr>
    </w:p>
    <w:p w:rsidR="00F3177F" w:rsidRDefault="0089671D" w:rsidP="0035743A">
      <w:pPr>
        <w:pStyle w:val="BodyText"/>
        <w:spacing w:before="143" w:line="360" w:lineRule="auto"/>
        <w:ind w:left="584" w:right="115"/>
        <w:jc w:val="both"/>
      </w:pPr>
      <w:r>
        <w:t xml:space="preserve">The items with the highest </w:t>
      </w:r>
      <w:r>
        <w:rPr>
          <w:spacing w:val="-3"/>
        </w:rPr>
        <w:t xml:space="preserve">and </w:t>
      </w:r>
      <w:r>
        <w:t xml:space="preserve">lowest </w:t>
      </w:r>
      <w:r>
        <w:rPr>
          <w:spacing w:val="-3"/>
        </w:rPr>
        <w:t xml:space="preserve">complaint percentages </w:t>
      </w:r>
      <w:r>
        <w:t xml:space="preserve">in both the MAXECSs </w:t>
      </w:r>
      <w:r>
        <w:rPr>
          <w:spacing w:val="-3"/>
        </w:rPr>
        <w:t xml:space="preserve">and </w:t>
      </w:r>
      <w:r>
        <w:t xml:space="preserve">the MINECSs with their building </w:t>
      </w:r>
      <w:r>
        <w:rPr>
          <w:spacing w:val="-3"/>
        </w:rPr>
        <w:t xml:space="preserve">transparencies </w:t>
      </w:r>
      <w:r>
        <w:t xml:space="preserve">and </w:t>
      </w:r>
      <w:r>
        <w:rPr>
          <w:spacing w:val="-3"/>
        </w:rPr>
        <w:t xml:space="preserve">compactness </w:t>
      </w:r>
      <w:r>
        <w:t xml:space="preserve">were found to see the </w:t>
      </w:r>
      <w:r>
        <w:rPr>
          <w:spacing w:val="-3"/>
        </w:rPr>
        <w:t xml:space="preserve">differences </w:t>
      </w:r>
      <w:r>
        <w:t xml:space="preserve">in </w:t>
      </w:r>
      <w:r>
        <w:rPr>
          <w:spacing w:val="-3"/>
        </w:rPr>
        <w:t xml:space="preserve">students’ complaint </w:t>
      </w:r>
      <w:r>
        <w:t xml:space="preserve">levels and </w:t>
      </w:r>
      <w:r>
        <w:rPr>
          <w:spacing w:val="-3"/>
        </w:rPr>
        <w:t xml:space="preserve">their percentages </w:t>
      </w:r>
      <w:r>
        <w:t xml:space="preserve">to compare both </w:t>
      </w:r>
      <w:r>
        <w:rPr>
          <w:spacing w:val="-3"/>
        </w:rPr>
        <w:t xml:space="preserve">groups </w:t>
      </w:r>
      <w:r>
        <w:t xml:space="preserve">of the </w:t>
      </w:r>
      <w:r>
        <w:rPr>
          <w:spacing w:val="-3"/>
        </w:rPr>
        <w:t xml:space="preserve">schools. </w:t>
      </w:r>
      <w:r>
        <w:t xml:space="preserve">Then, the items with the </w:t>
      </w:r>
      <w:r>
        <w:rPr>
          <w:spacing w:val="-3"/>
        </w:rPr>
        <w:t xml:space="preserve">biggest differences </w:t>
      </w:r>
      <w:r>
        <w:rPr>
          <w:spacing w:val="-2"/>
        </w:rPr>
        <w:t xml:space="preserve">between </w:t>
      </w:r>
      <w:r>
        <w:t xml:space="preserve">the two </w:t>
      </w:r>
      <w:r>
        <w:rPr>
          <w:spacing w:val="-3"/>
        </w:rPr>
        <w:t xml:space="preserve">groups </w:t>
      </w:r>
      <w:r>
        <w:t xml:space="preserve">of the </w:t>
      </w:r>
      <w:r>
        <w:rPr>
          <w:spacing w:val="-3"/>
        </w:rPr>
        <w:t xml:space="preserve">schools </w:t>
      </w:r>
      <w:r>
        <w:t xml:space="preserve">were found out. The </w:t>
      </w:r>
      <w:r>
        <w:rPr>
          <w:spacing w:val="-3"/>
        </w:rPr>
        <w:t xml:space="preserve">research also </w:t>
      </w:r>
      <w:r>
        <w:t xml:space="preserve">analyzes the </w:t>
      </w:r>
      <w:r>
        <w:rPr>
          <w:spacing w:val="-3"/>
        </w:rPr>
        <w:t xml:space="preserve">differences </w:t>
      </w:r>
      <w:r>
        <w:t xml:space="preserve">by calculating the </w:t>
      </w:r>
      <w:r>
        <w:rPr>
          <w:spacing w:val="-3"/>
        </w:rPr>
        <w:t xml:space="preserve">average complaint </w:t>
      </w:r>
      <w:r>
        <w:t xml:space="preserve">level </w:t>
      </w:r>
      <w:r>
        <w:rPr>
          <w:spacing w:val="-3"/>
        </w:rPr>
        <w:t xml:space="preserve">percentages and </w:t>
      </w:r>
      <w:r>
        <w:t xml:space="preserve">the </w:t>
      </w:r>
      <w:r>
        <w:rPr>
          <w:spacing w:val="-3"/>
        </w:rPr>
        <w:t xml:space="preserve">highest complaint </w:t>
      </w:r>
      <w:r>
        <w:t xml:space="preserve">level </w:t>
      </w:r>
      <w:r>
        <w:rPr>
          <w:spacing w:val="-3"/>
        </w:rPr>
        <w:t xml:space="preserve">percentages </w:t>
      </w:r>
      <w:r>
        <w:t xml:space="preserve">separately in both schools among the </w:t>
      </w:r>
      <w:r>
        <w:rPr>
          <w:spacing w:val="-3"/>
        </w:rPr>
        <w:t xml:space="preserve">subcategories. </w:t>
      </w:r>
      <w:r>
        <w:t xml:space="preserve">Then, the items with the highest </w:t>
      </w:r>
      <w:r>
        <w:rPr>
          <w:spacing w:val="-3"/>
        </w:rPr>
        <w:t xml:space="preserve">complaint </w:t>
      </w:r>
      <w:r>
        <w:t xml:space="preserve">level </w:t>
      </w:r>
      <w:r>
        <w:rPr>
          <w:spacing w:val="-3"/>
        </w:rPr>
        <w:t xml:space="preserve">differences between </w:t>
      </w:r>
      <w:r>
        <w:t xml:space="preserve">two types of the </w:t>
      </w:r>
      <w:r>
        <w:rPr>
          <w:spacing w:val="-3"/>
        </w:rPr>
        <w:t xml:space="preserve">schools </w:t>
      </w:r>
      <w:r>
        <w:t xml:space="preserve">were found out. For </w:t>
      </w:r>
      <w:r>
        <w:rPr>
          <w:spacing w:val="-3"/>
        </w:rPr>
        <w:t>instance</w:t>
      </w:r>
      <w:proofErr w:type="gramStart"/>
      <w:r>
        <w:rPr>
          <w:spacing w:val="-3"/>
        </w:rPr>
        <w:t xml:space="preserve">,  </w:t>
      </w:r>
      <w:r>
        <w:t>the</w:t>
      </w:r>
      <w:proofErr w:type="gramEnd"/>
      <w:r>
        <w:t xml:space="preserve"> items with the </w:t>
      </w:r>
      <w:r>
        <w:rPr>
          <w:spacing w:val="-3"/>
        </w:rPr>
        <w:t xml:space="preserve">highest  complaint  </w:t>
      </w:r>
      <w:r>
        <w:t xml:space="preserve">level </w:t>
      </w:r>
      <w:r>
        <w:rPr>
          <w:spacing w:val="-3"/>
        </w:rPr>
        <w:t xml:space="preserve">differences  </w:t>
      </w:r>
      <w:r>
        <w:t xml:space="preserve">between the </w:t>
      </w:r>
      <w:r>
        <w:rPr>
          <w:spacing w:val="-3"/>
        </w:rPr>
        <w:t>students</w:t>
      </w:r>
      <w:r w:rsidR="0035743A">
        <w:rPr>
          <w:spacing w:val="-3"/>
        </w:rPr>
        <w:t xml:space="preserve"> </w:t>
      </w:r>
      <w:r>
        <w:lastRenderedPageBreak/>
        <w:t>having</w:t>
      </w:r>
      <w:r>
        <w:rPr>
          <w:spacing w:val="-8"/>
        </w:rPr>
        <w:t xml:space="preserve"> </w:t>
      </w:r>
      <w:r>
        <w:t>the</w:t>
      </w:r>
      <w:r>
        <w:rPr>
          <w:spacing w:val="-7"/>
        </w:rPr>
        <w:t xml:space="preserve"> </w:t>
      </w:r>
      <w:r>
        <w:rPr>
          <w:spacing w:val="-3"/>
        </w:rPr>
        <w:t>first</w:t>
      </w:r>
      <w:r>
        <w:rPr>
          <w:spacing w:val="-4"/>
        </w:rPr>
        <w:t xml:space="preserve"> </w:t>
      </w:r>
      <w:r>
        <w:rPr>
          <w:spacing w:val="-3"/>
        </w:rPr>
        <w:t>and</w:t>
      </w:r>
      <w:r>
        <w:rPr>
          <w:spacing w:val="-6"/>
        </w:rPr>
        <w:t xml:space="preserve"> </w:t>
      </w:r>
      <w:r>
        <w:rPr>
          <w:spacing w:val="-3"/>
        </w:rPr>
        <w:t>last</w:t>
      </w:r>
      <w:r>
        <w:rPr>
          <w:spacing w:val="-5"/>
        </w:rPr>
        <w:t xml:space="preserve"> </w:t>
      </w:r>
      <w:r>
        <w:t>three</w:t>
      </w:r>
      <w:r>
        <w:rPr>
          <w:spacing w:val="-7"/>
        </w:rPr>
        <w:t xml:space="preserve"> </w:t>
      </w:r>
      <w:r>
        <w:rPr>
          <w:spacing w:val="-3"/>
        </w:rPr>
        <w:t>lessons</w:t>
      </w:r>
      <w:r>
        <w:rPr>
          <w:spacing w:val="-5"/>
        </w:rPr>
        <w:t xml:space="preserve"> </w:t>
      </w:r>
      <w:r>
        <w:t>were</w:t>
      </w:r>
      <w:r>
        <w:rPr>
          <w:spacing w:val="-7"/>
        </w:rPr>
        <w:t xml:space="preserve"> </w:t>
      </w:r>
      <w:r>
        <w:t>found</w:t>
      </w:r>
      <w:r>
        <w:rPr>
          <w:spacing w:val="-4"/>
        </w:rPr>
        <w:t xml:space="preserve"> </w:t>
      </w:r>
      <w:r>
        <w:t>out</w:t>
      </w:r>
      <w:r>
        <w:rPr>
          <w:spacing w:val="-5"/>
        </w:rPr>
        <w:t xml:space="preserve"> </w:t>
      </w:r>
      <w:r>
        <w:t>separately</w:t>
      </w:r>
      <w:r>
        <w:rPr>
          <w:spacing w:val="-11"/>
        </w:rPr>
        <w:t xml:space="preserve"> </w:t>
      </w:r>
      <w:r>
        <w:t>in</w:t>
      </w:r>
      <w:r>
        <w:rPr>
          <w:spacing w:val="-6"/>
        </w:rPr>
        <w:t xml:space="preserve"> </w:t>
      </w:r>
      <w:r>
        <w:t>both</w:t>
      </w:r>
      <w:r>
        <w:rPr>
          <w:spacing w:val="-6"/>
        </w:rPr>
        <w:t xml:space="preserve"> </w:t>
      </w:r>
      <w:r>
        <w:t>the</w:t>
      </w:r>
      <w:r>
        <w:rPr>
          <w:spacing w:val="-5"/>
        </w:rPr>
        <w:t xml:space="preserve"> </w:t>
      </w:r>
      <w:r>
        <w:t>maximum</w:t>
      </w:r>
      <w:r>
        <w:rPr>
          <w:spacing w:val="-1"/>
        </w:rPr>
        <w:t xml:space="preserve"> </w:t>
      </w:r>
      <w:r>
        <w:rPr>
          <w:spacing w:val="-3"/>
        </w:rPr>
        <w:t xml:space="preserve">and </w:t>
      </w:r>
      <w:r>
        <w:t xml:space="preserve">minimum energy consuming state </w:t>
      </w:r>
      <w:r>
        <w:rPr>
          <w:spacing w:val="-3"/>
        </w:rPr>
        <w:t xml:space="preserve">schools </w:t>
      </w:r>
      <w:r>
        <w:t xml:space="preserve">in PCM. The item with the highest </w:t>
      </w:r>
      <w:r>
        <w:rPr>
          <w:spacing w:val="-3"/>
        </w:rPr>
        <w:t xml:space="preserve">complaint level </w:t>
      </w:r>
      <w:r>
        <w:t xml:space="preserve">difference by 24.8% </w:t>
      </w:r>
      <w:r>
        <w:rPr>
          <w:spacing w:val="-3"/>
        </w:rPr>
        <w:t xml:space="preserve">between </w:t>
      </w:r>
      <w:r>
        <w:t xml:space="preserve">the </w:t>
      </w:r>
      <w:r>
        <w:rPr>
          <w:spacing w:val="-3"/>
        </w:rPr>
        <w:t xml:space="preserve">students </w:t>
      </w:r>
      <w:r>
        <w:t xml:space="preserve">having the last </w:t>
      </w:r>
      <w:r>
        <w:rPr>
          <w:spacing w:val="-3"/>
        </w:rPr>
        <w:t xml:space="preserve">and </w:t>
      </w:r>
      <w:r>
        <w:t xml:space="preserve">first three </w:t>
      </w:r>
      <w:r>
        <w:rPr>
          <w:spacing w:val="-3"/>
        </w:rPr>
        <w:t xml:space="preserve">lessons </w:t>
      </w:r>
      <w:r>
        <w:t xml:space="preserve">in the MAXECSs </w:t>
      </w:r>
      <w:r>
        <w:rPr>
          <w:spacing w:val="-3"/>
        </w:rPr>
        <w:t xml:space="preserve">was </w:t>
      </w:r>
      <w:r>
        <w:t xml:space="preserve">found out as </w:t>
      </w:r>
      <w:r>
        <w:rPr>
          <w:spacing w:val="-3"/>
        </w:rPr>
        <w:t xml:space="preserve">Item </w:t>
      </w:r>
      <w:r>
        <w:t xml:space="preserve">4 (Are you tired?) </w:t>
      </w:r>
      <w:r>
        <w:rPr>
          <w:spacing w:val="-3"/>
        </w:rPr>
        <w:t xml:space="preserve">whereas </w:t>
      </w:r>
      <w:r>
        <w:t xml:space="preserve">the highest one by </w:t>
      </w:r>
      <w:r>
        <w:rPr>
          <w:spacing w:val="-3"/>
        </w:rPr>
        <w:t xml:space="preserve">33.6% </w:t>
      </w:r>
      <w:r>
        <w:t xml:space="preserve">in the MINECSs </w:t>
      </w:r>
      <w:r>
        <w:rPr>
          <w:spacing w:val="-3"/>
        </w:rPr>
        <w:t xml:space="preserve">was Item </w:t>
      </w:r>
      <w:r>
        <w:t xml:space="preserve">5 </w:t>
      </w:r>
      <w:r>
        <w:rPr>
          <w:spacing w:val="-3"/>
        </w:rPr>
        <w:t xml:space="preserve">(Does your head feel heavy?). </w:t>
      </w:r>
      <w:r>
        <w:t xml:space="preserve">Then, the </w:t>
      </w:r>
      <w:r>
        <w:rPr>
          <w:spacing w:val="-3"/>
        </w:rPr>
        <w:t xml:space="preserve">average complaint </w:t>
      </w:r>
      <w:r>
        <w:t xml:space="preserve">level differences were </w:t>
      </w:r>
      <w:r>
        <w:rPr>
          <w:spacing w:val="-3"/>
        </w:rPr>
        <w:t xml:space="preserve">found </w:t>
      </w:r>
      <w:r>
        <w:t xml:space="preserve">out </w:t>
      </w:r>
      <w:r>
        <w:rPr>
          <w:spacing w:val="-3"/>
        </w:rPr>
        <w:t xml:space="preserve">for </w:t>
      </w:r>
      <w:r>
        <w:t xml:space="preserve">the both types of the schools to </w:t>
      </w:r>
      <w:r>
        <w:rPr>
          <w:spacing w:val="-2"/>
        </w:rPr>
        <w:t xml:space="preserve">compare </w:t>
      </w:r>
      <w:r>
        <w:t xml:space="preserve">the </w:t>
      </w:r>
      <w:r>
        <w:rPr>
          <w:spacing w:val="-3"/>
        </w:rPr>
        <w:t xml:space="preserve">complaint gaps for </w:t>
      </w:r>
      <w:r>
        <w:t xml:space="preserve">the </w:t>
      </w:r>
      <w:r>
        <w:rPr>
          <w:spacing w:val="-3"/>
        </w:rPr>
        <w:t xml:space="preserve">last </w:t>
      </w:r>
      <w:r>
        <w:t xml:space="preserve">and first three lessons </w:t>
      </w:r>
      <w:r>
        <w:rPr>
          <w:spacing w:val="-3"/>
        </w:rPr>
        <w:t xml:space="preserve">between </w:t>
      </w:r>
      <w:r>
        <w:t xml:space="preserve">the two types of schools. The average </w:t>
      </w:r>
      <w:r>
        <w:rPr>
          <w:spacing w:val="-3"/>
        </w:rPr>
        <w:t xml:space="preserve">complaint </w:t>
      </w:r>
      <w:r>
        <w:t xml:space="preserve">level </w:t>
      </w:r>
      <w:r>
        <w:rPr>
          <w:spacing w:val="-3"/>
        </w:rPr>
        <w:t xml:space="preserve">difference for </w:t>
      </w:r>
      <w:r>
        <w:t xml:space="preserve">the </w:t>
      </w:r>
      <w:r>
        <w:rPr>
          <w:spacing w:val="-3"/>
        </w:rPr>
        <w:t xml:space="preserve">last and </w:t>
      </w:r>
      <w:r>
        <w:t xml:space="preserve">first three </w:t>
      </w:r>
      <w:r>
        <w:rPr>
          <w:spacing w:val="-3"/>
        </w:rPr>
        <w:t xml:space="preserve">lessons </w:t>
      </w:r>
      <w:r>
        <w:t xml:space="preserve">in the maximum energy </w:t>
      </w:r>
      <w:r>
        <w:rPr>
          <w:spacing w:val="-3"/>
        </w:rPr>
        <w:t xml:space="preserve">consuming </w:t>
      </w:r>
      <w:r>
        <w:t xml:space="preserve">state </w:t>
      </w:r>
      <w:r>
        <w:rPr>
          <w:spacing w:val="-3"/>
        </w:rPr>
        <w:t xml:space="preserve">schools was calculated </w:t>
      </w:r>
      <w:r>
        <w:t xml:space="preserve">as </w:t>
      </w:r>
      <w:r>
        <w:rPr>
          <w:spacing w:val="-3"/>
        </w:rPr>
        <w:t xml:space="preserve">6.7% </w:t>
      </w:r>
      <w:r>
        <w:t xml:space="preserve">meaning the students </w:t>
      </w:r>
      <w:r>
        <w:rPr>
          <w:spacing w:val="-3"/>
        </w:rPr>
        <w:t xml:space="preserve">had </w:t>
      </w:r>
      <w:r>
        <w:rPr>
          <w:spacing w:val="-2"/>
        </w:rPr>
        <w:t xml:space="preserve">higher </w:t>
      </w:r>
      <w:r>
        <w:rPr>
          <w:spacing w:val="-3"/>
        </w:rPr>
        <w:t xml:space="preserve">levels </w:t>
      </w:r>
      <w:r>
        <w:t xml:space="preserve">of </w:t>
      </w:r>
      <w:r>
        <w:rPr>
          <w:spacing w:val="-3"/>
        </w:rPr>
        <w:t xml:space="preserve">complaint </w:t>
      </w:r>
      <w:r>
        <w:t xml:space="preserve">in the </w:t>
      </w:r>
      <w:r>
        <w:rPr>
          <w:spacing w:val="-3"/>
        </w:rPr>
        <w:t xml:space="preserve">last </w:t>
      </w:r>
      <w:r>
        <w:t xml:space="preserve">three </w:t>
      </w:r>
      <w:r>
        <w:rPr>
          <w:spacing w:val="-3"/>
        </w:rPr>
        <w:t xml:space="preserve">lessons. </w:t>
      </w:r>
      <w:r>
        <w:t xml:space="preserve">The </w:t>
      </w:r>
      <w:r>
        <w:rPr>
          <w:spacing w:val="-3"/>
        </w:rPr>
        <w:t xml:space="preserve">same average </w:t>
      </w:r>
      <w:r>
        <w:t xml:space="preserve">was </w:t>
      </w:r>
      <w:r>
        <w:rPr>
          <w:spacing w:val="-3"/>
        </w:rPr>
        <w:t xml:space="preserve">for </w:t>
      </w:r>
      <w:r>
        <w:t xml:space="preserve">the minimum energy </w:t>
      </w:r>
      <w:r>
        <w:rPr>
          <w:spacing w:val="-3"/>
        </w:rPr>
        <w:t xml:space="preserve">consuming </w:t>
      </w:r>
      <w:r>
        <w:t xml:space="preserve">state </w:t>
      </w:r>
      <w:r>
        <w:rPr>
          <w:spacing w:val="-3"/>
        </w:rPr>
        <w:t xml:space="preserve">schools </w:t>
      </w:r>
      <w:r>
        <w:t xml:space="preserve">was 1.3%. </w:t>
      </w:r>
      <w:r>
        <w:rPr>
          <w:spacing w:val="-2"/>
        </w:rPr>
        <w:t xml:space="preserve">Finally, </w:t>
      </w:r>
      <w:r>
        <w:t xml:space="preserve">the items with the </w:t>
      </w:r>
      <w:r>
        <w:rPr>
          <w:spacing w:val="-3"/>
        </w:rPr>
        <w:t xml:space="preserve">highest complaint level differences for </w:t>
      </w:r>
      <w:r>
        <w:t xml:space="preserve">the last </w:t>
      </w:r>
      <w:r>
        <w:rPr>
          <w:spacing w:val="-3"/>
        </w:rPr>
        <w:t xml:space="preserve">and first </w:t>
      </w:r>
      <w:r>
        <w:t xml:space="preserve">three </w:t>
      </w:r>
      <w:r>
        <w:rPr>
          <w:spacing w:val="-3"/>
        </w:rPr>
        <w:t xml:space="preserve">lessons between </w:t>
      </w:r>
      <w:r>
        <w:t xml:space="preserve">the </w:t>
      </w:r>
      <w:r>
        <w:rPr>
          <w:spacing w:val="-3"/>
        </w:rPr>
        <w:t xml:space="preserve">groups </w:t>
      </w:r>
      <w:r>
        <w:t xml:space="preserve">of the </w:t>
      </w:r>
      <w:r>
        <w:rPr>
          <w:spacing w:val="-3"/>
        </w:rPr>
        <w:t xml:space="preserve">schools </w:t>
      </w:r>
      <w:r>
        <w:t xml:space="preserve">were </w:t>
      </w:r>
      <w:r>
        <w:rPr>
          <w:spacing w:val="-3"/>
        </w:rPr>
        <w:t xml:space="preserve">found </w:t>
      </w:r>
      <w:r>
        <w:t xml:space="preserve">out. For </w:t>
      </w:r>
      <w:r>
        <w:rPr>
          <w:spacing w:val="-3"/>
        </w:rPr>
        <w:t xml:space="preserve">instance, </w:t>
      </w:r>
      <w:r>
        <w:t xml:space="preserve">the </w:t>
      </w:r>
      <w:r>
        <w:rPr>
          <w:spacing w:val="-3"/>
        </w:rPr>
        <w:t xml:space="preserve">biggest </w:t>
      </w:r>
      <w:r>
        <w:t xml:space="preserve">difference </w:t>
      </w:r>
      <w:r>
        <w:rPr>
          <w:spacing w:val="-3"/>
        </w:rPr>
        <w:t xml:space="preserve">for </w:t>
      </w:r>
      <w:r>
        <w:t xml:space="preserve">the </w:t>
      </w:r>
      <w:r>
        <w:rPr>
          <w:spacing w:val="-3"/>
        </w:rPr>
        <w:t xml:space="preserve">last </w:t>
      </w:r>
      <w:r>
        <w:t xml:space="preserve">three </w:t>
      </w:r>
      <w:r>
        <w:rPr>
          <w:spacing w:val="-3"/>
        </w:rPr>
        <w:t xml:space="preserve">lessons was found </w:t>
      </w:r>
      <w:r>
        <w:t xml:space="preserve">out as </w:t>
      </w:r>
      <w:r>
        <w:rPr>
          <w:spacing w:val="-3"/>
        </w:rPr>
        <w:t xml:space="preserve">Item </w:t>
      </w:r>
      <w:r>
        <w:t xml:space="preserve">18 </w:t>
      </w:r>
      <w:r>
        <w:rPr>
          <w:spacing w:val="-3"/>
        </w:rPr>
        <w:t xml:space="preserve">(Do </w:t>
      </w:r>
      <w:r>
        <w:rPr>
          <w:spacing w:val="-4"/>
        </w:rPr>
        <w:t xml:space="preserve">you </w:t>
      </w:r>
      <w:r>
        <w:rPr>
          <w:spacing w:val="-3"/>
        </w:rPr>
        <w:t xml:space="preserve">feel </w:t>
      </w:r>
      <w:r>
        <w:t xml:space="preserve">cold in the </w:t>
      </w:r>
      <w:r>
        <w:rPr>
          <w:spacing w:val="-3"/>
        </w:rPr>
        <w:t xml:space="preserve">classroom </w:t>
      </w:r>
      <w:r>
        <w:t xml:space="preserve">in WINTER?) </w:t>
      </w:r>
      <w:r>
        <w:rPr>
          <w:spacing w:val="-3"/>
        </w:rPr>
        <w:t xml:space="preserve">and for </w:t>
      </w:r>
      <w:r>
        <w:t xml:space="preserve">the first </w:t>
      </w:r>
      <w:r>
        <w:rPr>
          <w:spacing w:val="-3"/>
        </w:rPr>
        <w:t xml:space="preserve">three lessons was found </w:t>
      </w:r>
      <w:r>
        <w:t xml:space="preserve">out as </w:t>
      </w:r>
      <w:r>
        <w:rPr>
          <w:spacing w:val="-3"/>
        </w:rPr>
        <w:t xml:space="preserve">Item </w:t>
      </w:r>
      <w:r>
        <w:t xml:space="preserve">27 </w:t>
      </w:r>
      <w:r>
        <w:rPr>
          <w:spacing w:val="-3"/>
        </w:rPr>
        <w:t xml:space="preserve">(Is </w:t>
      </w:r>
      <w:r>
        <w:t xml:space="preserve">there distracting noise </w:t>
      </w:r>
      <w:r>
        <w:rPr>
          <w:spacing w:val="-3"/>
        </w:rPr>
        <w:t xml:space="preserve">outdoors?) between </w:t>
      </w:r>
      <w:r>
        <w:t xml:space="preserve">the two </w:t>
      </w:r>
      <w:r>
        <w:rPr>
          <w:spacing w:val="-3"/>
        </w:rPr>
        <w:t xml:space="preserve">groups </w:t>
      </w:r>
      <w:r>
        <w:t xml:space="preserve">of the </w:t>
      </w:r>
      <w:r>
        <w:rPr>
          <w:spacing w:val="-3"/>
        </w:rPr>
        <w:t xml:space="preserve">schools. </w:t>
      </w:r>
      <w:r>
        <w:t xml:space="preserve">The same </w:t>
      </w:r>
      <w:r>
        <w:rPr>
          <w:spacing w:val="-3"/>
        </w:rPr>
        <w:t xml:space="preserve">calculation </w:t>
      </w:r>
      <w:r>
        <w:t xml:space="preserve">and </w:t>
      </w:r>
      <w:r>
        <w:rPr>
          <w:spacing w:val="-3"/>
        </w:rPr>
        <w:t xml:space="preserve">comparison </w:t>
      </w:r>
      <w:r>
        <w:t xml:space="preserve">method was applied to </w:t>
      </w:r>
      <w:r>
        <w:rPr>
          <w:spacing w:val="-2"/>
        </w:rPr>
        <w:t xml:space="preserve">all </w:t>
      </w:r>
      <w:r>
        <w:t xml:space="preserve">the </w:t>
      </w:r>
      <w:r>
        <w:rPr>
          <w:spacing w:val="-3"/>
        </w:rPr>
        <w:t xml:space="preserve">subcategories. </w:t>
      </w:r>
      <w:r>
        <w:t xml:space="preserve">The </w:t>
      </w:r>
      <w:r>
        <w:rPr>
          <w:spacing w:val="-3"/>
        </w:rPr>
        <w:t xml:space="preserve">subcategories </w:t>
      </w:r>
      <w:r>
        <w:t xml:space="preserve">are </w:t>
      </w:r>
      <w:r>
        <w:rPr>
          <w:spacing w:val="-3"/>
        </w:rPr>
        <w:t>given</w:t>
      </w:r>
      <w:r>
        <w:rPr>
          <w:spacing w:val="-2"/>
        </w:rPr>
        <w:t xml:space="preserve"> below.</w:t>
      </w:r>
    </w:p>
    <w:p w:rsidR="00F3177F" w:rsidRDefault="0089671D">
      <w:pPr>
        <w:pStyle w:val="ListParagraph"/>
        <w:numPr>
          <w:ilvl w:val="2"/>
          <w:numId w:val="26"/>
        </w:numPr>
        <w:tabs>
          <w:tab w:val="left" w:pos="1304"/>
          <w:tab w:val="left" w:pos="1305"/>
        </w:tabs>
        <w:spacing w:before="4"/>
        <w:rPr>
          <w:sz w:val="24"/>
        </w:rPr>
      </w:pPr>
      <w:r>
        <w:rPr>
          <w:sz w:val="24"/>
        </w:rPr>
        <w:t xml:space="preserve">Having the last </w:t>
      </w:r>
      <w:r>
        <w:rPr>
          <w:spacing w:val="-3"/>
          <w:sz w:val="24"/>
        </w:rPr>
        <w:t xml:space="preserve">and first </w:t>
      </w:r>
      <w:r>
        <w:rPr>
          <w:sz w:val="24"/>
        </w:rPr>
        <w:t>three</w:t>
      </w:r>
      <w:r>
        <w:rPr>
          <w:spacing w:val="-41"/>
          <w:sz w:val="24"/>
        </w:rPr>
        <w:t xml:space="preserve"> </w:t>
      </w:r>
      <w:r>
        <w:rPr>
          <w:spacing w:val="-3"/>
          <w:sz w:val="24"/>
        </w:rPr>
        <w:t>lessons</w:t>
      </w:r>
    </w:p>
    <w:p w:rsidR="00F3177F" w:rsidRDefault="0089671D">
      <w:pPr>
        <w:pStyle w:val="ListParagraph"/>
        <w:numPr>
          <w:ilvl w:val="2"/>
          <w:numId w:val="26"/>
        </w:numPr>
        <w:tabs>
          <w:tab w:val="left" w:pos="1304"/>
          <w:tab w:val="left" w:pos="1305"/>
        </w:tabs>
        <w:rPr>
          <w:sz w:val="24"/>
        </w:rPr>
      </w:pPr>
      <w:r>
        <w:rPr>
          <w:sz w:val="24"/>
        </w:rPr>
        <w:t>Sitting</w:t>
      </w:r>
      <w:r>
        <w:rPr>
          <w:spacing w:val="-13"/>
          <w:sz w:val="24"/>
        </w:rPr>
        <w:t xml:space="preserve"> </w:t>
      </w:r>
      <w:r>
        <w:rPr>
          <w:sz w:val="24"/>
        </w:rPr>
        <w:t>the</w:t>
      </w:r>
      <w:r>
        <w:rPr>
          <w:spacing w:val="-11"/>
          <w:sz w:val="24"/>
        </w:rPr>
        <w:t xml:space="preserve"> </w:t>
      </w:r>
      <w:r>
        <w:rPr>
          <w:sz w:val="24"/>
        </w:rPr>
        <w:t>wall</w:t>
      </w:r>
      <w:r>
        <w:rPr>
          <w:spacing w:val="-7"/>
          <w:sz w:val="24"/>
        </w:rPr>
        <w:t xml:space="preserve"> </w:t>
      </w:r>
      <w:r>
        <w:rPr>
          <w:spacing w:val="-3"/>
          <w:sz w:val="24"/>
        </w:rPr>
        <w:t>and</w:t>
      </w:r>
      <w:r>
        <w:rPr>
          <w:spacing w:val="-10"/>
          <w:sz w:val="24"/>
        </w:rPr>
        <w:t xml:space="preserve"> </w:t>
      </w:r>
      <w:r>
        <w:rPr>
          <w:sz w:val="24"/>
        </w:rPr>
        <w:t>window</w:t>
      </w:r>
      <w:r>
        <w:rPr>
          <w:spacing w:val="-11"/>
          <w:sz w:val="24"/>
        </w:rPr>
        <w:t xml:space="preserve"> </w:t>
      </w:r>
      <w:r>
        <w:rPr>
          <w:sz w:val="24"/>
        </w:rPr>
        <w:t>side</w:t>
      </w:r>
      <w:r>
        <w:rPr>
          <w:spacing w:val="-9"/>
          <w:sz w:val="24"/>
        </w:rPr>
        <w:t xml:space="preserve"> </w:t>
      </w:r>
      <w:r>
        <w:rPr>
          <w:sz w:val="24"/>
        </w:rPr>
        <w:t>of</w:t>
      </w:r>
      <w:r>
        <w:rPr>
          <w:spacing w:val="-9"/>
          <w:sz w:val="24"/>
        </w:rPr>
        <w:t xml:space="preserve"> </w:t>
      </w:r>
      <w:r>
        <w:rPr>
          <w:spacing w:val="-3"/>
          <w:sz w:val="24"/>
        </w:rPr>
        <w:t>classrooms</w:t>
      </w:r>
    </w:p>
    <w:p w:rsidR="00F3177F" w:rsidRDefault="0089671D">
      <w:pPr>
        <w:pStyle w:val="ListParagraph"/>
        <w:numPr>
          <w:ilvl w:val="2"/>
          <w:numId w:val="26"/>
        </w:numPr>
        <w:tabs>
          <w:tab w:val="left" w:pos="1304"/>
          <w:tab w:val="left" w:pos="1305"/>
        </w:tabs>
        <w:rPr>
          <w:sz w:val="24"/>
        </w:rPr>
      </w:pPr>
      <w:r>
        <w:rPr>
          <w:sz w:val="24"/>
        </w:rPr>
        <w:t>Sitting</w:t>
      </w:r>
      <w:r>
        <w:rPr>
          <w:spacing w:val="-10"/>
          <w:sz w:val="24"/>
        </w:rPr>
        <w:t xml:space="preserve"> </w:t>
      </w:r>
      <w:r>
        <w:rPr>
          <w:sz w:val="24"/>
        </w:rPr>
        <w:t>at</w:t>
      </w:r>
      <w:r>
        <w:rPr>
          <w:spacing w:val="-10"/>
          <w:sz w:val="24"/>
        </w:rPr>
        <w:t xml:space="preserve"> </w:t>
      </w:r>
      <w:r>
        <w:rPr>
          <w:sz w:val="24"/>
        </w:rPr>
        <w:t>the</w:t>
      </w:r>
      <w:r>
        <w:rPr>
          <w:spacing w:val="-9"/>
          <w:sz w:val="24"/>
        </w:rPr>
        <w:t xml:space="preserve"> </w:t>
      </w:r>
      <w:r>
        <w:rPr>
          <w:sz w:val="24"/>
        </w:rPr>
        <w:t>back</w:t>
      </w:r>
      <w:r>
        <w:rPr>
          <w:spacing w:val="-9"/>
          <w:sz w:val="24"/>
        </w:rPr>
        <w:t xml:space="preserve"> </w:t>
      </w:r>
      <w:r>
        <w:rPr>
          <w:spacing w:val="-3"/>
          <w:sz w:val="24"/>
        </w:rPr>
        <w:t>and</w:t>
      </w:r>
      <w:r>
        <w:rPr>
          <w:spacing w:val="-9"/>
          <w:sz w:val="24"/>
        </w:rPr>
        <w:t xml:space="preserve"> </w:t>
      </w:r>
      <w:r>
        <w:rPr>
          <w:sz w:val="24"/>
        </w:rPr>
        <w:t>front</w:t>
      </w:r>
      <w:r>
        <w:rPr>
          <w:spacing w:val="-10"/>
          <w:sz w:val="24"/>
        </w:rPr>
        <w:t xml:space="preserve"> </w:t>
      </w:r>
      <w:r>
        <w:rPr>
          <w:sz w:val="24"/>
        </w:rPr>
        <w:t>of</w:t>
      </w:r>
      <w:r>
        <w:rPr>
          <w:spacing w:val="-9"/>
          <w:sz w:val="24"/>
        </w:rPr>
        <w:t xml:space="preserve"> </w:t>
      </w:r>
      <w:r>
        <w:rPr>
          <w:spacing w:val="-3"/>
          <w:sz w:val="24"/>
        </w:rPr>
        <w:t>classrooms</w:t>
      </w:r>
    </w:p>
    <w:p w:rsidR="00F3177F" w:rsidRDefault="00F3177F">
      <w:pPr>
        <w:pStyle w:val="BodyText"/>
      </w:pPr>
    </w:p>
    <w:p w:rsidR="00F3177F" w:rsidRDefault="00F3177F">
      <w:pPr>
        <w:pStyle w:val="BodyText"/>
        <w:spacing w:before="10"/>
        <w:rPr>
          <w:sz w:val="23"/>
        </w:rPr>
      </w:pPr>
    </w:p>
    <w:p w:rsidR="00F3177F" w:rsidRDefault="0089671D">
      <w:pPr>
        <w:pStyle w:val="BodyText"/>
        <w:spacing w:line="360" w:lineRule="auto"/>
        <w:ind w:left="584" w:right="120"/>
        <w:jc w:val="both"/>
      </w:pPr>
      <w:r>
        <w:t>Furthermore, the research compares the average complaint percentages of the subgroups given below to compare between the two groups of the schools.</w:t>
      </w:r>
    </w:p>
    <w:p w:rsidR="00F3177F" w:rsidRDefault="0089671D" w:rsidP="003D457D">
      <w:pPr>
        <w:pStyle w:val="ListParagraph"/>
        <w:numPr>
          <w:ilvl w:val="2"/>
          <w:numId w:val="26"/>
        </w:numPr>
        <w:tabs>
          <w:tab w:val="left" w:pos="1304"/>
          <w:tab w:val="left" w:pos="1305"/>
        </w:tabs>
        <w:spacing w:before="6" w:line="350" w:lineRule="auto"/>
        <w:ind w:right="117"/>
        <w:jc w:val="both"/>
        <w:rPr>
          <w:sz w:val="24"/>
        </w:rPr>
      </w:pPr>
      <w:r>
        <w:rPr>
          <w:spacing w:val="-3"/>
          <w:sz w:val="24"/>
        </w:rPr>
        <w:t>Students</w:t>
      </w:r>
      <w:r>
        <w:rPr>
          <w:spacing w:val="-8"/>
          <w:sz w:val="24"/>
        </w:rPr>
        <w:t xml:space="preserve"> </w:t>
      </w:r>
      <w:r>
        <w:rPr>
          <w:sz w:val="24"/>
        </w:rPr>
        <w:t>having</w:t>
      </w:r>
      <w:r>
        <w:rPr>
          <w:spacing w:val="-8"/>
          <w:sz w:val="24"/>
        </w:rPr>
        <w:t xml:space="preserve"> </w:t>
      </w:r>
      <w:r>
        <w:rPr>
          <w:sz w:val="24"/>
        </w:rPr>
        <w:t>the</w:t>
      </w:r>
      <w:r>
        <w:rPr>
          <w:spacing w:val="-6"/>
          <w:sz w:val="24"/>
        </w:rPr>
        <w:t xml:space="preserve"> </w:t>
      </w:r>
      <w:r>
        <w:rPr>
          <w:spacing w:val="-3"/>
          <w:sz w:val="24"/>
        </w:rPr>
        <w:t>last</w:t>
      </w:r>
      <w:r>
        <w:rPr>
          <w:spacing w:val="-5"/>
          <w:sz w:val="24"/>
        </w:rPr>
        <w:t xml:space="preserve"> </w:t>
      </w:r>
      <w:r>
        <w:rPr>
          <w:sz w:val="24"/>
        </w:rPr>
        <w:t>three</w:t>
      </w:r>
      <w:r>
        <w:rPr>
          <w:spacing w:val="-9"/>
          <w:sz w:val="24"/>
        </w:rPr>
        <w:t xml:space="preserve"> </w:t>
      </w:r>
      <w:r>
        <w:rPr>
          <w:spacing w:val="-3"/>
          <w:sz w:val="24"/>
        </w:rPr>
        <w:t>lessons</w:t>
      </w:r>
      <w:r>
        <w:rPr>
          <w:spacing w:val="-5"/>
          <w:sz w:val="24"/>
        </w:rPr>
        <w:t xml:space="preserve"> </w:t>
      </w:r>
      <w:r>
        <w:rPr>
          <w:spacing w:val="-3"/>
          <w:sz w:val="24"/>
        </w:rPr>
        <w:t>and</w:t>
      </w:r>
      <w:r>
        <w:rPr>
          <w:spacing w:val="-5"/>
          <w:sz w:val="24"/>
        </w:rPr>
        <w:t xml:space="preserve"> </w:t>
      </w:r>
      <w:r>
        <w:rPr>
          <w:sz w:val="24"/>
        </w:rPr>
        <w:t>sitting</w:t>
      </w:r>
      <w:r>
        <w:rPr>
          <w:spacing w:val="-9"/>
          <w:sz w:val="24"/>
        </w:rPr>
        <w:t xml:space="preserve"> </w:t>
      </w:r>
      <w:r>
        <w:rPr>
          <w:sz w:val="24"/>
        </w:rPr>
        <w:t>near</w:t>
      </w:r>
      <w:r>
        <w:rPr>
          <w:spacing w:val="-9"/>
          <w:sz w:val="24"/>
        </w:rPr>
        <w:t xml:space="preserve"> </w:t>
      </w:r>
      <w:r>
        <w:rPr>
          <w:sz w:val="24"/>
        </w:rPr>
        <w:t>windows</w:t>
      </w:r>
      <w:r>
        <w:rPr>
          <w:spacing w:val="-5"/>
          <w:sz w:val="24"/>
        </w:rPr>
        <w:t xml:space="preserve"> </w:t>
      </w:r>
      <w:r>
        <w:rPr>
          <w:sz w:val="24"/>
        </w:rPr>
        <w:t>at</w:t>
      </w:r>
      <w:r>
        <w:rPr>
          <w:spacing w:val="-7"/>
          <w:sz w:val="24"/>
        </w:rPr>
        <w:t xml:space="preserve"> </w:t>
      </w:r>
      <w:r>
        <w:rPr>
          <w:sz w:val="24"/>
        </w:rPr>
        <w:t>the</w:t>
      </w:r>
      <w:r>
        <w:rPr>
          <w:spacing w:val="-7"/>
          <w:sz w:val="24"/>
        </w:rPr>
        <w:t xml:space="preserve"> </w:t>
      </w:r>
      <w:r>
        <w:rPr>
          <w:sz w:val="24"/>
        </w:rPr>
        <w:t>back</w:t>
      </w:r>
      <w:r>
        <w:rPr>
          <w:spacing w:val="-6"/>
          <w:sz w:val="24"/>
        </w:rPr>
        <w:t xml:space="preserve"> </w:t>
      </w:r>
      <w:r>
        <w:rPr>
          <w:sz w:val="24"/>
        </w:rPr>
        <w:t>of</w:t>
      </w:r>
      <w:r>
        <w:rPr>
          <w:spacing w:val="-9"/>
          <w:sz w:val="24"/>
        </w:rPr>
        <w:t xml:space="preserve"> </w:t>
      </w:r>
      <w:r>
        <w:rPr>
          <w:sz w:val="24"/>
        </w:rPr>
        <w:t xml:space="preserve">their </w:t>
      </w:r>
      <w:r>
        <w:rPr>
          <w:spacing w:val="-3"/>
          <w:sz w:val="24"/>
        </w:rPr>
        <w:t>classrooms</w:t>
      </w:r>
    </w:p>
    <w:p w:rsidR="00F3177F" w:rsidRDefault="0089671D" w:rsidP="003D457D">
      <w:pPr>
        <w:pStyle w:val="ListParagraph"/>
        <w:numPr>
          <w:ilvl w:val="2"/>
          <w:numId w:val="26"/>
        </w:numPr>
        <w:tabs>
          <w:tab w:val="left" w:pos="1304"/>
          <w:tab w:val="left" w:pos="1305"/>
        </w:tabs>
        <w:spacing w:before="17" w:line="352" w:lineRule="auto"/>
        <w:ind w:right="116"/>
        <w:jc w:val="both"/>
        <w:rPr>
          <w:sz w:val="24"/>
        </w:rPr>
      </w:pPr>
      <w:r>
        <w:rPr>
          <w:spacing w:val="-3"/>
          <w:sz w:val="24"/>
        </w:rPr>
        <w:t xml:space="preserve">Students </w:t>
      </w:r>
      <w:r>
        <w:rPr>
          <w:sz w:val="24"/>
        </w:rPr>
        <w:t xml:space="preserve">having the </w:t>
      </w:r>
      <w:r>
        <w:rPr>
          <w:spacing w:val="-3"/>
          <w:sz w:val="24"/>
        </w:rPr>
        <w:t xml:space="preserve">last </w:t>
      </w:r>
      <w:r>
        <w:rPr>
          <w:sz w:val="24"/>
        </w:rPr>
        <w:t xml:space="preserve">three </w:t>
      </w:r>
      <w:r>
        <w:rPr>
          <w:spacing w:val="-3"/>
          <w:sz w:val="24"/>
        </w:rPr>
        <w:t xml:space="preserve">lessons and </w:t>
      </w:r>
      <w:r>
        <w:rPr>
          <w:sz w:val="24"/>
        </w:rPr>
        <w:t xml:space="preserve">sitting near windows in </w:t>
      </w:r>
      <w:r>
        <w:rPr>
          <w:spacing w:val="-3"/>
          <w:sz w:val="24"/>
        </w:rPr>
        <w:t xml:space="preserve">front </w:t>
      </w:r>
      <w:r>
        <w:rPr>
          <w:sz w:val="24"/>
        </w:rPr>
        <w:t xml:space="preserve">of </w:t>
      </w:r>
      <w:r>
        <w:rPr>
          <w:spacing w:val="-3"/>
          <w:sz w:val="24"/>
        </w:rPr>
        <w:t>their classrooms</w:t>
      </w:r>
    </w:p>
    <w:p w:rsidR="00F3177F" w:rsidRDefault="0089671D" w:rsidP="003D457D">
      <w:pPr>
        <w:pStyle w:val="ListParagraph"/>
        <w:numPr>
          <w:ilvl w:val="2"/>
          <w:numId w:val="26"/>
        </w:numPr>
        <w:tabs>
          <w:tab w:val="left" w:pos="1304"/>
          <w:tab w:val="left" w:pos="1305"/>
        </w:tabs>
        <w:spacing w:before="11" w:line="352" w:lineRule="auto"/>
        <w:ind w:right="118"/>
        <w:jc w:val="both"/>
        <w:rPr>
          <w:sz w:val="24"/>
        </w:rPr>
      </w:pPr>
      <w:r>
        <w:rPr>
          <w:spacing w:val="-3"/>
          <w:sz w:val="24"/>
        </w:rPr>
        <w:t xml:space="preserve">Students </w:t>
      </w:r>
      <w:r>
        <w:rPr>
          <w:sz w:val="24"/>
        </w:rPr>
        <w:t xml:space="preserve">having the last three lessons </w:t>
      </w:r>
      <w:r>
        <w:rPr>
          <w:spacing w:val="-3"/>
          <w:sz w:val="24"/>
        </w:rPr>
        <w:t xml:space="preserve">and </w:t>
      </w:r>
      <w:r>
        <w:rPr>
          <w:sz w:val="24"/>
        </w:rPr>
        <w:t xml:space="preserve">sitting near the </w:t>
      </w:r>
      <w:r>
        <w:rPr>
          <w:spacing w:val="-3"/>
          <w:sz w:val="24"/>
        </w:rPr>
        <w:t xml:space="preserve">wall </w:t>
      </w:r>
      <w:r>
        <w:rPr>
          <w:sz w:val="24"/>
        </w:rPr>
        <w:t xml:space="preserve">at the back of their </w:t>
      </w:r>
      <w:r>
        <w:rPr>
          <w:spacing w:val="-3"/>
          <w:sz w:val="24"/>
        </w:rPr>
        <w:t>classrooms</w:t>
      </w:r>
    </w:p>
    <w:p w:rsidR="00F3177F" w:rsidRDefault="00F3177F">
      <w:pPr>
        <w:spacing w:line="352" w:lineRule="auto"/>
        <w:rPr>
          <w:sz w:val="24"/>
        </w:rPr>
        <w:sectPr w:rsidR="00F3177F">
          <w:pgSz w:w="12240" w:h="15840"/>
          <w:pgMar w:top="1380" w:right="1320" w:bottom="2320" w:left="1720" w:header="0" w:footer="2095" w:gutter="0"/>
          <w:cols w:space="720"/>
        </w:sectPr>
      </w:pPr>
    </w:p>
    <w:p w:rsidR="00F3177F" w:rsidRDefault="0089671D" w:rsidP="003D457D">
      <w:pPr>
        <w:pStyle w:val="ListParagraph"/>
        <w:numPr>
          <w:ilvl w:val="2"/>
          <w:numId w:val="26"/>
        </w:numPr>
        <w:tabs>
          <w:tab w:val="left" w:pos="1304"/>
          <w:tab w:val="left" w:pos="1305"/>
        </w:tabs>
        <w:spacing w:before="34" w:line="352" w:lineRule="auto"/>
        <w:ind w:right="117"/>
        <w:jc w:val="both"/>
        <w:rPr>
          <w:sz w:val="24"/>
        </w:rPr>
      </w:pPr>
      <w:r>
        <w:rPr>
          <w:spacing w:val="-3"/>
          <w:sz w:val="24"/>
        </w:rPr>
        <w:lastRenderedPageBreak/>
        <w:t xml:space="preserve">Students </w:t>
      </w:r>
      <w:r>
        <w:rPr>
          <w:sz w:val="24"/>
        </w:rPr>
        <w:t xml:space="preserve">having the last three </w:t>
      </w:r>
      <w:r>
        <w:rPr>
          <w:spacing w:val="-3"/>
          <w:sz w:val="24"/>
        </w:rPr>
        <w:t xml:space="preserve">lessons and </w:t>
      </w:r>
      <w:r>
        <w:rPr>
          <w:sz w:val="24"/>
        </w:rPr>
        <w:t xml:space="preserve">sitting the wall in </w:t>
      </w:r>
      <w:r>
        <w:rPr>
          <w:spacing w:val="-3"/>
          <w:sz w:val="24"/>
        </w:rPr>
        <w:t xml:space="preserve">front </w:t>
      </w:r>
      <w:r>
        <w:rPr>
          <w:sz w:val="24"/>
        </w:rPr>
        <w:t xml:space="preserve">of </w:t>
      </w:r>
      <w:r>
        <w:rPr>
          <w:spacing w:val="-3"/>
          <w:sz w:val="24"/>
        </w:rPr>
        <w:t>their classrooms</w:t>
      </w:r>
    </w:p>
    <w:p w:rsidR="00F3177F" w:rsidRDefault="0089671D" w:rsidP="003D457D">
      <w:pPr>
        <w:pStyle w:val="ListParagraph"/>
        <w:numPr>
          <w:ilvl w:val="2"/>
          <w:numId w:val="26"/>
        </w:numPr>
        <w:tabs>
          <w:tab w:val="left" w:pos="1304"/>
          <w:tab w:val="left" w:pos="1305"/>
        </w:tabs>
        <w:spacing w:before="11" w:line="352" w:lineRule="auto"/>
        <w:ind w:right="117"/>
        <w:jc w:val="both"/>
        <w:rPr>
          <w:sz w:val="24"/>
        </w:rPr>
      </w:pPr>
      <w:r>
        <w:rPr>
          <w:spacing w:val="-3"/>
          <w:sz w:val="24"/>
        </w:rPr>
        <w:t xml:space="preserve">Students </w:t>
      </w:r>
      <w:r>
        <w:rPr>
          <w:sz w:val="24"/>
        </w:rPr>
        <w:t xml:space="preserve">having the first three </w:t>
      </w:r>
      <w:r>
        <w:rPr>
          <w:spacing w:val="-3"/>
          <w:sz w:val="24"/>
        </w:rPr>
        <w:t xml:space="preserve">lessons and </w:t>
      </w:r>
      <w:r>
        <w:rPr>
          <w:sz w:val="24"/>
        </w:rPr>
        <w:t xml:space="preserve">sitting near windows at the back of </w:t>
      </w:r>
      <w:r>
        <w:rPr>
          <w:spacing w:val="-3"/>
          <w:sz w:val="24"/>
        </w:rPr>
        <w:t>their</w:t>
      </w:r>
      <w:r>
        <w:rPr>
          <w:spacing w:val="6"/>
          <w:sz w:val="24"/>
        </w:rPr>
        <w:t xml:space="preserve"> </w:t>
      </w:r>
      <w:r>
        <w:rPr>
          <w:spacing w:val="-3"/>
          <w:sz w:val="24"/>
        </w:rPr>
        <w:t>classrooms</w:t>
      </w:r>
    </w:p>
    <w:p w:rsidR="00F3177F" w:rsidRDefault="0089671D" w:rsidP="003D457D">
      <w:pPr>
        <w:pStyle w:val="ListParagraph"/>
        <w:numPr>
          <w:ilvl w:val="2"/>
          <w:numId w:val="26"/>
        </w:numPr>
        <w:tabs>
          <w:tab w:val="left" w:pos="1304"/>
          <w:tab w:val="left" w:pos="1305"/>
        </w:tabs>
        <w:spacing w:before="11" w:line="352" w:lineRule="auto"/>
        <w:ind w:right="121"/>
        <w:jc w:val="both"/>
        <w:rPr>
          <w:sz w:val="24"/>
        </w:rPr>
      </w:pPr>
      <w:r>
        <w:rPr>
          <w:spacing w:val="-3"/>
          <w:sz w:val="24"/>
        </w:rPr>
        <w:t xml:space="preserve">Students </w:t>
      </w:r>
      <w:r>
        <w:rPr>
          <w:sz w:val="24"/>
        </w:rPr>
        <w:t xml:space="preserve">having the first three </w:t>
      </w:r>
      <w:r>
        <w:rPr>
          <w:spacing w:val="-3"/>
          <w:sz w:val="24"/>
        </w:rPr>
        <w:t xml:space="preserve">lessons </w:t>
      </w:r>
      <w:r>
        <w:rPr>
          <w:sz w:val="24"/>
        </w:rPr>
        <w:t xml:space="preserve">and sitting near windows in </w:t>
      </w:r>
      <w:r>
        <w:rPr>
          <w:spacing w:val="-3"/>
          <w:sz w:val="24"/>
        </w:rPr>
        <w:t xml:space="preserve">front </w:t>
      </w:r>
      <w:r>
        <w:rPr>
          <w:sz w:val="24"/>
        </w:rPr>
        <w:t xml:space="preserve">of </w:t>
      </w:r>
      <w:r>
        <w:rPr>
          <w:spacing w:val="-3"/>
          <w:sz w:val="24"/>
        </w:rPr>
        <w:t>their classrooms</w:t>
      </w:r>
    </w:p>
    <w:p w:rsidR="00F3177F" w:rsidRDefault="0089671D" w:rsidP="003D457D">
      <w:pPr>
        <w:pStyle w:val="ListParagraph"/>
        <w:numPr>
          <w:ilvl w:val="2"/>
          <w:numId w:val="26"/>
        </w:numPr>
        <w:tabs>
          <w:tab w:val="left" w:pos="1304"/>
          <w:tab w:val="left" w:pos="1305"/>
        </w:tabs>
        <w:spacing w:before="11" w:line="352" w:lineRule="auto"/>
        <w:ind w:right="117"/>
        <w:jc w:val="both"/>
        <w:rPr>
          <w:sz w:val="24"/>
        </w:rPr>
      </w:pPr>
      <w:r>
        <w:rPr>
          <w:spacing w:val="-3"/>
          <w:sz w:val="24"/>
        </w:rPr>
        <w:t xml:space="preserve">Students </w:t>
      </w:r>
      <w:r>
        <w:rPr>
          <w:sz w:val="24"/>
        </w:rPr>
        <w:t xml:space="preserve">having the first three </w:t>
      </w:r>
      <w:r>
        <w:rPr>
          <w:spacing w:val="-3"/>
          <w:sz w:val="24"/>
        </w:rPr>
        <w:t xml:space="preserve">lessons and </w:t>
      </w:r>
      <w:r>
        <w:rPr>
          <w:sz w:val="24"/>
        </w:rPr>
        <w:t>sitting near the wall at the back of</w:t>
      </w:r>
      <w:r>
        <w:rPr>
          <w:spacing w:val="-30"/>
          <w:sz w:val="24"/>
        </w:rPr>
        <w:t xml:space="preserve"> </w:t>
      </w:r>
      <w:r>
        <w:rPr>
          <w:spacing w:val="-3"/>
          <w:sz w:val="24"/>
        </w:rPr>
        <w:t>their classrooms</w:t>
      </w:r>
    </w:p>
    <w:p w:rsidR="00F3177F" w:rsidRDefault="0089671D" w:rsidP="003D457D">
      <w:pPr>
        <w:pStyle w:val="ListParagraph"/>
        <w:numPr>
          <w:ilvl w:val="2"/>
          <w:numId w:val="26"/>
        </w:numPr>
        <w:tabs>
          <w:tab w:val="left" w:pos="1304"/>
          <w:tab w:val="left" w:pos="1305"/>
        </w:tabs>
        <w:spacing w:before="14" w:line="350" w:lineRule="auto"/>
        <w:ind w:right="121"/>
        <w:jc w:val="both"/>
        <w:rPr>
          <w:sz w:val="24"/>
        </w:rPr>
      </w:pPr>
      <w:r>
        <w:rPr>
          <w:spacing w:val="-3"/>
          <w:sz w:val="24"/>
        </w:rPr>
        <w:t xml:space="preserve">Students </w:t>
      </w:r>
      <w:r>
        <w:rPr>
          <w:sz w:val="24"/>
        </w:rPr>
        <w:t xml:space="preserve">having the first three </w:t>
      </w:r>
      <w:r>
        <w:rPr>
          <w:spacing w:val="-3"/>
          <w:sz w:val="24"/>
        </w:rPr>
        <w:t xml:space="preserve">lessons </w:t>
      </w:r>
      <w:r>
        <w:rPr>
          <w:sz w:val="24"/>
        </w:rPr>
        <w:t xml:space="preserve">and sitting near windows in </w:t>
      </w:r>
      <w:r>
        <w:rPr>
          <w:spacing w:val="-3"/>
          <w:sz w:val="24"/>
        </w:rPr>
        <w:t xml:space="preserve">front </w:t>
      </w:r>
      <w:r>
        <w:rPr>
          <w:sz w:val="24"/>
        </w:rPr>
        <w:t xml:space="preserve">of </w:t>
      </w:r>
      <w:r>
        <w:rPr>
          <w:spacing w:val="-3"/>
          <w:sz w:val="24"/>
        </w:rPr>
        <w:t>their classrooms.</w:t>
      </w:r>
    </w:p>
    <w:p w:rsidR="00F3177F" w:rsidRDefault="00F3177F">
      <w:pPr>
        <w:pStyle w:val="BodyText"/>
      </w:pPr>
    </w:p>
    <w:p w:rsidR="00F3177F" w:rsidRDefault="0089671D">
      <w:pPr>
        <w:pStyle w:val="BodyText"/>
        <w:spacing w:before="153" w:line="360" w:lineRule="auto"/>
        <w:ind w:left="584" w:right="118"/>
        <w:jc w:val="both"/>
      </w:pPr>
      <w:r>
        <w:t>Finally, the highest differences in the average complaint percentages within the same group of the schools and between the two groups of the schools were found out. This calculation also allowed the researcher to find out the most and least comfortable subdivisions of students in two types of the schools. For the last, the research compares the total complaint percentages of the two groups of the schools.</w:t>
      </w:r>
    </w:p>
    <w:p w:rsidR="00F3177F" w:rsidRDefault="00F3177F">
      <w:pPr>
        <w:pStyle w:val="BodyText"/>
      </w:pPr>
    </w:p>
    <w:p w:rsidR="00F3177F" w:rsidRDefault="0089671D">
      <w:pPr>
        <w:pStyle w:val="BodyText"/>
        <w:spacing w:before="143" w:line="360" w:lineRule="auto"/>
        <w:ind w:left="584" w:right="114"/>
        <w:jc w:val="both"/>
      </w:pPr>
      <w:r>
        <w:t xml:space="preserve">For the analyses of the research hypotheses, the significance level was chosen as 5% (0.05) for a 95% confidence rating. For the first stage of the research, schools with double shift, multi-floors and higher student density were expected to </w:t>
      </w:r>
      <w:proofErr w:type="gramStart"/>
      <w:r>
        <w:t>have  lower</w:t>
      </w:r>
      <w:proofErr w:type="gramEnd"/>
      <w:r>
        <w:t xml:space="preserve"> annual energy consumption per unit area than the central municipality average for the hypothesis 1. </w:t>
      </w:r>
      <w:r>
        <w:rPr>
          <w:spacing w:val="-3"/>
        </w:rPr>
        <w:t xml:space="preserve">In </w:t>
      </w:r>
      <w:r>
        <w:t xml:space="preserve">addition, when the attended number of lessons increase, students in MINECSs in PCM were expected to have higher levels of problems concerning   </w:t>
      </w:r>
      <w:r>
        <w:rPr>
          <w:spacing w:val="10"/>
        </w:rPr>
        <w:t xml:space="preserve"> </w:t>
      </w:r>
      <w:r>
        <w:t>health</w:t>
      </w:r>
    </w:p>
    <w:p w:rsidR="00F3177F" w:rsidRDefault="0089671D" w:rsidP="003D457D">
      <w:pPr>
        <w:pStyle w:val="BodyText"/>
        <w:spacing w:before="4" w:line="352" w:lineRule="auto"/>
        <w:ind w:left="584" w:right="115"/>
        <w:jc w:val="both"/>
      </w:pPr>
      <w:proofErr w:type="gramStart"/>
      <w:r>
        <w:t>than</w:t>
      </w:r>
      <w:proofErr w:type="gramEnd"/>
      <w:r>
        <w:t xml:space="preserve"> the students in MAXECSs in PCM since children’s performance in classrooms can be effected by 30% with a temperature change of 10</w:t>
      </w:r>
      <w:r>
        <w:rPr>
          <w:position w:val="11"/>
          <w:sz w:val="16"/>
        </w:rPr>
        <w:t>o</w:t>
      </w:r>
      <w:r>
        <w:t xml:space="preserve">C (Holmberg &amp; Wyon, 1969) and poor ventilation is the cause of up to 20% of absenteeism (Clements-Croome et. al, 2008). Manova Calculator of SPSS was used for the </w:t>
      </w:r>
      <w:r>
        <w:rPr>
          <w:i/>
        </w:rPr>
        <w:t>p</w:t>
      </w:r>
      <w:r>
        <w:t xml:space="preserve">-value calculations at p&lt;0.05 for a 95% confidence rating to determine if there were a statistically significant differences </w:t>
      </w:r>
      <w:proofErr w:type="gramStart"/>
      <w:r>
        <w:t>between  the</w:t>
      </w:r>
      <w:proofErr w:type="gramEnd"/>
      <w:r>
        <w:t xml:space="preserve">  variables  for  the  hypothesis  1,  Pearson  Correlation  Coefficient and</w:t>
      </w:r>
      <w:r w:rsidR="003D457D">
        <w:t xml:space="preserve"> </w:t>
      </w:r>
      <w:r>
        <w:lastRenderedPageBreak/>
        <w:t>Spearman’s Rho Correlation tests were used for Hypothesis 2 and Chi-Square and one- way Anova tests were used for Hypotheses 3, 4 and 5.</w:t>
      </w:r>
    </w:p>
    <w:p w:rsidR="00F3177F" w:rsidRDefault="00F3177F">
      <w:pPr>
        <w:spacing w:line="360" w:lineRule="auto"/>
        <w:sectPr w:rsidR="00F3177F">
          <w:pgSz w:w="12240" w:h="15840"/>
          <w:pgMar w:top="1380" w:right="1320" w:bottom="2320" w:left="1720" w:header="0" w:footer="2095" w:gutter="0"/>
          <w:cols w:space="720"/>
        </w:sectPr>
      </w:pPr>
    </w:p>
    <w:p w:rsidR="00F3177F" w:rsidRDefault="0089671D">
      <w:pPr>
        <w:pStyle w:val="Heading1"/>
        <w:ind w:left="4043"/>
      </w:pPr>
      <w:r>
        <w:lastRenderedPageBreak/>
        <w:t>CHAPTER 4</w:t>
      </w:r>
    </w:p>
    <w:p w:rsidR="00F3177F" w:rsidRDefault="00F3177F">
      <w:pPr>
        <w:pStyle w:val="BodyText"/>
        <w:rPr>
          <w:b/>
          <w:sz w:val="28"/>
        </w:rPr>
      </w:pPr>
    </w:p>
    <w:p w:rsidR="00F3177F" w:rsidRDefault="0089671D">
      <w:pPr>
        <w:spacing w:before="229"/>
        <w:ind w:left="2963" w:right="65"/>
        <w:rPr>
          <w:b/>
          <w:sz w:val="28"/>
        </w:rPr>
      </w:pPr>
      <w:r>
        <w:rPr>
          <w:b/>
          <w:sz w:val="28"/>
        </w:rPr>
        <w:t>RESULTS AND DISCUSSION</w:t>
      </w:r>
    </w:p>
    <w:p w:rsidR="00F3177F" w:rsidRDefault="00F3177F">
      <w:pPr>
        <w:pStyle w:val="BodyText"/>
        <w:spacing w:before="11"/>
        <w:rPr>
          <w:b/>
          <w:sz w:val="29"/>
        </w:rPr>
      </w:pPr>
    </w:p>
    <w:p w:rsidR="00F3177F" w:rsidRDefault="0089671D">
      <w:pPr>
        <w:pStyle w:val="Heading2"/>
        <w:spacing w:before="69"/>
        <w:ind w:left="584" w:firstLine="0"/>
      </w:pPr>
      <w:proofErr w:type="gramStart"/>
      <w:r>
        <w:t xml:space="preserve">4.1 </w:t>
      </w:r>
      <w:r w:rsidR="00181A9C">
        <w:t xml:space="preserve"> </w:t>
      </w:r>
      <w:r>
        <w:t>Results</w:t>
      </w:r>
      <w:proofErr w:type="gramEnd"/>
    </w:p>
    <w:p w:rsidR="00F3177F" w:rsidRDefault="00F3177F">
      <w:pPr>
        <w:pStyle w:val="BodyText"/>
        <w:spacing w:before="7"/>
        <w:rPr>
          <w:b/>
          <w:sz w:val="35"/>
        </w:rPr>
      </w:pPr>
    </w:p>
    <w:p w:rsidR="00F3177F" w:rsidRDefault="0089671D">
      <w:pPr>
        <w:pStyle w:val="BodyText"/>
        <w:spacing w:before="1" w:line="360" w:lineRule="auto"/>
        <w:ind w:left="584" w:right="114"/>
        <w:jc w:val="both"/>
      </w:pPr>
      <w:r>
        <w:t>It is worth mentioning that the research covers only the state primary and secondary schools in Pristina Central Municipality for both the first and second stages. In addition, the state schools in PCM have been provided hot water with Pristina district heating network (Termokos) since 2014 and it significantly reduces heating energy consumptions and fuel oil costs (World Bank, 2013). It may also affect students’ comfort levels.</w:t>
      </w:r>
    </w:p>
    <w:p w:rsidR="00F3177F" w:rsidRDefault="00F3177F">
      <w:pPr>
        <w:pStyle w:val="BodyText"/>
      </w:pPr>
    </w:p>
    <w:p w:rsidR="00F3177F" w:rsidRDefault="00F3177F">
      <w:pPr>
        <w:pStyle w:val="BodyText"/>
        <w:spacing w:before="8"/>
      </w:pPr>
    </w:p>
    <w:p w:rsidR="00F3177F" w:rsidRDefault="0089671D">
      <w:pPr>
        <w:pStyle w:val="Heading2"/>
        <w:ind w:left="584" w:firstLine="0"/>
      </w:pPr>
      <w:r>
        <w:t>4.1.1   The First Stage</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48" w:lineRule="auto"/>
        <w:ind w:left="584" w:right="114"/>
        <w:jc w:val="both"/>
      </w:pPr>
      <w:r>
        <w:t>The state schools in PCM do not use coal that greatly increases energy consumption and CO</w:t>
      </w:r>
      <w:r>
        <w:rPr>
          <w:position w:val="-2"/>
          <w:sz w:val="16"/>
        </w:rPr>
        <w:t xml:space="preserve">2 </w:t>
      </w:r>
      <w:r>
        <w:t>emission for heating while state schools in other municipalities use it as a means of heating. It considerably distinguishes the energy consumption and CO</w:t>
      </w:r>
      <w:r>
        <w:rPr>
          <w:position w:val="-2"/>
          <w:sz w:val="16"/>
        </w:rPr>
        <w:t xml:space="preserve">2 </w:t>
      </w:r>
      <w:r>
        <w:t>emission averages of the state schools of PCM from the rest in Kosovo. The average of all the state schools in Kosovo was calculated as 161.6 kWh/m</w:t>
      </w:r>
      <w:r>
        <w:rPr>
          <w:position w:val="11"/>
          <w:sz w:val="16"/>
        </w:rPr>
        <w:t>2</w:t>
      </w:r>
      <w:r>
        <w:t>/yr in 2012 (World Bank,</w:t>
      </w:r>
      <w:r w:rsidR="00181A9C">
        <w:t xml:space="preserve"> </w:t>
      </w:r>
      <w:r>
        <w:t>2013) while only electric energy consumption was 133 kWh/m</w:t>
      </w:r>
      <w:r>
        <w:rPr>
          <w:position w:val="11"/>
          <w:sz w:val="16"/>
        </w:rPr>
        <w:t>2</w:t>
      </w:r>
      <w:r>
        <w:t>/yr in 2014 (World Bank, 2015). However, the same average for the state schools in PCM was calculated in this dissertation with the help of information provided by the Municipality as 69.4 kWh/m</w:t>
      </w:r>
      <w:r>
        <w:rPr>
          <w:position w:val="11"/>
          <w:sz w:val="16"/>
        </w:rPr>
        <w:t>2</w:t>
      </w:r>
      <w:r>
        <w:t>/yr in 2014. Thus, the author of this dissertation also calculated the energy consumption and CO</w:t>
      </w:r>
      <w:r>
        <w:rPr>
          <w:position w:val="-2"/>
          <w:sz w:val="16"/>
        </w:rPr>
        <w:t xml:space="preserve">2 </w:t>
      </w:r>
      <w:r>
        <w:t xml:space="preserve">emissions for the state schools in Vushturi Central   </w:t>
      </w:r>
      <w:r>
        <w:rPr>
          <w:spacing w:val="11"/>
        </w:rPr>
        <w:t xml:space="preserve"> </w:t>
      </w:r>
      <w:r>
        <w:t>Municipality</w:t>
      </w:r>
    </w:p>
    <w:p w:rsidR="00F3177F" w:rsidRDefault="0089671D" w:rsidP="00181A9C">
      <w:pPr>
        <w:pStyle w:val="BodyText"/>
        <w:spacing w:before="2" w:line="333" w:lineRule="auto"/>
        <w:ind w:left="584" w:right="116"/>
        <w:jc w:val="both"/>
        <w:sectPr w:rsidR="00F3177F">
          <w:pgSz w:w="12240" w:h="15840"/>
          <w:pgMar w:top="1400" w:right="1320" w:bottom="2320" w:left="1720" w:header="0" w:footer="2095" w:gutter="0"/>
          <w:cols w:space="720"/>
        </w:sectPr>
      </w:pPr>
      <w:proofErr w:type="gramStart"/>
      <w:r>
        <w:t>to</w:t>
      </w:r>
      <w:proofErr w:type="gramEnd"/>
      <w:r>
        <w:t xml:space="preserve"> compare both. The energy consumption and CO</w:t>
      </w:r>
      <w:r>
        <w:rPr>
          <w:position w:val="-2"/>
          <w:sz w:val="16"/>
        </w:rPr>
        <w:t xml:space="preserve">2 </w:t>
      </w:r>
      <w:r>
        <w:t>emission averages for Vushturi was calculated as 176</w:t>
      </w:r>
      <w:proofErr w:type="gramStart"/>
      <w:r>
        <w:t>,7</w:t>
      </w:r>
      <w:proofErr w:type="gramEnd"/>
      <w:r>
        <w:t xml:space="preserve"> kWh/m</w:t>
      </w:r>
      <w:r>
        <w:rPr>
          <w:position w:val="11"/>
          <w:sz w:val="16"/>
        </w:rPr>
        <w:t>2</w:t>
      </w:r>
      <w:r>
        <w:t>/yr and 48.4 kgCO</w:t>
      </w:r>
      <w:r>
        <w:rPr>
          <w:position w:val="-2"/>
          <w:sz w:val="16"/>
        </w:rPr>
        <w:t>2</w:t>
      </w:r>
      <w:r>
        <w:t>/ m</w:t>
      </w:r>
      <w:r>
        <w:rPr>
          <w:position w:val="11"/>
          <w:sz w:val="16"/>
        </w:rPr>
        <w:t>2</w:t>
      </w:r>
      <w:r>
        <w:t xml:space="preserve">/yr, respectively. The comparison is summarized in Table 8. Although it is less frequently used, annual </w:t>
      </w:r>
      <w:proofErr w:type="gramStart"/>
      <w:r>
        <w:t>energy  consumption</w:t>
      </w:r>
      <w:proofErr w:type="gramEnd"/>
      <w:r w:rsidR="00181A9C">
        <w:t xml:space="preserve"> </w:t>
      </w:r>
    </w:p>
    <w:p w:rsidR="00F3177F" w:rsidRDefault="0089671D">
      <w:pPr>
        <w:pStyle w:val="BodyText"/>
        <w:spacing w:before="54" w:line="360" w:lineRule="auto"/>
        <w:ind w:left="584" w:right="212"/>
      </w:pPr>
      <w:proofErr w:type="gramStart"/>
      <w:r>
        <w:lastRenderedPageBreak/>
        <w:t>per</w:t>
      </w:r>
      <w:proofErr w:type="gramEnd"/>
      <w:r>
        <w:t xml:space="preserve"> student as kWh/student/yr was calculated as well. Table 7 below provides calculated averages for the subcategories.</w:t>
      </w:r>
    </w:p>
    <w:p w:rsidR="00F3177F" w:rsidRDefault="00F3177F">
      <w:pPr>
        <w:pStyle w:val="BodyText"/>
        <w:spacing w:before="7"/>
      </w:pPr>
    </w:p>
    <w:p w:rsidR="00F3177F" w:rsidRDefault="0089671D">
      <w:pPr>
        <w:pStyle w:val="BodyText"/>
        <w:spacing w:line="276" w:lineRule="exact"/>
        <w:ind w:left="584" w:right="212"/>
      </w:pPr>
      <w:r>
        <w:t>Table 7: Average energy consumptions and CO</w:t>
      </w:r>
      <w:r>
        <w:rPr>
          <w:position w:val="-2"/>
          <w:sz w:val="16"/>
        </w:rPr>
        <w:t xml:space="preserve">2 </w:t>
      </w:r>
      <w:r>
        <w:t>emissions comparison for all searched categories</w:t>
      </w:r>
    </w:p>
    <w:p w:rsidR="00F3177F" w:rsidRDefault="00F3177F">
      <w:pPr>
        <w:pStyle w:val="BodyText"/>
        <w:spacing w:before="4" w:after="1"/>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43"/>
        <w:gridCol w:w="736"/>
        <w:gridCol w:w="530"/>
        <w:gridCol w:w="1529"/>
        <w:gridCol w:w="1383"/>
        <w:gridCol w:w="1310"/>
      </w:tblGrid>
      <w:tr w:rsidR="00F3177F">
        <w:trPr>
          <w:trHeight w:hRule="exact" w:val="432"/>
        </w:trPr>
        <w:tc>
          <w:tcPr>
            <w:tcW w:w="1574" w:type="dxa"/>
          </w:tcPr>
          <w:p w:rsidR="00F3177F" w:rsidRDefault="0089671D">
            <w:pPr>
              <w:pStyle w:val="TableParagraph"/>
              <w:spacing w:before="71"/>
              <w:ind w:left="244" w:right="108"/>
              <w:rPr>
                <w:b/>
                <w:sz w:val="24"/>
              </w:rPr>
            </w:pPr>
            <w:r>
              <w:rPr>
                <w:b/>
                <w:sz w:val="24"/>
              </w:rPr>
              <w:t>Categories</w:t>
            </w:r>
          </w:p>
        </w:tc>
        <w:tc>
          <w:tcPr>
            <w:tcW w:w="2809" w:type="dxa"/>
            <w:gridSpan w:val="3"/>
          </w:tcPr>
          <w:p w:rsidR="00F3177F" w:rsidRDefault="0089671D">
            <w:pPr>
              <w:pStyle w:val="TableParagraph"/>
              <w:spacing w:before="71"/>
              <w:ind w:left="698"/>
              <w:rPr>
                <w:b/>
                <w:sz w:val="24"/>
              </w:rPr>
            </w:pPr>
            <w:r>
              <w:rPr>
                <w:b/>
                <w:sz w:val="24"/>
              </w:rPr>
              <w:t>Subcategories</w:t>
            </w:r>
          </w:p>
        </w:tc>
        <w:tc>
          <w:tcPr>
            <w:tcW w:w="1529" w:type="dxa"/>
          </w:tcPr>
          <w:p w:rsidR="00F3177F" w:rsidRDefault="0089671D">
            <w:pPr>
              <w:pStyle w:val="TableParagraph"/>
              <w:spacing w:before="71"/>
              <w:ind w:left="103"/>
              <w:rPr>
                <w:b/>
                <w:sz w:val="24"/>
              </w:rPr>
            </w:pPr>
            <w:r>
              <w:rPr>
                <w:b/>
                <w:sz w:val="24"/>
              </w:rPr>
              <w:t>kWh/student</w:t>
            </w:r>
          </w:p>
        </w:tc>
        <w:tc>
          <w:tcPr>
            <w:tcW w:w="1383" w:type="dxa"/>
          </w:tcPr>
          <w:p w:rsidR="00F3177F" w:rsidRDefault="0089671D">
            <w:pPr>
              <w:pStyle w:val="TableParagraph"/>
              <w:spacing w:before="36"/>
              <w:ind w:left="263"/>
              <w:rPr>
                <w:b/>
                <w:sz w:val="16"/>
              </w:rPr>
            </w:pPr>
            <w:r>
              <w:rPr>
                <w:b/>
                <w:sz w:val="24"/>
              </w:rPr>
              <w:t>kWh/m</w:t>
            </w:r>
            <w:r>
              <w:rPr>
                <w:b/>
                <w:position w:val="11"/>
                <w:sz w:val="16"/>
              </w:rPr>
              <w:t>2</w:t>
            </w:r>
          </w:p>
        </w:tc>
        <w:tc>
          <w:tcPr>
            <w:tcW w:w="1310" w:type="dxa"/>
          </w:tcPr>
          <w:p w:rsidR="00F3177F" w:rsidRDefault="0089671D">
            <w:pPr>
              <w:pStyle w:val="TableParagraph"/>
              <w:spacing w:before="36"/>
              <w:ind w:left="136"/>
              <w:rPr>
                <w:b/>
                <w:sz w:val="16"/>
              </w:rPr>
            </w:pPr>
            <w:r>
              <w:rPr>
                <w:b/>
                <w:sz w:val="24"/>
              </w:rPr>
              <w:t>kgCO</w:t>
            </w:r>
            <w:r>
              <w:rPr>
                <w:b/>
                <w:position w:val="-2"/>
                <w:sz w:val="16"/>
              </w:rPr>
              <w:t>2</w:t>
            </w:r>
            <w:r>
              <w:rPr>
                <w:b/>
                <w:sz w:val="24"/>
              </w:rPr>
              <w:t>/m</w:t>
            </w:r>
            <w:r>
              <w:rPr>
                <w:b/>
                <w:position w:val="11"/>
                <w:sz w:val="16"/>
              </w:rPr>
              <w:t>2</w:t>
            </w:r>
          </w:p>
        </w:tc>
      </w:tr>
      <w:tr w:rsidR="00F3177F">
        <w:trPr>
          <w:trHeight w:hRule="exact" w:val="286"/>
        </w:trPr>
        <w:tc>
          <w:tcPr>
            <w:tcW w:w="1574" w:type="dxa"/>
            <w:vMerge w:val="restart"/>
          </w:tcPr>
          <w:p w:rsidR="00F3177F" w:rsidRDefault="0089671D">
            <w:pPr>
              <w:pStyle w:val="TableParagraph"/>
              <w:spacing w:before="136"/>
              <w:ind w:left="103" w:right="108"/>
              <w:rPr>
                <w:sz w:val="24"/>
              </w:rPr>
            </w:pPr>
            <w:r>
              <w:rPr>
                <w:sz w:val="24"/>
              </w:rPr>
              <w:t>School Type</w:t>
            </w:r>
          </w:p>
        </w:tc>
        <w:tc>
          <w:tcPr>
            <w:tcW w:w="2809" w:type="dxa"/>
            <w:gridSpan w:val="3"/>
          </w:tcPr>
          <w:p w:rsidR="00F3177F" w:rsidRDefault="0089671D">
            <w:pPr>
              <w:pStyle w:val="TableParagraph"/>
              <w:spacing w:line="268" w:lineRule="exact"/>
              <w:ind w:left="103"/>
              <w:rPr>
                <w:sz w:val="24"/>
              </w:rPr>
            </w:pPr>
            <w:r>
              <w:rPr>
                <w:sz w:val="24"/>
              </w:rPr>
              <w:t>Primary (42 schools)</w:t>
            </w:r>
          </w:p>
        </w:tc>
        <w:tc>
          <w:tcPr>
            <w:tcW w:w="1529" w:type="dxa"/>
          </w:tcPr>
          <w:p w:rsidR="00F3177F" w:rsidRDefault="0089671D">
            <w:pPr>
              <w:pStyle w:val="TableParagraph"/>
              <w:spacing w:line="268" w:lineRule="exact"/>
              <w:ind w:left="103"/>
              <w:rPr>
                <w:sz w:val="24"/>
              </w:rPr>
            </w:pPr>
            <w:r>
              <w:rPr>
                <w:sz w:val="24"/>
              </w:rPr>
              <w:t>766.4</w:t>
            </w:r>
          </w:p>
        </w:tc>
        <w:tc>
          <w:tcPr>
            <w:tcW w:w="1383" w:type="dxa"/>
          </w:tcPr>
          <w:p w:rsidR="00F3177F" w:rsidRDefault="0089671D">
            <w:pPr>
              <w:pStyle w:val="TableParagraph"/>
              <w:spacing w:line="268" w:lineRule="exact"/>
              <w:ind w:left="100"/>
              <w:rPr>
                <w:sz w:val="24"/>
              </w:rPr>
            </w:pPr>
            <w:r>
              <w:rPr>
                <w:sz w:val="24"/>
              </w:rPr>
              <w:t>71.6</w:t>
            </w:r>
          </w:p>
        </w:tc>
        <w:tc>
          <w:tcPr>
            <w:tcW w:w="1310" w:type="dxa"/>
          </w:tcPr>
          <w:p w:rsidR="00F3177F" w:rsidRDefault="0089671D">
            <w:pPr>
              <w:pStyle w:val="TableParagraph"/>
              <w:spacing w:line="268" w:lineRule="exact"/>
              <w:ind w:left="103"/>
              <w:rPr>
                <w:sz w:val="24"/>
              </w:rPr>
            </w:pPr>
            <w:r>
              <w:rPr>
                <w:sz w:val="24"/>
              </w:rPr>
              <w:t>12.2</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Secondary (13 schools)</w:t>
            </w:r>
          </w:p>
        </w:tc>
        <w:tc>
          <w:tcPr>
            <w:tcW w:w="1529" w:type="dxa"/>
          </w:tcPr>
          <w:p w:rsidR="00F3177F" w:rsidRDefault="0089671D">
            <w:pPr>
              <w:pStyle w:val="TableParagraph"/>
              <w:spacing w:line="268" w:lineRule="exact"/>
              <w:ind w:left="103"/>
              <w:rPr>
                <w:sz w:val="24"/>
              </w:rPr>
            </w:pPr>
            <w:r>
              <w:rPr>
                <w:sz w:val="24"/>
              </w:rPr>
              <w:t>519.9</w:t>
            </w:r>
          </w:p>
        </w:tc>
        <w:tc>
          <w:tcPr>
            <w:tcW w:w="1383" w:type="dxa"/>
          </w:tcPr>
          <w:p w:rsidR="00F3177F" w:rsidRDefault="0089671D">
            <w:pPr>
              <w:pStyle w:val="TableParagraph"/>
              <w:spacing w:line="268" w:lineRule="exact"/>
              <w:ind w:left="100"/>
              <w:rPr>
                <w:sz w:val="24"/>
              </w:rPr>
            </w:pPr>
            <w:r>
              <w:rPr>
                <w:sz w:val="24"/>
              </w:rPr>
              <w:t>62.3</w:t>
            </w:r>
          </w:p>
        </w:tc>
        <w:tc>
          <w:tcPr>
            <w:tcW w:w="1310" w:type="dxa"/>
          </w:tcPr>
          <w:p w:rsidR="00F3177F" w:rsidRDefault="0089671D">
            <w:pPr>
              <w:pStyle w:val="TableParagraph"/>
              <w:spacing w:line="268" w:lineRule="exact"/>
              <w:ind w:left="103"/>
              <w:rPr>
                <w:sz w:val="24"/>
              </w:rPr>
            </w:pPr>
            <w:r>
              <w:rPr>
                <w:sz w:val="24"/>
              </w:rPr>
              <w:t>18.6</w:t>
            </w:r>
          </w:p>
        </w:tc>
      </w:tr>
      <w:tr w:rsidR="00F3177F">
        <w:trPr>
          <w:trHeight w:hRule="exact" w:val="286"/>
        </w:trPr>
        <w:tc>
          <w:tcPr>
            <w:tcW w:w="1574" w:type="dxa"/>
            <w:vMerge w:val="restart"/>
          </w:tcPr>
          <w:p w:rsidR="00F3177F" w:rsidRDefault="0089671D">
            <w:pPr>
              <w:pStyle w:val="TableParagraph"/>
              <w:spacing w:before="136"/>
              <w:ind w:left="103" w:right="108"/>
              <w:rPr>
                <w:sz w:val="24"/>
              </w:rPr>
            </w:pPr>
            <w:r>
              <w:rPr>
                <w:sz w:val="24"/>
              </w:rPr>
              <w:t>Students’ Shift</w:t>
            </w:r>
          </w:p>
        </w:tc>
        <w:tc>
          <w:tcPr>
            <w:tcW w:w="2809" w:type="dxa"/>
            <w:gridSpan w:val="3"/>
          </w:tcPr>
          <w:p w:rsidR="00F3177F" w:rsidRDefault="0089671D">
            <w:pPr>
              <w:pStyle w:val="TableParagraph"/>
              <w:spacing w:line="268" w:lineRule="exact"/>
              <w:ind w:left="103"/>
              <w:rPr>
                <w:sz w:val="24"/>
              </w:rPr>
            </w:pPr>
            <w:r>
              <w:rPr>
                <w:sz w:val="24"/>
              </w:rPr>
              <w:t>Only Morning (25 schools)</w:t>
            </w:r>
          </w:p>
        </w:tc>
        <w:tc>
          <w:tcPr>
            <w:tcW w:w="1529" w:type="dxa"/>
          </w:tcPr>
          <w:p w:rsidR="00F3177F" w:rsidRDefault="0089671D">
            <w:pPr>
              <w:pStyle w:val="TableParagraph"/>
              <w:spacing w:line="268" w:lineRule="exact"/>
              <w:ind w:left="103"/>
              <w:rPr>
                <w:sz w:val="24"/>
              </w:rPr>
            </w:pPr>
            <w:r>
              <w:rPr>
                <w:sz w:val="24"/>
              </w:rPr>
              <w:t>1153.9</w:t>
            </w:r>
          </w:p>
        </w:tc>
        <w:tc>
          <w:tcPr>
            <w:tcW w:w="1383" w:type="dxa"/>
          </w:tcPr>
          <w:p w:rsidR="00F3177F" w:rsidRDefault="0089671D">
            <w:pPr>
              <w:pStyle w:val="TableParagraph"/>
              <w:spacing w:line="268" w:lineRule="exact"/>
              <w:ind w:left="100"/>
              <w:rPr>
                <w:sz w:val="24"/>
              </w:rPr>
            </w:pPr>
            <w:r>
              <w:rPr>
                <w:sz w:val="24"/>
              </w:rPr>
              <w:t>103.1</w:t>
            </w:r>
          </w:p>
        </w:tc>
        <w:tc>
          <w:tcPr>
            <w:tcW w:w="1310" w:type="dxa"/>
          </w:tcPr>
          <w:p w:rsidR="00F3177F" w:rsidRDefault="0089671D">
            <w:pPr>
              <w:pStyle w:val="TableParagraph"/>
              <w:spacing w:line="268" w:lineRule="exact"/>
              <w:ind w:left="103"/>
              <w:rPr>
                <w:sz w:val="24"/>
              </w:rPr>
            </w:pPr>
            <w:r>
              <w:rPr>
                <w:sz w:val="24"/>
              </w:rPr>
              <w:t>14.9</w:t>
            </w:r>
          </w:p>
        </w:tc>
      </w:tr>
      <w:tr w:rsidR="00F3177F">
        <w:trPr>
          <w:trHeight w:hRule="exact" w:val="565"/>
        </w:trPr>
        <w:tc>
          <w:tcPr>
            <w:tcW w:w="1574" w:type="dxa"/>
            <w:vMerge/>
          </w:tcPr>
          <w:p w:rsidR="00F3177F" w:rsidRDefault="00F3177F"/>
        </w:tc>
        <w:tc>
          <w:tcPr>
            <w:tcW w:w="2809" w:type="dxa"/>
            <w:gridSpan w:val="3"/>
          </w:tcPr>
          <w:p w:rsidR="00F3177F" w:rsidRDefault="0089671D">
            <w:pPr>
              <w:pStyle w:val="TableParagraph"/>
              <w:ind w:left="103"/>
              <w:rPr>
                <w:sz w:val="24"/>
              </w:rPr>
            </w:pPr>
            <w:r>
              <w:rPr>
                <w:sz w:val="24"/>
              </w:rPr>
              <w:t>Morning &amp; Afternoon (30 schools)</w:t>
            </w:r>
          </w:p>
        </w:tc>
        <w:tc>
          <w:tcPr>
            <w:tcW w:w="1529" w:type="dxa"/>
          </w:tcPr>
          <w:p w:rsidR="00F3177F" w:rsidRDefault="0089671D">
            <w:pPr>
              <w:pStyle w:val="TableParagraph"/>
              <w:spacing w:before="131"/>
              <w:ind w:left="103"/>
              <w:rPr>
                <w:sz w:val="24"/>
              </w:rPr>
            </w:pPr>
            <w:r>
              <w:rPr>
                <w:sz w:val="24"/>
              </w:rPr>
              <w:t>336.7</w:t>
            </w:r>
          </w:p>
        </w:tc>
        <w:tc>
          <w:tcPr>
            <w:tcW w:w="1383" w:type="dxa"/>
          </w:tcPr>
          <w:p w:rsidR="00F3177F" w:rsidRDefault="0089671D">
            <w:pPr>
              <w:pStyle w:val="TableParagraph"/>
              <w:spacing w:before="131"/>
              <w:ind w:left="100"/>
              <w:rPr>
                <w:sz w:val="24"/>
              </w:rPr>
            </w:pPr>
            <w:r>
              <w:rPr>
                <w:sz w:val="24"/>
              </w:rPr>
              <w:t>41.4</w:t>
            </w:r>
          </w:p>
        </w:tc>
        <w:tc>
          <w:tcPr>
            <w:tcW w:w="1310" w:type="dxa"/>
          </w:tcPr>
          <w:p w:rsidR="00F3177F" w:rsidRDefault="0089671D">
            <w:pPr>
              <w:pStyle w:val="TableParagraph"/>
              <w:spacing w:before="131"/>
              <w:ind w:left="103"/>
              <w:rPr>
                <w:sz w:val="24"/>
              </w:rPr>
            </w:pPr>
            <w:r>
              <w:rPr>
                <w:sz w:val="24"/>
              </w:rPr>
              <w:t>12.7</w:t>
            </w:r>
          </w:p>
        </w:tc>
      </w:tr>
      <w:tr w:rsidR="00F3177F">
        <w:trPr>
          <w:trHeight w:hRule="exact" w:val="286"/>
        </w:trPr>
        <w:tc>
          <w:tcPr>
            <w:tcW w:w="1574" w:type="dxa"/>
            <w:vMerge w:val="restart"/>
          </w:tcPr>
          <w:p w:rsidR="00F3177F" w:rsidRDefault="0089671D">
            <w:pPr>
              <w:pStyle w:val="TableParagraph"/>
              <w:spacing w:before="1"/>
              <w:ind w:left="103" w:right="108"/>
              <w:rPr>
                <w:sz w:val="24"/>
              </w:rPr>
            </w:pPr>
            <w:r>
              <w:rPr>
                <w:sz w:val="24"/>
              </w:rPr>
              <w:t>Building Age</w:t>
            </w:r>
          </w:p>
          <w:p w:rsidR="00F3177F" w:rsidRDefault="0089671D">
            <w:pPr>
              <w:pStyle w:val="TableParagraph"/>
              <w:ind w:left="103" w:right="108"/>
              <w:rPr>
                <w:sz w:val="24"/>
              </w:rPr>
            </w:pPr>
            <w:r>
              <w:rPr>
                <w:sz w:val="24"/>
              </w:rPr>
              <w:t>– Built Between</w:t>
            </w:r>
          </w:p>
        </w:tc>
        <w:tc>
          <w:tcPr>
            <w:tcW w:w="2809" w:type="dxa"/>
            <w:gridSpan w:val="3"/>
          </w:tcPr>
          <w:p w:rsidR="00F3177F" w:rsidRDefault="0089671D">
            <w:pPr>
              <w:pStyle w:val="TableParagraph"/>
              <w:spacing w:line="268" w:lineRule="exact"/>
              <w:ind w:left="103"/>
              <w:rPr>
                <w:sz w:val="24"/>
              </w:rPr>
            </w:pPr>
            <w:r>
              <w:rPr>
                <w:sz w:val="24"/>
              </w:rPr>
              <w:t>1936-1969 (18 schools)</w:t>
            </w:r>
          </w:p>
        </w:tc>
        <w:tc>
          <w:tcPr>
            <w:tcW w:w="1529" w:type="dxa"/>
          </w:tcPr>
          <w:p w:rsidR="00F3177F" w:rsidRDefault="0089671D">
            <w:pPr>
              <w:pStyle w:val="TableParagraph"/>
              <w:spacing w:line="268" w:lineRule="exact"/>
              <w:ind w:left="103"/>
              <w:rPr>
                <w:sz w:val="24"/>
              </w:rPr>
            </w:pPr>
            <w:r>
              <w:rPr>
                <w:sz w:val="24"/>
              </w:rPr>
              <w:t>617.3</w:t>
            </w:r>
          </w:p>
        </w:tc>
        <w:tc>
          <w:tcPr>
            <w:tcW w:w="1383" w:type="dxa"/>
          </w:tcPr>
          <w:p w:rsidR="00F3177F" w:rsidRDefault="0089671D">
            <w:pPr>
              <w:pStyle w:val="TableParagraph"/>
              <w:spacing w:line="268" w:lineRule="exact"/>
              <w:ind w:left="100"/>
              <w:rPr>
                <w:sz w:val="24"/>
              </w:rPr>
            </w:pPr>
            <w:r>
              <w:rPr>
                <w:sz w:val="24"/>
              </w:rPr>
              <w:t>67.0</w:t>
            </w:r>
          </w:p>
        </w:tc>
        <w:tc>
          <w:tcPr>
            <w:tcW w:w="1310" w:type="dxa"/>
          </w:tcPr>
          <w:p w:rsidR="00F3177F" w:rsidRDefault="0089671D">
            <w:pPr>
              <w:pStyle w:val="TableParagraph"/>
              <w:spacing w:line="268" w:lineRule="exact"/>
              <w:ind w:left="103"/>
              <w:rPr>
                <w:sz w:val="24"/>
              </w:rPr>
            </w:pPr>
            <w:r>
              <w:rPr>
                <w:sz w:val="24"/>
              </w:rPr>
              <w:t>18.7</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1970-1999 (22 schools)</w:t>
            </w:r>
          </w:p>
        </w:tc>
        <w:tc>
          <w:tcPr>
            <w:tcW w:w="1529" w:type="dxa"/>
          </w:tcPr>
          <w:p w:rsidR="00F3177F" w:rsidRDefault="0089671D">
            <w:pPr>
              <w:pStyle w:val="TableParagraph"/>
              <w:spacing w:line="268" w:lineRule="exact"/>
              <w:ind w:left="103"/>
              <w:rPr>
                <w:sz w:val="24"/>
              </w:rPr>
            </w:pPr>
            <w:r>
              <w:rPr>
                <w:sz w:val="24"/>
              </w:rPr>
              <w:t>986.1</w:t>
            </w:r>
          </w:p>
        </w:tc>
        <w:tc>
          <w:tcPr>
            <w:tcW w:w="1383" w:type="dxa"/>
          </w:tcPr>
          <w:p w:rsidR="00F3177F" w:rsidRDefault="0089671D">
            <w:pPr>
              <w:pStyle w:val="TableParagraph"/>
              <w:spacing w:line="268" w:lineRule="exact"/>
              <w:ind w:left="100"/>
              <w:rPr>
                <w:sz w:val="24"/>
              </w:rPr>
            </w:pPr>
            <w:r>
              <w:rPr>
                <w:sz w:val="24"/>
              </w:rPr>
              <w:t>84.9</w:t>
            </w:r>
          </w:p>
        </w:tc>
        <w:tc>
          <w:tcPr>
            <w:tcW w:w="1310" w:type="dxa"/>
          </w:tcPr>
          <w:p w:rsidR="00F3177F" w:rsidRDefault="0089671D">
            <w:pPr>
              <w:pStyle w:val="TableParagraph"/>
              <w:spacing w:line="268" w:lineRule="exact"/>
              <w:ind w:left="103"/>
              <w:rPr>
                <w:sz w:val="24"/>
              </w:rPr>
            </w:pPr>
            <w:r>
              <w:rPr>
                <w:sz w:val="24"/>
              </w:rPr>
              <w:t>12.1</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2000-2013 (15 schools)</w:t>
            </w:r>
          </w:p>
        </w:tc>
        <w:tc>
          <w:tcPr>
            <w:tcW w:w="1529" w:type="dxa"/>
          </w:tcPr>
          <w:p w:rsidR="00F3177F" w:rsidRDefault="0089671D">
            <w:pPr>
              <w:pStyle w:val="TableParagraph"/>
              <w:spacing w:line="268" w:lineRule="exact"/>
              <w:ind w:left="103"/>
              <w:rPr>
                <w:sz w:val="24"/>
              </w:rPr>
            </w:pPr>
            <w:r>
              <w:rPr>
                <w:sz w:val="24"/>
              </w:rPr>
              <w:t>409.5</w:t>
            </w:r>
          </w:p>
        </w:tc>
        <w:tc>
          <w:tcPr>
            <w:tcW w:w="1383" w:type="dxa"/>
          </w:tcPr>
          <w:p w:rsidR="00F3177F" w:rsidRDefault="0089671D">
            <w:pPr>
              <w:pStyle w:val="TableParagraph"/>
              <w:spacing w:line="268" w:lineRule="exact"/>
              <w:ind w:left="100"/>
              <w:rPr>
                <w:sz w:val="24"/>
              </w:rPr>
            </w:pPr>
            <w:r>
              <w:rPr>
                <w:sz w:val="24"/>
              </w:rPr>
              <w:t>49.7</w:t>
            </w:r>
          </w:p>
        </w:tc>
        <w:tc>
          <w:tcPr>
            <w:tcW w:w="1310" w:type="dxa"/>
          </w:tcPr>
          <w:p w:rsidR="00F3177F" w:rsidRDefault="0089671D">
            <w:pPr>
              <w:pStyle w:val="TableParagraph"/>
              <w:spacing w:line="268" w:lineRule="exact"/>
              <w:ind w:left="103"/>
              <w:rPr>
                <w:sz w:val="24"/>
              </w:rPr>
            </w:pPr>
            <w:r>
              <w:rPr>
                <w:sz w:val="24"/>
              </w:rPr>
              <w:t>10.1</w:t>
            </w:r>
          </w:p>
        </w:tc>
      </w:tr>
      <w:tr w:rsidR="00F3177F">
        <w:trPr>
          <w:trHeight w:hRule="exact" w:val="286"/>
        </w:trPr>
        <w:tc>
          <w:tcPr>
            <w:tcW w:w="1574" w:type="dxa"/>
            <w:vMerge w:val="restart"/>
          </w:tcPr>
          <w:p w:rsidR="00F3177F" w:rsidRDefault="0089671D">
            <w:pPr>
              <w:pStyle w:val="TableParagraph"/>
              <w:ind w:left="103" w:right="108"/>
              <w:rPr>
                <w:sz w:val="24"/>
              </w:rPr>
            </w:pPr>
            <w:r>
              <w:rPr>
                <w:sz w:val="24"/>
              </w:rPr>
              <w:t>The Number of Buildings</w:t>
            </w:r>
          </w:p>
        </w:tc>
        <w:tc>
          <w:tcPr>
            <w:tcW w:w="2809" w:type="dxa"/>
            <w:gridSpan w:val="3"/>
          </w:tcPr>
          <w:p w:rsidR="00F3177F" w:rsidRDefault="0089671D">
            <w:pPr>
              <w:pStyle w:val="TableParagraph"/>
              <w:spacing w:line="268" w:lineRule="exact"/>
              <w:ind w:left="103"/>
              <w:rPr>
                <w:sz w:val="24"/>
              </w:rPr>
            </w:pPr>
            <w:r>
              <w:rPr>
                <w:sz w:val="24"/>
              </w:rPr>
              <w:t>1 (45 schools)</w:t>
            </w:r>
          </w:p>
        </w:tc>
        <w:tc>
          <w:tcPr>
            <w:tcW w:w="1529" w:type="dxa"/>
          </w:tcPr>
          <w:p w:rsidR="00F3177F" w:rsidRDefault="0089671D">
            <w:pPr>
              <w:pStyle w:val="TableParagraph"/>
              <w:spacing w:line="268" w:lineRule="exact"/>
              <w:ind w:left="103"/>
              <w:rPr>
                <w:sz w:val="24"/>
              </w:rPr>
            </w:pPr>
            <w:r>
              <w:rPr>
                <w:sz w:val="24"/>
              </w:rPr>
              <w:t>624.7</w:t>
            </w:r>
          </w:p>
        </w:tc>
        <w:tc>
          <w:tcPr>
            <w:tcW w:w="1383" w:type="dxa"/>
          </w:tcPr>
          <w:p w:rsidR="00F3177F" w:rsidRDefault="0089671D">
            <w:pPr>
              <w:pStyle w:val="TableParagraph"/>
              <w:spacing w:line="268" w:lineRule="exact"/>
              <w:ind w:left="100"/>
              <w:rPr>
                <w:sz w:val="24"/>
              </w:rPr>
            </w:pPr>
            <w:r>
              <w:rPr>
                <w:sz w:val="24"/>
              </w:rPr>
              <w:t>66.5</w:t>
            </w:r>
          </w:p>
        </w:tc>
        <w:tc>
          <w:tcPr>
            <w:tcW w:w="1310" w:type="dxa"/>
          </w:tcPr>
          <w:p w:rsidR="00F3177F" w:rsidRDefault="0089671D">
            <w:pPr>
              <w:pStyle w:val="TableParagraph"/>
              <w:spacing w:line="268" w:lineRule="exact"/>
              <w:ind w:left="103"/>
              <w:rPr>
                <w:sz w:val="24"/>
              </w:rPr>
            </w:pPr>
            <w:r>
              <w:rPr>
                <w:sz w:val="24"/>
              </w:rPr>
              <w:t>15.5</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2 or more (10 schools)</w:t>
            </w:r>
          </w:p>
        </w:tc>
        <w:tc>
          <w:tcPr>
            <w:tcW w:w="1529" w:type="dxa"/>
          </w:tcPr>
          <w:p w:rsidR="00F3177F" w:rsidRDefault="0089671D">
            <w:pPr>
              <w:pStyle w:val="TableParagraph"/>
              <w:spacing w:line="268" w:lineRule="exact"/>
              <w:ind w:left="103"/>
              <w:rPr>
                <w:sz w:val="24"/>
              </w:rPr>
            </w:pPr>
            <w:r>
              <w:rPr>
                <w:sz w:val="24"/>
              </w:rPr>
              <w:t>1083.6</w:t>
            </w:r>
          </w:p>
        </w:tc>
        <w:tc>
          <w:tcPr>
            <w:tcW w:w="1383" w:type="dxa"/>
          </w:tcPr>
          <w:p w:rsidR="00F3177F" w:rsidRDefault="0089671D">
            <w:pPr>
              <w:pStyle w:val="TableParagraph"/>
              <w:spacing w:line="268" w:lineRule="exact"/>
              <w:ind w:left="100"/>
              <w:rPr>
                <w:sz w:val="24"/>
              </w:rPr>
            </w:pPr>
            <w:r>
              <w:rPr>
                <w:sz w:val="24"/>
              </w:rPr>
              <w:t>82.7</w:t>
            </w:r>
          </w:p>
        </w:tc>
        <w:tc>
          <w:tcPr>
            <w:tcW w:w="1310" w:type="dxa"/>
          </w:tcPr>
          <w:p w:rsidR="00F3177F" w:rsidRDefault="0089671D">
            <w:pPr>
              <w:pStyle w:val="TableParagraph"/>
              <w:spacing w:line="268" w:lineRule="exact"/>
              <w:ind w:left="103"/>
              <w:rPr>
                <w:sz w:val="24"/>
              </w:rPr>
            </w:pPr>
            <w:r>
              <w:rPr>
                <w:sz w:val="24"/>
              </w:rPr>
              <w:t>5.7</w:t>
            </w:r>
          </w:p>
        </w:tc>
      </w:tr>
      <w:tr w:rsidR="00F3177F">
        <w:trPr>
          <w:trHeight w:hRule="exact" w:val="286"/>
        </w:trPr>
        <w:tc>
          <w:tcPr>
            <w:tcW w:w="1574" w:type="dxa"/>
            <w:vMerge w:val="restart"/>
          </w:tcPr>
          <w:p w:rsidR="00F3177F" w:rsidRDefault="0089671D">
            <w:pPr>
              <w:pStyle w:val="TableParagraph"/>
              <w:spacing w:before="140"/>
              <w:ind w:left="103" w:right="108"/>
              <w:rPr>
                <w:sz w:val="24"/>
              </w:rPr>
            </w:pPr>
            <w:r>
              <w:rPr>
                <w:sz w:val="24"/>
              </w:rPr>
              <w:t>The Number of Floors</w:t>
            </w:r>
          </w:p>
        </w:tc>
        <w:tc>
          <w:tcPr>
            <w:tcW w:w="2809" w:type="dxa"/>
            <w:gridSpan w:val="3"/>
          </w:tcPr>
          <w:p w:rsidR="00F3177F" w:rsidRDefault="0089671D">
            <w:pPr>
              <w:pStyle w:val="TableParagraph"/>
              <w:spacing w:line="270" w:lineRule="exact"/>
              <w:ind w:left="103"/>
              <w:rPr>
                <w:sz w:val="24"/>
              </w:rPr>
            </w:pPr>
            <w:r>
              <w:rPr>
                <w:sz w:val="24"/>
              </w:rPr>
              <w:t>1 (22 schools)</w:t>
            </w:r>
          </w:p>
        </w:tc>
        <w:tc>
          <w:tcPr>
            <w:tcW w:w="1529" w:type="dxa"/>
          </w:tcPr>
          <w:p w:rsidR="00F3177F" w:rsidRDefault="0089671D">
            <w:pPr>
              <w:pStyle w:val="TableParagraph"/>
              <w:spacing w:line="270" w:lineRule="exact"/>
              <w:ind w:left="103"/>
              <w:rPr>
                <w:sz w:val="24"/>
              </w:rPr>
            </w:pPr>
            <w:r>
              <w:rPr>
                <w:sz w:val="24"/>
              </w:rPr>
              <w:t>1175.5</w:t>
            </w:r>
          </w:p>
        </w:tc>
        <w:tc>
          <w:tcPr>
            <w:tcW w:w="1383" w:type="dxa"/>
          </w:tcPr>
          <w:p w:rsidR="00F3177F" w:rsidRDefault="0089671D">
            <w:pPr>
              <w:pStyle w:val="TableParagraph"/>
              <w:spacing w:line="270" w:lineRule="exact"/>
              <w:ind w:left="100"/>
              <w:rPr>
                <w:sz w:val="24"/>
              </w:rPr>
            </w:pPr>
            <w:r>
              <w:rPr>
                <w:sz w:val="24"/>
              </w:rPr>
              <w:t>111.0</w:t>
            </w:r>
          </w:p>
        </w:tc>
        <w:tc>
          <w:tcPr>
            <w:tcW w:w="1310" w:type="dxa"/>
          </w:tcPr>
          <w:p w:rsidR="00F3177F" w:rsidRDefault="0089671D">
            <w:pPr>
              <w:pStyle w:val="TableParagraph"/>
              <w:spacing w:line="270" w:lineRule="exact"/>
              <w:ind w:left="103"/>
              <w:rPr>
                <w:sz w:val="24"/>
              </w:rPr>
            </w:pPr>
            <w:r>
              <w:rPr>
                <w:sz w:val="24"/>
              </w:rPr>
              <w:t>15.3</w:t>
            </w:r>
          </w:p>
        </w:tc>
      </w:tr>
      <w:tr w:rsidR="00F3177F">
        <w:trPr>
          <w:trHeight w:hRule="exact" w:val="288"/>
        </w:trPr>
        <w:tc>
          <w:tcPr>
            <w:tcW w:w="1574" w:type="dxa"/>
            <w:vMerge/>
          </w:tcPr>
          <w:p w:rsidR="00F3177F" w:rsidRDefault="00F3177F"/>
        </w:tc>
        <w:tc>
          <w:tcPr>
            <w:tcW w:w="2809" w:type="dxa"/>
            <w:gridSpan w:val="3"/>
          </w:tcPr>
          <w:p w:rsidR="00F3177F" w:rsidRDefault="0089671D">
            <w:pPr>
              <w:pStyle w:val="TableParagraph"/>
              <w:spacing w:line="270" w:lineRule="exact"/>
              <w:ind w:left="103"/>
              <w:rPr>
                <w:sz w:val="24"/>
              </w:rPr>
            </w:pPr>
            <w:r>
              <w:rPr>
                <w:sz w:val="24"/>
              </w:rPr>
              <w:t>2 (17 schools)</w:t>
            </w:r>
          </w:p>
        </w:tc>
        <w:tc>
          <w:tcPr>
            <w:tcW w:w="1529" w:type="dxa"/>
          </w:tcPr>
          <w:p w:rsidR="00F3177F" w:rsidRDefault="0089671D">
            <w:pPr>
              <w:pStyle w:val="TableParagraph"/>
              <w:spacing w:line="270" w:lineRule="exact"/>
              <w:ind w:left="103"/>
              <w:rPr>
                <w:sz w:val="24"/>
              </w:rPr>
            </w:pPr>
            <w:r>
              <w:rPr>
                <w:sz w:val="24"/>
              </w:rPr>
              <w:t>384.2</w:t>
            </w:r>
          </w:p>
        </w:tc>
        <w:tc>
          <w:tcPr>
            <w:tcW w:w="1383" w:type="dxa"/>
          </w:tcPr>
          <w:p w:rsidR="00F3177F" w:rsidRDefault="0089671D">
            <w:pPr>
              <w:pStyle w:val="TableParagraph"/>
              <w:spacing w:line="270" w:lineRule="exact"/>
              <w:ind w:left="100"/>
              <w:rPr>
                <w:sz w:val="24"/>
              </w:rPr>
            </w:pPr>
            <w:r>
              <w:rPr>
                <w:sz w:val="24"/>
              </w:rPr>
              <w:t>53.0</w:t>
            </w:r>
          </w:p>
        </w:tc>
        <w:tc>
          <w:tcPr>
            <w:tcW w:w="1310" w:type="dxa"/>
          </w:tcPr>
          <w:p w:rsidR="00F3177F" w:rsidRDefault="0089671D">
            <w:pPr>
              <w:pStyle w:val="TableParagraph"/>
              <w:spacing w:line="270" w:lineRule="exact"/>
              <w:ind w:left="103"/>
              <w:rPr>
                <w:sz w:val="24"/>
              </w:rPr>
            </w:pPr>
            <w:r>
              <w:rPr>
                <w:sz w:val="24"/>
              </w:rPr>
              <w:t>15.5</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3 (16 schools)</w:t>
            </w:r>
          </w:p>
        </w:tc>
        <w:tc>
          <w:tcPr>
            <w:tcW w:w="1529" w:type="dxa"/>
          </w:tcPr>
          <w:p w:rsidR="00F3177F" w:rsidRDefault="0089671D">
            <w:pPr>
              <w:pStyle w:val="TableParagraph"/>
              <w:spacing w:line="268" w:lineRule="exact"/>
              <w:ind w:left="103"/>
              <w:rPr>
                <w:sz w:val="24"/>
              </w:rPr>
            </w:pPr>
            <w:r>
              <w:rPr>
                <w:sz w:val="24"/>
              </w:rPr>
              <w:t>409.7</w:t>
            </w:r>
          </w:p>
        </w:tc>
        <w:tc>
          <w:tcPr>
            <w:tcW w:w="1383" w:type="dxa"/>
          </w:tcPr>
          <w:p w:rsidR="00F3177F" w:rsidRDefault="0089671D">
            <w:pPr>
              <w:pStyle w:val="TableParagraph"/>
              <w:spacing w:line="268" w:lineRule="exact"/>
              <w:ind w:left="100"/>
              <w:rPr>
                <w:sz w:val="24"/>
              </w:rPr>
            </w:pPr>
            <w:r>
              <w:rPr>
                <w:sz w:val="24"/>
              </w:rPr>
              <w:t>29.7</w:t>
            </w:r>
          </w:p>
        </w:tc>
        <w:tc>
          <w:tcPr>
            <w:tcW w:w="1310" w:type="dxa"/>
          </w:tcPr>
          <w:p w:rsidR="00F3177F" w:rsidRDefault="0089671D">
            <w:pPr>
              <w:pStyle w:val="TableParagraph"/>
              <w:spacing w:line="268" w:lineRule="exact"/>
              <w:ind w:left="103"/>
              <w:rPr>
                <w:sz w:val="24"/>
              </w:rPr>
            </w:pPr>
            <w:r>
              <w:rPr>
                <w:sz w:val="24"/>
              </w:rPr>
              <w:t>9.7</w:t>
            </w:r>
          </w:p>
        </w:tc>
      </w:tr>
      <w:tr w:rsidR="00F3177F">
        <w:trPr>
          <w:trHeight w:hRule="exact" w:val="286"/>
        </w:trPr>
        <w:tc>
          <w:tcPr>
            <w:tcW w:w="1574" w:type="dxa"/>
            <w:vMerge w:val="restart"/>
          </w:tcPr>
          <w:p w:rsidR="00F3177F" w:rsidRDefault="0089671D">
            <w:pPr>
              <w:pStyle w:val="TableParagraph"/>
              <w:spacing w:before="140"/>
              <w:ind w:left="103" w:right="108"/>
              <w:rPr>
                <w:sz w:val="24"/>
              </w:rPr>
            </w:pPr>
            <w:r>
              <w:rPr>
                <w:sz w:val="24"/>
              </w:rPr>
              <w:t>The Number of Students</w:t>
            </w:r>
          </w:p>
        </w:tc>
        <w:tc>
          <w:tcPr>
            <w:tcW w:w="2809" w:type="dxa"/>
            <w:gridSpan w:val="3"/>
          </w:tcPr>
          <w:p w:rsidR="00F3177F" w:rsidRDefault="0089671D">
            <w:pPr>
              <w:pStyle w:val="TableParagraph"/>
              <w:spacing w:line="268" w:lineRule="exact"/>
              <w:ind w:left="103"/>
              <w:rPr>
                <w:sz w:val="24"/>
              </w:rPr>
            </w:pPr>
            <w:r>
              <w:rPr>
                <w:sz w:val="24"/>
              </w:rPr>
              <w:t>1-500 (19 schools)</w:t>
            </w:r>
          </w:p>
        </w:tc>
        <w:tc>
          <w:tcPr>
            <w:tcW w:w="1529" w:type="dxa"/>
          </w:tcPr>
          <w:p w:rsidR="00F3177F" w:rsidRDefault="0089671D">
            <w:pPr>
              <w:pStyle w:val="TableParagraph"/>
              <w:spacing w:line="268" w:lineRule="exact"/>
              <w:ind w:left="103"/>
              <w:rPr>
                <w:sz w:val="24"/>
              </w:rPr>
            </w:pPr>
            <w:r>
              <w:rPr>
                <w:sz w:val="24"/>
              </w:rPr>
              <w:t>637.7</w:t>
            </w:r>
          </w:p>
        </w:tc>
        <w:tc>
          <w:tcPr>
            <w:tcW w:w="1383" w:type="dxa"/>
          </w:tcPr>
          <w:p w:rsidR="00F3177F" w:rsidRDefault="0089671D">
            <w:pPr>
              <w:pStyle w:val="TableParagraph"/>
              <w:spacing w:line="268" w:lineRule="exact"/>
              <w:ind w:left="100"/>
              <w:rPr>
                <w:sz w:val="24"/>
              </w:rPr>
            </w:pPr>
            <w:r>
              <w:rPr>
                <w:sz w:val="24"/>
              </w:rPr>
              <w:t>111.9</w:t>
            </w:r>
          </w:p>
        </w:tc>
        <w:tc>
          <w:tcPr>
            <w:tcW w:w="1310" w:type="dxa"/>
          </w:tcPr>
          <w:p w:rsidR="00F3177F" w:rsidRDefault="0089671D">
            <w:pPr>
              <w:pStyle w:val="TableParagraph"/>
              <w:spacing w:line="268" w:lineRule="exact"/>
              <w:ind w:left="103"/>
              <w:rPr>
                <w:sz w:val="24"/>
              </w:rPr>
            </w:pPr>
            <w:r>
              <w:rPr>
                <w:sz w:val="24"/>
              </w:rPr>
              <w:t>13.4</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501-1000 (15 schools)</w:t>
            </w:r>
          </w:p>
        </w:tc>
        <w:tc>
          <w:tcPr>
            <w:tcW w:w="1529" w:type="dxa"/>
          </w:tcPr>
          <w:p w:rsidR="00F3177F" w:rsidRDefault="0089671D">
            <w:pPr>
              <w:pStyle w:val="TableParagraph"/>
              <w:spacing w:line="268" w:lineRule="exact"/>
              <w:ind w:left="103"/>
              <w:rPr>
                <w:sz w:val="24"/>
              </w:rPr>
            </w:pPr>
            <w:r>
              <w:rPr>
                <w:sz w:val="24"/>
              </w:rPr>
              <w:t>414.5</w:t>
            </w:r>
          </w:p>
        </w:tc>
        <w:tc>
          <w:tcPr>
            <w:tcW w:w="1383" w:type="dxa"/>
          </w:tcPr>
          <w:p w:rsidR="00F3177F" w:rsidRDefault="0089671D">
            <w:pPr>
              <w:pStyle w:val="TableParagraph"/>
              <w:spacing w:line="268" w:lineRule="exact"/>
              <w:ind w:left="100"/>
              <w:rPr>
                <w:sz w:val="24"/>
              </w:rPr>
            </w:pPr>
            <w:r>
              <w:rPr>
                <w:sz w:val="24"/>
              </w:rPr>
              <w:t>51.9</w:t>
            </w:r>
          </w:p>
        </w:tc>
        <w:tc>
          <w:tcPr>
            <w:tcW w:w="1310" w:type="dxa"/>
          </w:tcPr>
          <w:p w:rsidR="00F3177F" w:rsidRDefault="0089671D">
            <w:pPr>
              <w:pStyle w:val="TableParagraph"/>
              <w:spacing w:line="268" w:lineRule="exact"/>
              <w:ind w:left="103"/>
              <w:rPr>
                <w:sz w:val="24"/>
              </w:rPr>
            </w:pPr>
            <w:r>
              <w:rPr>
                <w:sz w:val="24"/>
              </w:rPr>
              <w:t>14.4</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1001 or more (21 schools)</w:t>
            </w:r>
          </w:p>
        </w:tc>
        <w:tc>
          <w:tcPr>
            <w:tcW w:w="1529" w:type="dxa"/>
          </w:tcPr>
          <w:p w:rsidR="00F3177F" w:rsidRDefault="0089671D">
            <w:pPr>
              <w:pStyle w:val="TableParagraph"/>
              <w:spacing w:line="268" w:lineRule="exact"/>
              <w:ind w:left="103"/>
              <w:rPr>
                <w:sz w:val="24"/>
              </w:rPr>
            </w:pPr>
            <w:r>
              <w:rPr>
                <w:sz w:val="24"/>
              </w:rPr>
              <w:t>313.6</w:t>
            </w:r>
          </w:p>
        </w:tc>
        <w:tc>
          <w:tcPr>
            <w:tcW w:w="1383" w:type="dxa"/>
          </w:tcPr>
          <w:p w:rsidR="00F3177F" w:rsidRDefault="0089671D">
            <w:pPr>
              <w:pStyle w:val="TableParagraph"/>
              <w:spacing w:line="268" w:lineRule="exact"/>
              <w:ind w:left="100"/>
              <w:rPr>
                <w:sz w:val="24"/>
              </w:rPr>
            </w:pPr>
            <w:r>
              <w:rPr>
                <w:sz w:val="24"/>
              </w:rPr>
              <w:t>43.6</w:t>
            </w:r>
          </w:p>
        </w:tc>
        <w:tc>
          <w:tcPr>
            <w:tcW w:w="1310" w:type="dxa"/>
          </w:tcPr>
          <w:p w:rsidR="00F3177F" w:rsidRDefault="0089671D">
            <w:pPr>
              <w:pStyle w:val="TableParagraph"/>
              <w:spacing w:line="268" w:lineRule="exact"/>
              <w:ind w:left="103"/>
              <w:rPr>
                <w:sz w:val="24"/>
              </w:rPr>
            </w:pPr>
            <w:r>
              <w:rPr>
                <w:sz w:val="24"/>
              </w:rPr>
              <w:t>13.4</w:t>
            </w:r>
          </w:p>
        </w:tc>
      </w:tr>
      <w:tr w:rsidR="00F3177F">
        <w:trPr>
          <w:trHeight w:hRule="exact" w:val="286"/>
        </w:trPr>
        <w:tc>
          <w:tcPr>
            <w:tcW w:w="1574" w:type="dxa"/>
            <w:vMerge w:val="restart"/>
          </w:tcPr>
          <w:p w:rsidR="00F3177F" w:rsidRDefault="0089671D">
            <w:pPr>
              <w:pStyle w:val="TableParagraph"/>
              <w:spacing w:before="163" w:line="276" w:lineRule="exact"/>
              <w:ind w:left="103"/>
              <w:rPr>
                <w:sz w:val="24"/>
              </w:rPr>
            </w:pPr>
            <w:r>
              <w:rPr>
                <w:sz w:val="24"/>
              </w:rPr>
              <w:t>Total School Building Area (m</w:t>
            </w:r>
            <w:r>
              <w:rPr>
                <w:position w:val="11"/>
                <w:sz w:val="16"/>
              </w:rPr>
              <w:t>2</w:t>
            </w:r>
            <w:r>
              <w:rPr>
                <w:sz w:val="24"/>
              </w:rPr>
              <w:t>)</w:t>
            </w:r>
          </w:p>
        </w:tc>
        <w:tc>
          <w:tcPr>
            <w:tcW w:w="2809" w:type="dxa"/>
            <w:gridSpan w:val="3"/>
          </w:tcPr>
          <w:p w:rsidR="00F3177F" w:rsidRDefault="0089671D">
            <w:pPr>
              <w:pStyle w:val="TableParagraph"/>
              <w:spacing w:line="268" w:lineRule="exact"/>
              <w:ind w:left="103"/>
              <w:rPr>
                <w:sz w:val="24"/>
              </w:rPr>
            </w:pPr>
            <w:r>
              <w:rPr>
                <w:sz w:val="24"/>
              </w:rPr>
              <w:t>1-1000 (10 schools)</w:t>
            </w:r>
          </w:p>
        </w:tc>
        <w:tc>
          <w:tcPr>
            <w:tcW w:w="1529" w:type="dxa"/>
          </w:tcPr>
          <w:p w:rsidR="00F3177F" w:rsidRDefault="0089671D">
            <w:pPr>
              <w:pStyle w:val="TableParagraph"/>
              <w:spacing w:line="268" w:lineRule="exact"/>
              <w:ind w:left="103"/>
              <w:rPr>
                <w:sz w:val="24"/>
              </w:rPr>
            </w:pPr>
            <w:r>
              <w:rPr>
                <w:sz w:val="24"/>
              </w:rPr>
              <w:t>1256.4</w:t>
            </w:r>
          </w:p>
        </w:tc>
        <w:tc>
          <w:tcPr>
            <w:tcW w:w="1383" w:type="dxa"/>
          </w:tcPr>
          <w:p w:rsidR="00F3177F" w:rsidRDefault="0089671D">
            <w:pPr>
              <w:pStyle w:val="TableParagraph"/>
              <w:spacing w:line="268" w:lineRule="exact"/>
              <w:ind w:left="100"/>
              <w:rPr>
                <w:sz w:val="24"/>
              </w:rPr>
            </w:pPr>
            <w:r>
              <w:rPr>
                <w:sz w:val="24"/>
              </w:rPr>
              <w:t>173.4</w:t>
            </w:r>
          </w:p>
        </w:tc>
        <w:tc>
          <w:tcPr>
            <w:tcW w:w="1310" w:type="dxa"/>
          </w:tcPr>
          <w:p w:rsidR="00F3177F" w:rsidRDefault="0089671D">
            <w:pPr>
              <w:pStyle w:val="TableParagraph"/>
              <w:spacing w:line="268" w:lineRule="exact"/>
              <w:ind w:left="103"/>
              <w:rPr>
                <w:sz w:val="24"/>
              </w:rPr>
            </w:pPr>
            <w:r>
              <w:rPr>
                <w:sz w:val="24"/>
              </w:rPr>
              <w:t>24.2</w:t>
            </w:r>
          </w:p>
        </w:tc>
      </w:tr>
      <w:tr w:rsidR="00F3177F">
        <w:trPr>
          <w:trHeight w:hRule="exact" w:val="288"/>
        </w:trPr>
        <w:tc>
          <w:tcPr>
            <w:tcW w:w="1574" w:type="dxa"/>
            <w:vMerge/>
          </w:tcPr>
          <w:p w:rsidR="00F3177F" w:rsidRDefault="00F3177F"/>
        </w:tc>
        <w:tc>
          <w:tcPr>
            <w:tcW w:w="2809" w:type="dxa"/>
            <w:gridSpan w:val="3"/>
          </w:tcPr>
          <w:p w:rsidR="00F3177F" w:rsidRDefault="0089671D">
            <w:pPr>
              <w:pStyle w:val="TableParagraph"/>
              <w:spacing w:line="270" w:lineRule="exact"/>
              <w:ind w:left="103"/>
              <w:rPr>
                <w:sz w:val="24"/>
              </w:rPr>
            </w:pPr>
            <w:r>
              <w:rPr>
                <w:sz w:val="24"/>
              </w:rPr>
              <w:t>1001-3000 (8 schools)</w:t>
            </w:r>
          </w:p>
        </w:tc>
        <w:tc>
          <w:tcPr>
            <w:tcW w:w="1529" w:type="dxa"/>
          </w:tcPr>
          <w:p w:rsidR="00F3177F" w:rsidRDefault="0089671D">
            <w:pPr>
              <w:pStyle w:val="TableParagraph"/>
              <w:spacing w:line="270" w:lineRule="exact"/>
              <w:ind w:left="103"/>
              <w:rPr>
                <w:sz w:val="24"/>
              </w:rPr>
            </w:pPr>
            <w:r>
              <w:rPr>
                <w:sz w:val="24"/>
              </w:rPr>
              <w:t>1431.9</w:t>
            </w:r>
          </w:p>
        </w:tc>
        <w:tc>
          <w:tcPr>
            <w:tcW w:w="1383" w:type="dxa"/>
          </w:tcPr>
          <w:p w:rsidR="00F3177F" w:rsidRDefault="0089671D">
            <w:pPr>
              <w:pStyle w:val="TableParagraph"/>
              <w:spacing w:line="270" w:lineRule="exact"/>
              <w:ind w:left="100"/>
              <w:rPr>
                <w:sz w:val="24"/>
              </w:rPr>
            </w:pPr>
            <w:r>
              <w:rPr>
                <w:sz w:val="24"/>
              </w:rPr>
              <w:t>70.5</w:t>
            </w:r>
          </w:p>
        </w:tc>
        <w:tc>
          <w:tcPr>
            <w:tcW w:w="1310" w:type="dxa"/>
          </w:tcPr>
          <w:p w:rsidR="00F3177F" w:rsidRDefault="0089671D">
            <w:pPr>
              <w:pStyle w:val="TableParagraph"/>
              <w:spacing w:line="270" w:lineRule="exact"/>
              <w:ind w:left="103"/>
              <w:rPr>
                <w:sz w:val="24"/>
              </w:rPr>
            </w:pPr>
            <w:r>
              <w:rPr>
                <w:sz w:val="24"/>
              </w:rPr>
              <w:t>8.5</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3001-5000 (7 schools)</w:t>
            </w:r>
          </w:p>
        </w:tc>
        <w:tc>
          <w:tcPr>
            <w:tcW w:w="1529" w:type="dxa"/>
          </w:tcPr>
          <w:p w:rsidR="00F3177F" w:rsidRDefault="0089671D">
            <w:pPr>
              <w:pStyle w:val="TableParagraph"/>
              <w:spacing w:line="268" w:lineRule="exact"/>
              <w:ind w:left="103"/>
              <w:rPr>
                <w:sz w:val="24"/>
              </w:rPr>
            </w:pPr>
            <w:r>
              <w:rPr>
                <w:sz w:val="24"/>
              </w:rPr>
              <w:t>378.4</w:t>
            </w:r>
          </w:p>
        </w:tc>
        <w:tc>
          <w:tcPr>
            <w:tcW w:w="1383" w:type="dxa"/>
          </w:tcPr>
          <w:p w:rsidR="00F3177F" w:rsidRDefault="0089671D">
            <w:pPr>
              <w:pStyle w:val="TableParagraph"/>
              <w:spacing w:line="268" w:lineRule="exact"/>
              <w:ind w:left="100"/>
              <w:rPr>
                <w:sz w:val="24"/>
              </w:rPr>
            </w:pPr>
            <w:r>
              <w:rPr>
                <w:sz w:val="24"/>
              </w:rPr>
              <w:t>56.8</w:t>
            </w:r>
          </w:p>
        </w:tc>
        <w:tc>
          <w:tcPr>
            <w:tcW w:w="1310" w:type="dxa"/>
          </w:tcPr>
          <w:p w:rsidR="00F3177F" w:rsidRDefault="0089671D">
            <w:pPr>
              <w:pStyle w:val="TableParagraph"/>
              <w:spacing w:line="268" w:lineRule="exact"/>
              <w:ind w:left="103"/>
              <w:rPr>
                <w:sz w:val="24"/>
              </w:rPr>
            </w:pPr>
            <w:r>
              <w:rPr>
                <w:sz w:val="24"/>
              </w:rPr>
              <w:t>14.2</w:t>
            </w:r>
          </w:p>
        </w:tc>
      </w:tr>
      <w:tr w:rsidR="00F3177F">
        <w:trPr>
          <w:trHeight w:hRule="exact" w:val="314"/>
        </w:trPr>
        <w:tc>
          <w:tcPr>
            <w:tcW w:w="1574" w:type="dxa"/>
            <w:vMerge/>
          </w:tcPr>
          <w:p w:rsidR="00F3177F" w:rsidRDefault="00F3177F"/>
        </w:tc>
        <w:tc>
          <w:tcPr>
            <w:tcW w:w="2809" w:type="dxa"/>
            <w:gridSpan w:val="3"/>
          </w:tcPr>
          <w:p w:rsidR="00F3177F" w:rsidRDefault="0089671D">
            <w:pPr>
              <w:pStyle w:val="TableParagraph"/>
              <w:spacing w:before="6"/>
              <w:ind w:left="103"/>
              <w:rPr>
                <w:sz w:val="24"/>
              </w:rPr>
            </w:pPr>
            <w:r>
              <w:rPr>
                <w:sz w:val="24"/>
              </w:rPr>
              <w:t>5001 or more (30 schools)</w:t>
            </w:r>
          </w:p>
        </w:tc>
        <w:tc>
          <w:tcPr>
            <w:tcW w:w="1529" w:type="dxa"/>
          </w:tcPr>
          <w:p w:rsidR="00F3177F" w:rsidRDefault="0089671D">
            <w:pPr>
              <w:pStyle w:val="TableParagraph"/>
              <w:spacing w:before="6"/>
              <w:ind w:left="103"/>
              <w:rPr>
                <w:sz w:val="24"/>
              </w:rPr>
            </w:pPr>
            <w:r>
              <w:rPr>
                <w:sz w:val="24"/>
              </w:rPr>
              <w:t>409.3</w:t>
            </w:r>
          </w:p>
        </w:tc>
        <w:tc>
          <w:tcPr>
            <w:tcW w:w="1383" w:type="dxa"/>
          </w:tcPr>
          <w:p w:rsidR="00F3177F" w:rsidRDefault="0089671D">
            <w:pPr>
              <w:pStyle w:val="TableParagraph"/>
              <w:spacing w:before="6"/>
              <w:ind w:left="100"/>
              <w:rPr>
                <w:sz w:val="24"/>
              </w:rPr>
            </w:pPr>
            <w:r>
              <w:rPr>
                <w:sz w:val="24"/>
              </w:rPr>
              <w:t>37.4</w:t>
            </w:r>
          </w:p>
        </w:tc>
        <w:tc>
          <w:tcPr>
            <w:tcW w:w="1310" w:type="dxa"/>
          </w:tcPr>
          <w:p w:rsidR="00F3177F" w:rsidRDefault="0089671D">
            <w:pPr>
              <w:pStyle w:val="TableParagraph"/>
              <w:spacing w:before="6"/>
              <w:ind w:left="103"/>
              <w:rPr>
                <w:sz w:val="24"/>
              </w:rPr>
            </w:pPr>
            <w:r>
              <w:rPr>
                <w:sz w:val="24"/>
              </w:rPr>
              <w:t>11.5</w:t>
            </w:r>
          </w:p>
        </w:tc>
      </w:tr>
      <w:tr w:rsidR="00F3177F">
        <w:trPr>
          <w:trHeight w:hRule="exact" w:val="286"/>
        </w:trPr>
        <w:tc>
          <w:tcPr>
            <w:tcW w:w="1574" w:type="dxa"/>
            <w:vMerge w:val="restart"/>
          </w:tcPr>
          <w:p w:rsidR="00F3177F" w:rsidRDefault="0089671D">
            <w:pPr>
              <w:pStyle w:val="TableParagraph"/>
              <w:ind w:left="103" w:right="108"/>
              <w:rPr>
                <w:sz w:val="24"/>
              </w:rPr>
            </w:pPr>
            <w:r>
              <w:rPr>
                <w:sz w:val="24"/>
              </w:rPr>
              <w:t>Floor Height (m)</w:t>
            </w:r>
          </w:p>
        </w:tc>
        <w:tc>
          <w:tcPr>
            <w:tcW w:w="2809" w:type="dxa"/>
            <w:gridSpan w:val="3"/>
          </w:tcPr>
          <w:p w:rsidR="00F3177F" w:rsidRDefault="0089671D">
            <w:pPr>
              <w:pStyle w:val="TableParagraph"/>
              <w:spacing w:line="268" w:lineRule="exact"/>
              <w:ind w:left="103"/>
              <w:rPr>
                <w:sz w:val="24"/>
              </w:rPr>
            </w:pPr>
            <w:r>
              <w:rPr>
                <w:sz w:val="24"/>
              </w:rPr>
              <w:t>2.7-3 (12 schools)</w:t>
            </w:r>
          </w:p>
        </w:tc>
        <w:tc>
          <w:tcPr>
            <w:tcW w:w="1529" w:type="dxa"/>
          </w:tcPr>
          <w:p w:rsidR="00F3177F" w:rsidRDefault="0089671D">
            <w:pPr>
              <w:pStyle w:val="TableParagraph"/>
              <w:spacing w:line="268" w:lineRule="exact"/>
              <w:ind w:left="103"/>
              <w:rPr>
                <w:sz w:val="24"/>
              </w:rPr>
            </w:pPr>
            <w:r>
              <w:rPr>
                <w:sz w:val="24"/>
              </w:rPr>
              <w:t>1702.3</w:t>
            </w:r>
          </w:p>
        </w:tc>
        <w:tc>
          <w:tcPr>
            <w:tcW w:w="1383" w:type="dxa"/>
          </w:tcPr>
          <w:p w:rsidR="00F3177F" w:rsidRDefault="0089671D">
            <w:pPr>
              <w:pStyle w:val="TableParagraph"/>
              <w:spacing w:line="268" w:lineRule="exact"/>
              <w:ind w:left="100"/>
              <w:rPr>
                <w:sz w:val="24"/>
              </w:rPr>
            </w:pPr>
            <w:r>
              <w:rPr>
                <w:sz w:val="24"/>
              </w:rPr>
              <w:t>105.5</w:t>
            </w:r>
          </w:p>
        </w:tc>
        <w:tc>
          <w:tcPr>
            <w:tcW w:w="1310" w:type="dxa"/>
          </w:tcPr>
          <w:p w:rsidR="00F3177F" w:rsidRDefault="0089671D">
            <w:pPr>
              <w:pStyle w:val="TableParagraph"/>
              <w:spacing w:line="268" w:lineRule="exact"/>
              <w:ind w:left="103"/>
              <w:rPr>
                <w:sz w:val="24"/>
              </w:rPr>
            </w:pPr>
            <w:r>
              <w:rPr>
                <w:sz w:val="24"/>
              </w:rPr>
              <w:t>8.6</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3.1 or more (43 schools)</w:t>
            </w:r>
          </w:p>
        </w:tc>
        <w:tc>
          <w:tcPr>
            <w:tcW w:w="1529" w:type="dxa"/>
          </w:tcPr>
          <w:p w:rsidR="00F3177F" w:rsidRDefault="0089671D">
            <w:pPr>
              <w:pStyle w:val="TableParagraph"/>
              <w:spacing w:line="268" w:lineRule="exact"/>
              <w:ind w:left="103"/>
              <w:rPr>
                <w:sz w:val="24"/>
              </w:rPr>
            </w:pPr>
            <w:r>
              <w:rPr>
                <w:sz w:val="24"/>
              </w:rPr>
              <w:t>430.7</w:t>
            </w:r>
          </w:p>
        </w:tc>
        <w:tc>
          <w:tcPr>
            <w:tcW w:w="1383" w:type="dxa"/>
          </w:tcPr>
          <w:p w:rsidR="00F3177F" w:rsidRDefault="0089671D">
            <w:pPr>
              <w:pStyle w:val="TableParagraph"/>
              <w:spacing w:line="268" w:lineRule="exact"/>
              <w:ind w:left="100"/>
              <w:rPr>
                <w:sz w:val="24"/>
              </w:rPr>
            </w:pPr>
            <w:r>
              <w:rPr>
                <w:sz w:val="24"/>
              </w:rPr>
              <w:t>59.3</w:t>
            </w:r>
          </w:p>
        </w:tc>
        <w:tc>
          <w:tcPr>
            <w:tcW w:w="1310" w:type="dxa"/>
          </w:tcPr>
          <w:p w:rsidR="00F3177F" w:rsidRDefault="0089671D">
            <w:pPr>
              <w:pStyle w:val="TableParagraph"/>
              <w:spacing w:line="268" w:lineRule="exact"/>
              <w:ind w:left="103"/>
              <w:rPr>
                <w:sz w:val="24"/>
              </w:rPr>
            </w:pPr>
            <w:r>
              <w:rPr>
                <w:sz w:val="24"/>
              </w:rPr>
              <w:t>15.1</w:t>
            </w:r>
          </w:p>
        </w:tc>
      </w:tr>
      <w:tr w:rsidR="00F3177F">
        <w:trPr>
          <w:trHeight w:hRule="exact" w:val="286"/>
        </w:trPr>
        <w:tc>
          <w:tcPr>
            <w:tcW w:w="1574" w:type="dxa"/>
            <w:vMerge w:val="restart"/>
          </w:tcPr>
          <w:p w:rsidR="00F3177F" w:rsidRDefault="0089671D">
            <w:pPr>
              <w:pStyle w:val="TableParagraph"/>
              <w:ind w:left="103" w:right="121"/>
              <w:rPr>
                <w:sz w:val="24"/>
              </w:rPr>
            </w:pPr>
            <w:r>
              <w:rPr>
                <w:sz w:val="24"/>
              </w:rPr>
              <w:t>Extra Building</w:t>
            </w:r>
          </w:p>
        </w:tc>
        <w:tc>
          <w:tcPr>
            <w:tcW w:w="2809" w:type="dxa"/>
            <w:gridSpan w:val="3"/>
          </w:tcPr>
          <w:p w:rsidR="00F3177F" w:rsidRDefault="0089671D">
            <w:pPr>
              <w:pStyle w:val="TableParagraph"/>
              <w:spacing w:line="268" w:lineRule="exact"/>
              <w:ind w:left="103"/>
              <w:rPr>
                <w:sz w:val="24"/>
              </w:rPr>
            </w:pPr>
            <w:r>
              <w:rPr>
                <w:sz w:val="24"/>
              </w:rPr>
              <w:t>Yes (33 schools)</w:t>
            </w:r>
          </w:p>
        </w:tc>
        <w:tc>
          <w:tcPr>
            <w:tcW w:w="1529" w:type="dxa"/>
          </w:tcPr>
          <w:p w:rsidR="00F3177F" w:rsidRDefault="0089671D">
            <w:pPr>
              <w:pStyle w:val="TableParagraph"/>
              <w:spacing w:line="268" w:lineRule="exact"/>
              <w:ind w:left="103"/>
              <w:rPr>
                <w:sz w:val="24"/>
              </w:rPr>
            </w:pPr>
            <w:r>
              <w:rPr>
                <w:sz w:val="24"/>
              </w:rPr>
              <w:t>391.9</w:t>
            </w:r>
          </w:p>
        </w:tc>
        <w:tc>
          <w:tcPr>
            <w:tcW w:w="1383" w:type="dxa"/>
          </w:tcPr>
          <w:p w:rsidR="00F3177F" w:rsidRDefault="0089671D">
            <w:pPr>
              <w:pStyle w:val="TableParagraph"/>
              <w:spacing w:line="268" w:lineRule="exact"/>
              <w:ind w:left="100"/>
              <w:rPr>
                <w:sz w:val="24"/>
              </w:rPr>
            </w:pPr>
            <w:r>
              <w:rPr>
                <w:sz w:val="24"/>
              </w:rPr>
              <w:t>46.5</w:t>
            </w:r>
          </w:p>
        </w:tc>
        <w:tc>
          <w:tcPr>
            <w:tcW w:w="1310" w:type="dxa"/>
          </w:tcPr>
          <w:p w:rsidR="00F3177F" w:rsidRDefault="0089671D">
            <w:pPr>
              <w:pStyle w:val="TableParagraph"/>
              <w:spacing w:line="268" w:lineRule="exact"/>
              <w:ind w:left="103"/>
              <w:rPr>
                <w:sz w:val="24"/>
              </w:rPr>
            </w:pPr>
            <w:r>
              <w:rPr>
                <w:sz w:val="24"/>
              </w:rPr>
              <w:t>12.3</w:t>
            </w:r>
          </w:p>
        </w:tc>
      </w:tr>
      <w:tr w:rsidR="00F3177F">
        <w:trPr>
          <w:trHeight w:hRule="exact" w:val="288"/>
        </w:trPr>
        <w:tc>
          <w:tcPr>
            <w:tcW w:w="1574" w:type="dxa"/>
            <w:vMerge/>
          </w:tcPr>
          <w:p w:rsidR="00F3177F" w:rsidRDefault="00F3177F"/>
        </w:tc>
        <w:tc>
          <w:tcPr>
            <w:tcW w:w="2809" w:type="dxa"/>
            <w:gridSpan w:val="3"/>
          </w:tcPr>
          <w:p w:rsidR="00F3177F" w:rsidRDefault="0089671D">
            <w:pPr>
              <w:pStyle w:val="TableParagraph"/>
              <w:spacing w:line="270" w:lineRule="exact"/>
              <w:ind w:left="103"/>
              <w:rPr>
                <w:sz w:val="24"/>
              </w:rPr>
            </w:pPr>
            <w:r>
              <w:rPr>
                <w:sz w:val="24"/>
              </w:rPr>
              <w:t>No (22 schools)</w:t>
            </w:r>
          </w:p>
        </w:tc>
        <w:tc>
          <w:tcPr>
            <w:tcW w:w="1529" w:type="dxa"/>
          </w:tcPr>
          <w:p w:rsidR="00F3177F" w:rsidRDefault="0089671D">
            <w:pPr>
              <w:pStyle w:val="TableParagraph"/>
              <w:spacing w:line="270" w:lineRule="exact"/>
              <w:ind w:left="103"/>
              <w:rPr>
                <w:sz w:val="24"/>
              </w:rPr>
            </w:pPr>
            <w:r>
              <w:rPr>
                <w:sz w:val="24"/>
              </w:rPr>
              <w:t>1182.5</w:t>
            </w:r>
          </w:p>
        </w:tc>
        <w:tc>
          <w:tcPr>
            <w:tcW w:w="1383" w:type="dxa"/>
          </w:tcPr>
          <w:p w:rsidR="00F3177F" w:rsidRDefault="0089671D">
            <w:pPr>
              <w:pStyle w:val="TableParagraph"/>
              <w:spacing w:line="270" w:lineRule="exact"/>
              <w:ind w:left="100"/>
              <w:rPr>
                <w:sz w:val="24"/>
              </w:rPr>
            </w:pPr>
            <w:r>
              <w:rPr>
                <w:sz w:val="24"/>
              </w:rPr>
              <w:t>103.9</w:t>
            </w:r>
          </w:p>
        </w:tc>
        <w:tc>
          <w:tcPr>
            <w:tcW w:w="1310" w:type="dxa"/>
          </w:tcPr>
          <w:p w:rsidR="00F3177F" w:rsidRDefault="0089671D">
            <w:pPr>
              <w:pStyle w:val="TableParagraph"/>
              <w:spacing w:line="270" w:lineRule="exact"/>
              <w:ind w:left="103"/>
              <w:rPr>
                <w:sz w:val="24"/>
              </w:rPr>
            </w:pPr>
            <w:r>
              <w:rPr>
                <w:sz w:val="24"/>
              </w:rPr>
              <w:t>15.7</w:t>
            </w:r>
          </w:p>
        </w:tc>
      </w:tr>
      <w:tr w:rsidR="00F3177F">
        <w:trPr>
          <w:trHeight w:hRule="exact" w:val="562"/>
        </w:trPr>
        <w:tc>
          <w:tcPr>
            <w:tcW w:w="1574" w:type="dxa"/>
            <w:vMerge w:val="restart"/>
          </w:tcPr>
          <w:p w:rsidR="00F3177F" w:rsidRDefault="00F3177F">
            <w:pPr>
              <w:pStyle w:val="TableParagraph"/>
              <w:spacing w:before="8"/>
              <w:rPr>
                <w:sz w:val="23"/>
              </w:rPr>
            </w:pPr>
          </w:p>
          <w:p w:rsidR="00F3177F" w:rsidRDefault="0089671D">
            <w:pPr>
              <w:pStyle w:val="TableParagraph"/>
              <w:ind w:left="103" w:right="108"/>
              <w:rPr>
                <w:sz w:val="24"/>
              </w:rPr>
            </w:pPr>
            <w:r>
              <w:rPr>
                <w:sz w:val="24"/>
              </w:rPr>
              <w:t>Energy Type</w:t>
            </w:r>
          </w:p>
        </w:tc>
        <w:tc>
          <w:tcPr>
            <w:tcW w:w="1543" w:type="dxa"/>
            <w:tcBorders>
              <w:right w:val="nil"/>
            </w:tcBorders>
          </w:tcPr>
          <w:p w:rsidR="00F3177F" w:rsidRDefault="0089671D">
            <w:pPr>
              <w:pStyle w:val="TableParagraph"/>
              <w:tabs>
                <w:tab w:val="left" w:pos="1293"/>
              </w:tabs>
              <w:ind w:left="103" w:right="107"/>
              <w:rPr>
                <w:sz w:val="24"/>
              </w:rPr>
            </w:pPr>
            <w:r>
              <w:rPr>
                <w:sz w:val="24"/>
              </w:rPr>
              <w:t>Electricity</w:t>
            </w:r>
            <w:r>
              <w:rPr>
                <w:sz w:val="24"/>
              </w:rPr>
              <w:tab/>
              <w:t xml:space="preserve">+ </w:t>
            </w:r>
            <w:r>
              <w:rPr>
                <w:spacing w:val="-3"/>
                <w:sz w:val="24"/>
              </w:rPr>
              <w:t>sch.)</w:t>
            </w:r>
          </w:p>
        </w:tc>
        <w:tc>
          <w:tcPr>
            <w:tcW w:w="736" w:type="dxa"/>
            <w:tcBorders>
              <w:left w:val="nil"/>
              <w:right w:val="nil"/>
            </w:tcBorders>
          </w:tcPr>
          <w:p w:rsidR="00F3177F" w:rsidRDefault="0089671D">
            <w:pPr>
              <w:pStyle w:val="TableParagraph"/>
              <w:spacing w:line="268" w:lineRule="exact"/>
              <w:ind w:left="80" w:right="82"/>
              <w:jc w:val="center"/>
              <w:rPr>
                <w:sz w:val="24"/>
              </w:rPr>
            </w:pPr>
            <w:r>
              <w:rPr>
                <w:sz w:val="24"/>
              </w:rPr>
              <w:t>wood</w:t>
            </w:r>
          </w:p>
        </w:tc>
        <w:tc>
          <w:tcPr>
            <w:tcW w:w="530" w:type="dxa"/>
            <w:tcBorders>
              <w:left w:val="nil"/>
            </w:tcBorders>
          </w:tcPr>
          <w:p w:rsidR="00F3177F" w:rsidRDefault="0089671D">
            <w:pPr>
              <w:pStyle w:val="TableParagraph"/>
              <w:spacing w:line="268" w:lineRule="exact"/>
              <w:ind w:left="107"/>
              <w:rPr>
                <w:sz w:val="24"/>
              </w:rPr>
            </w:pPr>
            <w:r>
              <w:rPr>
                <w:sz w:val="24"/>
              </w:rPr>
              <w:t>(18</w:t>
            </w:r>
          </w:p>
        </w:tc>
        <w:tc>
          <w:tcPr>
            <w:tcW w:w="1529" w:type="dxa"/>
          </w:tcPr>
          <w:p w:rsidR="00F3177F" w:rsidRDefault="0089671D">
            <w:pPr>
              <w:pStyle w:val="TableParagraph"/>
              <w:spacing w:before="128"/>
              <w:ind w:left="103"/>
              <w:rPr>
                <w:sz w:val="24"/>
              </w:rPr>
            </w:pPr>
            <w:r>
              <w:rPr>
                <w:sz w:val="24"/>
              </w:rPr>
              <w:t>1348.0</w:t>
            </w:r>
          </w:p>
        </w:tc>
        <w:tc>
          <w:tcPr>
            <w:tcW w:w="1383" w:type="dxa"/>
          </w:tcPr>
          <w:p w:rsidR="00F3177F" w:rsidRDefault="0089671D">
            <w:pPr>
              <w:pStyle w:val="TableParagraph"/>
              <w:spacing w:before="128"/>
              <w:ind w:left="100"/>
              <w:rPr>
                <w:sz w:val="24"/>
              </w:rPr>
            </w:pPr>
            <w:r>
              <w:rPr>
                <w:sz w:val="24"/>
              </w:rPr>
              <w:t>93.0</w:t>
            </w:r>
          </w:p>
        </w:tc>
        <w:tc>
          <w:tcPr>
            <w:tcW w:w="1310" w:type="dxa"/>
          </w:tcPr>
          <w:p w:rsidR="00F3177F" w:rsidRDefault="0089671D">
            <w:pPr>
              <w:pStyle w:val="TableParagraph"/>
              <w:spacing w:before="128"/>
              <w:ind w:left="103"/>
              <w:rPr>
                <w:sz w:val="24"/>
              </w:rPr>
            </w:pPr>
            <w:r>
              <w:rPr>
                <w:sz w:val="24"/>
              </w:rPr>
              <w:t>6.1</w:t>
            </w:r>
          </w:p>
        </w:tc>
      </w:tr>
      <w:tr w:rsidR="00F3177F">
        <w:trPr>
          <w:trHeight w:hRule="exact" w:val="286"/>
        </w:trPr>
        <w:tc>
          <w:tcPr>
            <w:tcW w:w="1574" w:type="dxa"/>
            <w:vMerge/>
          </w:tcPr>
          <w:p w:rsidR="00F3177F" w:rsidRDefault="00F3177F"/>
        </w:tc>
        <w:tc>
          <w:tcPr>
            <w:tcW w:w="2809" w:type="dxa"/>
            <w:gridSpan w:val="3"/>
          </w:tcPr>
          <w:p w:rsidR="00F3177F" w:rsidRDefault="0089671D">
            <w:pPr>
              <w:pStyle w:val="TableParagraph"/>
              <w:spacing w:line="268" w:lineRule="exact"/>
              <w:ind w:left="103"/>
              <w:rPr>
                <w:sz w:val="24"/>
              </w:rPr>
            </w:pPr>
            <w:r>
              <w:rPr>
                <w:sz w:val="24"/>
              </w:rPr>
              <w:t>Electricity + Oil (37 sch.)</w:t>
            </w:r>
          </w:p>
        </w:tc>
        <w:tc>
          <w:tcPr>
            <w:tcW w:w="1529" w:type="dxa"/>
          </w:tcPr>
          <w:p w:rsidR="00F3177F" w:rsidRDefault="0089671D">
            <w:pPr>
              <w:pStyle w:val="TableParagraph"/>
              <w:spacing w:line="268" w:lineRule="exact"/>
              <w:ind w:left="103"/>
              <w:rPr>
                <w:sz w:val="24"/>
              </w:rPr>
            </w:pPr>
            <w:r>
              <w:rPr>
                <w:sz w:val="24"/>
              </w:rPr>
              <w:t>396.9</w:t>
            </w:r>
          </w:p>
        </w:tc>
        <w:tc>
          <w:tcPr>
            <w:tcW w:w="1383" w:type="dxa"/>
          </w:tcPr>
          <w:p w:rsidR="00F3177F" w:rsidRDefault="0089671D">
            <w:pPr>
              <w:pStyle w:val="TableParagraph"/>
              <w:spacing w:line="268" w:lineRule="exact"/>
              <w:ind w:left="100"/>
              <w:rPr>
                <w:sz w:val="24"/>
              </w:rPr>
            </w:pPr>
            <w:r>
              <w:rPr>
                <w:sz w:val="24"/>
              </w:rPr>
              <w:t>58.0</w:t>
            </w:r>
          </w:p>
        </w:tc>
        <w:tc>
          <w:tcPr>
            <w:tcW w:w="1310" w:type="dxa"/>
          </w:tcPr>
          <w:p w:rsidR="00F3177F" w:rsidRDefault="0089671D">
            <w:pPr>
              <w:pStyle w:val="TableParagraph"/>
              <w:spacing w:line="268" w:lineRule="exact"/>
              <w:ind w:left="103"/>
              <w:rPr>
                <w:sz w:val="24"/>
              </w:rPr>
            </w:pPr>
            <w:r>
              <w:rPr>
                <w:sz w:val="24"/>
              </w:rPr>
              <w:t>17.4</w:t>
            </w:r>
          </w:p>
        </w:tc>
      </w:tr>
      <w:tr w:rsidR="00F3177F">
        <w:trPr>
          <w:trHeight w:hRule="exact" w:val="387"/>
        </w:trPr>
        <w:tc>
          <w:tcPr>
            <w:tcW w:w="1574" w:type="dxa"/>
            <w:vMerge w:val="restart"/>
          </w:tcPr>
          <w:p w:rsidR="00F3177F" w:rsidRDefault="0089671D">
            <w:pPr>
              <w:pStyle w:val="TableParagraph"/>
              <w:spacing w:before="51" w:line="276" w:lineRule="exact"/>
              <w:ind w:left="103" w:right="723"/>
              <w:jc w:val="both"/>
              <w:rPr>
                <w:sz w:val="24"/>
              </w:rPr>
            </w:pPr>
            <w:r>
              <w:rPr>
                <w:spacing w:val="-3"/>
                <w:sz w:val="24"/>
              </w:rPr>
              <w:t xml:space="preserve">Student </w:t>
            </w:r>
            <w:r>
              <w:rPr>
                <w:spacing w:val="-2"/>
                <w:sz w:val="24"/>
              </w:rPr>
              <w:t xml:space="preserve">Density </w:t>
            </w:r>
            <w:r>
              <w:rPr>
                <w:spacing w:val="-3"/>
                <w:sz w:val="24"/>
              </w:rPr>
              <w:t>(st/m</w:t>
            </w:r>
            <w:r>
              <w:rPr>
                <w:spacing w:val="-3"/>
                <w:position w:val="11"/>
                <w:sz w:val="16"/>
              </w:rPr>
              <w:t>2</w:t>
            </w:r>
            <w:r>
              <w:rPr>
                <w:spacing w:val="-3"/>
                <w:sz w:val="24"/>
              </w:rPr>
              <w:t>)</w:t>
            </w:r>
          </w:p>
        </w:tc>
        <w:tc>
          <w:tcPr>
            <w:tcW w:w="2809" w:type="dxa"/>
            <w:gridSpan w:val="3"/>
          </w:tcPr>
          <w:p w:rsidR="00F3177F" w:rsidRDefault="0089671D">
            <w:pPr>
              <w:pStyle w:val="TableParagraph"/>
              <w:spacing w:before="43"/>
              <w:ind w:left="103"/>
              <w:rPr>
                <w:sz w:val="24"/>
              </w:rPr>
            </w:pPr>
            <w:r>
              <w:rPr>
                <w:sz w:val="24"/>
              </w:rPr>
              <w:t>0.01-0.2 (43 schools)</w:t>
            </w:r>
          </w:p>
        </w:tc>
        <w:tc>
          <w:tcPr>
            <w:tcW w:w="1529" w:type="dxa"/>
          </w:tcPr>
          <w:p w:rsidR="00F3177F" w:rsidRDefault="0089671D">
            <w:pPr>
              <w:pStyle w:val="TableParagraph"/>
              <w:spacing w:before="43"/>
              <w:ind w:left="103"/>
              <w:rPr>
                <w:sz w:val="24"/>
              </w:rPr>
            </w:pPr>
            <w:r>
              <w:rPr>
                <w:sz w:val="24"/>
              </w:rPr>
              <w:t>799.7</w:t>
            </w:r>
          </w:p>
        </w:tc>
        <w:tc>
          <w:tcPr>
            <w:tcW w:w="1383" w:type="dxa"/>
          </w:tcPr>
          <w:p w:rsidR="00F3177F" w:rsidRDefault="0089671D">
            <w:pPr>
              <w:pStyle w:val="TableParagraph"/>
              <w:spacing w:before="43"/>
              <w:ind w:left="100"/>
              <w:rPr>
                <w:sz w:val="24"/>
              </w:rPr>
            </w:pPr>
            <w:r>
              <w:rPr>
                <w:sz w:val="24"/>
              </w:rPr>
              <w:t>53.6</w:t>
            </w:r>
          </w:p>
        </w:tc>
        <w:tc>
          <w:tcPr>
            <w:tcW w:w="1310" w:type="dxa"/>
          </w:tcPr>
          <w:p w:rsidR="00F3177F" w:rsidRDefault="0089671D">
            <w:pPr>
              <w:pStyle w:val="TableParagraph"/>
              <w:spacing w:before="43"/>
              <w:ind w:left="103"/>
              <w:rPr>
                <w:sz w:val="24"/>
              </w:rPr>
            </w:pPr>
            <w:r>
              <w:rPr>
                <w:sz w:val="24"/>
              </w:rPr>
              <w:t>10.8</w:t>
            </w:r>
          </w:p>
        </w:tc>
      </w:tr>
      <w:tr w:rsidR="00F3177F">
        <w:trPr>
          <w:trHeight w:hRule="exact" w:val="562"/>
        </w:trPr>
        <w:tc>
          <w:tcPr>
            <w:tcW w:w="1574" w:type="dxa"/>
            <w:vMerge/>
          </w:tcPr>
          <w:p w:rsidR="00F3177F" w:rsidRDefault="00F3177F"/>
        </w:tc>
        <w:tc>
          <w:tcPr>
            <w:tcW w:w="1543" w:type="dxa"/>
            <w:tcBorders>
              <w:right w:val="nil"/>
            </w:tcBorders>
          </w:tcPr>
          <w:p w:rsidR="00F3177F" w:rsidRDefault="0089671D">
            <w:pPr>
              <w:pStyle w:val="TableParagraph"/>
              <w:tabs>
                <w:tab w:val="left" w:pos="1027"/>
              </w:tabs>
              <w:ind w:left="103" w:right="100"/>
              <w:rPr>
                <w:sz w:val="24"/>
              </w:rPr>
            </w:pPr>
            <w:r>
              <w:rPr>
                <w:spacing w:val="-3"/>
                <w:sz w:val="24"/>
              </w:rPr>
              <w:t>higher</w:t>
            </w:r>
            <w:r>
              <w:rPr>
                <w:spacing w:val="-3"/>
                <w:sz w:val="24"/>
              </w:rPr>
              <w:tab/>
            </w:r>
            <w:r>
              <w:rPr>
                <w:spacing w:val="-1"/>
                <w:sz w:val="24"/>
              </w:rPr>
              <w:t xml:space="preserve">than </w:t>
            </w:r>
            <w:r>
              <w:rPr>
                <w:spacing w:val="-3"/>
                <w:sz w:val="24"/>
              </w:rPr>
              <w:t>schools)</w:t>
            </w:r>
          </w:p>
        </w:tc>
        <w:tc>
          <w:tcPr>
            <w:tcW w:w="736" w:type="dxa"/>
            <w:tcBorders>
              <w:left w:val="nil"/>
              <w:right w:val="nil"/>
            </w:tcBorders>
          </w:tcPr>
          <w:p w:rsidR="00F3177F" w:rsidRDefault="0089671D">
            <w:pPr>
              <w:pStyle w:val="TableParagraph"/>
              <w:spacing w:line="268" w:lineRule="exact"/>
              <w:ind w:left="80" w:right="79"/>
              <w:jc w:val="center"/>
              <w:rPr>
                <w:sz w:val="24"/>
              </w:rPr>
            </w:pPr>
            <w:r>
              <w:rPr>
                <w:sz w:val="24"/>
              </w:rPr>
              <w:t>0.2</w:t>
            </w:r>
          </w:p>
        </w:tc>
        <w:tc>
          <w:tcPr>
            <w:tcW w:w="530" w:type="dxa"/>
            <w:tcBorders>
              <w:left w:val="nil"/>
            </w:tcBorders>
          </w:tcPr>
          <w:p w:rsidR="00F3177F" w:rsidRDefault="0089671D">
            <w:pPr>
              <w:pStyle w:val="TableParagraph"/>
              <w:spacing w:line="268" w:lineRule="exact"/>
              <w:ind w:left="107"/>
              <w:rPr>
                <w:sz w:val="24"/>
              </w:rPr>
            </w:pPr>
            <w:r>
              <w:rPr>
                <w:sz w:val="24"/>
              </w:rPr>
              <w:t>(12</w:t>
            </w:r>
          </w:p>
        </w:tc>
        <w:tc>
          <w:tcPr>
            <w:tcW w:w="1529" w:type="dxa"/>
          </w:tcPr>
          <w:p w:rsidR="00F3177F" w:rsidRDefault="0089671D">
            <w:pPr>
              <w:pStyle w:val="TableParagraph"/>
              <w:spacing w:before="131"/>
              <w:ind w:left="103"/>
              <w:rPr>
                <w:sz w:val="24"/>
              </w:rPr>
            </w:pPr>
            <w:r>
              <w:rPr>
                <w:sz w:val="24"/>
              </w:rPr>
              <w:t>380.1</w:t>
            </w:r>
          </w:p>
        </w:tc>
        <w:tc>
          <w:tcPr>
            <w:tcW w:w="1383" w:type="dxa"/>
          </w:tcPr>
          <w:p w:rsidR="00F3177F" w:rsidRDefault="0089671D">
            <w:pPr>
              <w:pStyle w:val="TableParagraph"/>
              <w:spacing w:before="131"/>
              <w:ind w:left="100"/>
              <w:rPr>
                <w:sz w:val="24"/>
              </w:rPr>
            </w:pPr>
            <w:r>
              <w:rPr>
                <w:sz w:val="24"/>
              </w:rPr>
              <w:t>126.2</w:t>
            </w:r>
          </w:p>
        </w:tc>
        <w:tc>
          <w:tcPr>
            <w:tcW w:w="1310" w:type="dxa"/>
          </w:tcPr>
          <w:p w:rsidR="00F3177F" w:rsidRDefault="0089671D">
            <w:pPr>
              <w:pStyle w:val="TableParagraph"/>
              <w:spacing w:before="131"/>
              <w:ind w:left="103"/>
              <w:rPr>
                <w:sz w:val="24"/>
              </w:rPr>
            </w:pPr>
            <w:r>
              <w:rPr>
                <w:sz w:val="24"/>
              </w:rPr>
              <w:t>24.0</w:t>
            </w:r>
          </w:p>
        </w:tc>
      </w:tr>
      <w:tr w:rsidR="00F3177F">
        <w:trPr>
          <w:trHeight w:hRule="exact" w:val="389"/>
        </w:trPr>
        <w:tc>
          <w:tcPr>
            <w:tcW w:w="4383" w:type="dxa"/>
            <w:gridSpan w:val="4"/>
          </w:tcPr>
          <w:p w:rsidR="00F3177F" w:rsidRDefault="0089671D">
            <w:pPr>
              <w:pStyle w:val="TableParagraph"/>
              <w:spacing w:before="44"/>
              <w:ind w:left="103"/>
              <w:rPr>
                <w:sz w:val="24"/>
              </w:rPr>
            </w:pPr>
            <w:r>
              <w:rPr>
                <w:sz w:val="24"/>
              </w:rPr>
              <w:t>TOTAL AVERAGE</w:t>
            </w:r>
          </w:p>
        </w:tc>
        <w:tc>
          <w:tcPr>
            <w:tcW w:w="1529" w:type="dxa"/>
          </w:tcPr>
          <w:p w:rsidR="00F3177F" w:rsidRDefault="0089671D">
            <w:pPr>
              <w:pStyle w:val="TableParagraph"/>
              <w:spacing w:before="44"/>
              <w:ind w:left="103"/>
              <w:rPr>
                <w:sz w:val="24"/>
              </w:rPr>
            </w:pPr>
            <w:r>
              <w:rPr>
                <w:sz w:val="24"/>
              </w:rPr>
              <w:t>708.1</w:t>
            </w:r>
          </w:p>
        </w:tc>
        <w:tc>
          <w:tcPr>
            <w:tcW w:w="1383" w:type="dxa"/>
          </w:tcPr>
          <w:p w:rsidR="00F3177F" w:rsidRDefault="0089671D">
            <w:pPr>
              <w:pStyle w:val="TableParagraph"/>
              <w:spacing w:before="44"/>
              <w:ind w:left="100"/>
              <w:rPr>
                <w:sz w:val="24"/>
              </w:rPr>
            </w:pPr>
            <w:r>
              <w:rPr>
                <w:sz w:val="24"/>
              </w:rPr>
              <w:t>69.4</w:t>
            </w:r>
          </w:p>
        </w:tc>
        <w:tc>
          <w:tcPr>
            <w:tcW w:w="1310" w:type="dxa"/>
          </w:tcPr>
          <w:p w:rsidR="00F3177F" w:rsidRDefault="0089671D">
            <w:pPr>
              <w:pStyle w:val="TableParagraph"/>
              <w:spacing w:before="44"/>
              <w:ind w:left="103"/>
              <w:rPr>
                <w:sz w:val="24"/>
              </w:rPr>
            </w:pPr>
            <w:r>
              <w:rPr>
                <w:sz w:val="24"/>
              </w:rPr>
              <w:t>13.7</w:t>
            </w:r>
          </w:p>
        </w:tc>
      </w:tr>
    </w:tbl>
    <w:p w:rsidR="00F3177F" w:rsidRDefault="00F3177F">
      <w:pPr>
        <w:rPr>
          <w:sz w:val="24"/>
        </w:rPr>
        <w:sectPr w:rsidR="00F3177F">
          <w:pgSz w:w="12240" w:h="15840"/>
          <w:pgMar w:top="1380" w:right="1220" w:bottom="2320" w:left="1720" w:header="0" w:footer="2095" w:gutter="0"/>
          <w:cols w:space="720"/>
        </w:sectPr>
      </w:pPr>
    </w:p>
    <w:p w:rsidR="00F3177F" w:rsidRDefault="0089671D">
      <w:pPr>
        <w:pStyle w:val="BodyText"/>
        <w:spacing w:before="54" w:line="357" w:lineRule="auto"/>
        <w:ind w:left="584" w:right="114"/>
        <w:jc w:val="both"/>
      </w:pPr>
      <w:r>
        <w:rPr>
          <w:b/>
        </w:rPr>
        <w:lastRenderedPageBreak/>
        <w:t xml:space="preserve">School Type: </w:t>
      </w:r>
      <w:r>
        <w:t>Primary schools have got fewer students and cover less area than secondary schools in general. Secondly, it is natural that younger students are more vulnerable to unfavorable conditions. The state primary schools in the Central Municipality consume 14.9% more energy and produce 34.4% less CO</w:t>
      </w:r>
      <w:r>
        <w:rPr>
          <w:position w:val="-2"/>
          <w:sz w:val="16"/>
        </w:rPr>
        <w:t xml:space="preserve">2 </w:t>
      </w:r>
      <w:r>
        <w:t>emission. However, the most significant difference is in annual energy consumption per student and the primary schools consume 47.4% more energy per student than the secondary ones. It is noticeable that the secondary schools produce more CO</w:t>
      </w:r>
      <w:r>
        <w:rPr>
          <w:position w:val="-2"/>
          <w:sz w:val="16"/>
        </w:rPr>
        <w:t xml:space="preserve">2 </w:t>
      </w:r>
      <w:r>
        <w:t>emission although they consume less energy per the unit area. The reason behind that is the energy types used in schools. The secondary schools use more oil than the primary schools do. These types of results also show the importance of energy type preferences.</w:t>
      </w:r>
    </w:p>
    <w:p w:rsidR="00F3177F" w:rsidRDefault="00F3177F">
      <w:pPr>
        <w:pStyle w:val="BodyText"/>
        <w:spacing w:before="9"/>
      </w:pPr>
    </w:p>
    <w:p w:rsidR="00F3177F" w:rsidRDefault="0089671D">
      <w:pPr>
        <w:pStyle w:val="BodyText"/>
        <w:spacing w:line="360" w:lineRule="auto"/>
        <w:ind w:left="584" w:right="115"/>
        <w:jc w:val="both"/>
      </w:pPr>
      <w:r>
        <w:rPr>
          <w:b/>
        </w:rPr>
        <w:t xml:space="preserve">Students’ Shift: </w:t>
      </w:r>
      <w:r>
        <w:t>The annual energy consumptions per student and meter square  between the schools with only morning shift and the schools with morning and afternoon shifts show great difference since energy is consumed for more students and the schools with double shift cover larger areas. The reason behind the greater</w:t>
      </w:r>
      <w:r w:rsidR="00181A9C">
        <w:t xml:space="preserve"> </w:t>
      </w:r>
      <w:r>
        <w:t xml:space="preserve">difference in kWh/st/yr is that the number of students increases although building sizes stay the same in the afternoon shifts. </w:t>
      </w:r>
      <w:r>
        <w:rPr>
          <w:spacing w:val="-3"/>
        </w:rPr>
        <w:t xml:space="preserve">In </w:t>
      </w:r>
      <w:r>
        <w:t>addition, the schools with the double shift can become warm enough for the last lessons in the afternoon and heaters might be turned off.</w:t>
      </w:r>
    </w:p>
    <w:p w:rsidR="00F3177F" w:rsidRDefault="00F3177F">
      <w:pPr>
        <w:pStyle w:val="BodyText"/>
        <w:spacing w:before="6"/>
      </w:pPr>
    </w:p>
    <w:p w:rsidR="00F3177F" w:rsidRDefault="0089671D" w:rsidP="00C23262">
      <w:pPr>
        <w:pStyle w:val="BodyText"/>
        <w:spacing w:line="360" w:lineRule="auto"/>
        <w:ind w:left="584" w:right="115"/>
        <w:jc w:val="both"/>
      </w:pPr>
      <w:r>
        <w:rPr>
          <w:b/>
        </w:rPr>
        <w:t xml:space="preserve">Building Age: </w:t>
      </w:r>
      <w:r>
        <w:t>As World Bank (2013) describes the buildings constructed between</w:t>
      </w:r>
      <w:r w:rsidR="00181A9C">
        <w:t xml:space="preserve"> </w:t>
      </w:r>
      <w:r>
        <w:t>1970 and 1999 as buildings with relatively poor construction characteristics, the results in Table 9 above support the claim. It is interesting that school buildings constructed before 1970 consume 21.1% less energy per meter square because the period of the  mass construction was  experienced in the  1970s  and 1980s  (World  Bank, 2013). In</w:t>
      </w:r>
      <w:r w:rsidR="00181A9C">
        <w:t xml:space="preserve"> </w:t>
      </w:r>
      <w:r>
        <w:t>addition, buildings constructed after the year 2000 consume 41.5% less energy per m</w:t>
      </w:r>
      <w:r>
        <w:rPr>
          <w:position w:val="11"/>
          <w:sz w:val="16"/>
        </w:rPr>
        <w:t>2</w:t>
      </w:r>
      <w:r w:rsidR="00C23262">
        <w:t xml:space="preserve"> </w:t>
      </w:r>
      <w:r>
        <w:t>than the ones constructed between 1970 and 1999. The results show that the mass construction did not pay off in the long run to save energy. Additionally, quality of construction seems more significant t</w:t>
      </w:r>
      <w:r w:rsidR="00C23262">
        <w:t>han the age of the construction.</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55" w:lineRule="auto"/>
        <w:ind w:left="584" w:right="115"/>
        <w:jc w:val="both"/>
      </w:pPr>
      <w:r>
        <w:rPr>
          <w:b/>
        </w:rPr>
        <w:lastRenderedPageBreak/>
        <w:t xml:space="preserve">Number of Buildings: </w:t>
      </w:r>
      <w:r>
        <w:t>The one-building schools spend 19.6% less energy although their CO</w:t>
      </w:r>
      <w:r>
        <w:rPr>
          <w:position w:val="-2"/>
          <w:sz w:val="16"/>
        </w:rPr>
        <w:t xml:space="preserve">2  </w:t>
      </w:r>
      <w:r>
        <w:t>emission average is 2.7 times higher than the multi-building schools and it is  a challenging result to analyze. One reason behind that can be that the central heating system Termokos contribution is not billed to the schools in Pristina. On the other side,</w:t>
      </w:r>
    </w:p>
    <w:p w:rsidR="00F3177F" w:rsidRDefault="0089671D" w:rsidP="0070499B">
      <w:pPr>
        <w:pStyle w:val="BodyText"/>
        <w:tabs>
          <w:tab w:val="left" w:pos="9180"/>
        </w:tabs>
        <w:spacing w:before="11" w:line="338" w:lineRule="auto"/>
        <w:ind w:left="584" w:right="20"/>
        <w:jc w:val="both"/>
      </w:pPr>
      <w:proofErr w:type="gramStart"/>
      <w:r>
        <w:t>the</w:t>
      </w:r>
      <w:proofErr w:type="gramEnd"/>
      <w:r>
        <w:t xml:space="preserve"> one-building state schools spend 58.3% more energy and produce 52.3% more CO</w:t>
      </w:r>
      <w:r>
        <w:rPr>
          <w:position w:val="-2"/>
          <w:sz w:val="16"/>
        </w:rPr>
        <w:t xml:space="preserve">2 </w:t>
      </w:r>
      <w:r>
        <w:t>emission per m</w:t>
      </w:r>
      <w:r>
        <w:rPr>
          <w:position w:val="11"/>
          <w:sz w:val="16"/>
        </w:rPr>
        <w:t xml:space="preserve">2 </w:t>
      </w:r>
      <w:r>
        <w:t>than the multi-building schools in the Vushturi Central Municipality. Thus, it is possible that without any specific heating system, the averages of energy</w:t>
      </w:r>
      <w:r w:rsidR="0070499B">
        <w:t xml:space="preserve"> </w:t>
      </w:r>
      <w:r>
        <w:t>consumption and CO</w:t>
      </w:r>
      <w:r>
        <w:rPr>
          <w:position w:val="-2"/>
          <w:sz w:val="16"/>
        </w:rPr>
        <w:t xml:space="preserve">2 </w:t>
      </w:r>
      <w:r>
        <w:t>emission per m</w:t>
      </w:r>
      <w:r>
        <w:rPr>
          <w:position w:val="11"/>
          <w:sz w:val="16"/>
        </w:rPr>
        <w:t xml:space="preserve">2 </w:t>
      </w:r>
      <w:r>
        <w:t>in one-building schools are more than 50</w:t>
      </w:r>
      <w:proofErr w:type="gramStart"/>
      <w:r>
        <w:t xml:space="preserve">% </w:t>
      </w:r>
      <w:r w:rsidR="0070499B">
        <w:t xml:space="preserve"> </w:t>
      </w:r>
      <w:r>
        <w:t>higher</w:t>
      </w:r>
      <w:proofErr w:type="gramEnd"/>
      <w:r>
        <w:t xml:space="preserve"> than the multi-building</w:t>
      </w:r>
      <w:r>
        <w:rPr>
          <w:spacing w:val="-6"/>
        </w:rPr>
        <w:t xml:space="preserve"> </w:t>
      </w:r>
      <w:r>
        <w:t>schools.</w:t>
      </w:r>
    </w:p>
    <w:p w:rsidR="00F3177F" w:rsidRDefault="00F3177F">
      <w:pPr>
        <w:pStyle w:val="BodyText"/>
        <w:spacing w:before="3"/>
        <w:rPr>
          <w:sz w:val="25"/>
        </w:rPr>
      </w:pPr>
    </w:p>
    <w:p w:rsidR="00F3177F" w:rsidRDefault="0089671D">
      <w:pPr>
        <w:pStyle w:val="BodyText"/>
        <w:spacing w:line="348" w:lineRule="auto"/>
        <w:ind w:left="584" w:right="117"/>
        <w:jc w:val="both"/>
      </w:pPr>
      <w:r>
        <w:rPr>
          <w:b/>
        </w:rPr>
        <w:t xml:space="preserve">Number of School Building Floors: </w:t>
      </w:r>
      <w:r>
        <w:t>The number of school building floors show great differences from the point of energy consumption per m</w:t>
      </w:r>
      <w:r>
        <w:rPr>
          <w:position w:val="11"/>
          <w:sz w:val="16"/>
        </w:rPr>
        <w:t xml:space="preserve">2 </w:t>
      </w:r>
      <w:r>
        <w:t>since the schools with three floors spend 73.2% less energy than the schools with one floor and 44% less energy  than the schools with two floors. The differences in CO</w:t>
      </w:r>
      <w:r>
        <w:rPr>
          <w:position w:val="-2"/>
          <w:sz w:val="16"/>
        </w:rPr>
        <w:t xml:space="preserve">2 </w:t>
      </w:r>
      <w:r>
        <w:t>emissions do not seem meaningful. However, in Vushturi, the one-floor schools spend 26.4% more energy than the two-floor and 58.5% more energy than three-floor school buildings per m</w:t>
      </w:r>
      <w:r>
        <w:rPr>
          <w:position w:val="11"/>
          <w:sz w:val="16"/>
        </w:rPr>
        <w:t xml:space="preserve">2 </w:t>
      </w:r>
      <w:r>
        <w:t xml:space="preserve">while the one-floor schools produce 36.1% more </w:t>
      </w:r>
      <w:proofErr w:type="gramStart"/>
      <w:r>
        <w:t>CO</w:t>
      </w:r>
      <w:r>
        <w:rPr>
          <w:position w:val="-2"/>
          <w:sz w:val="16"/>
        </w:rPr>
        <w:t xml:space="preserve">2  </w:t>
      </w:r>
      <w:r>
        <w:t>emission</w:t>
      </w:r>
      <w:proofErr w:type="gramEnd"/>
      <w:r>
        <w:t xml:space="preserve"> than two-floor schools and</w:t>
      </w:r>
      <w:r>
        <w:rPr>
          <w:spacing w:val="30"/>
        </w:rPr>
        <w:t xml:space="preserve"> </w:t>
      </w:r>
      <w:r>
        <w:t>59.5%</w:t>
      </w:r>
    </w:p>
    <w:p w:rsidR="00F3177F" w:rsidRDefault="0089671D">
      <w:pPr>
        <w:pStyle w:val="BodyText"/>
        <w:spacing w:line="290" w:lineRule="exact"/>
        <w:ind w:left="584"/>
        <w:jc w:val="both"/>
      </w:pPr>
      <w:proofErr w:type="gramStart"/>
      <w:r>
        <w:t>more</w:t>
      </w:r>
      <w:proofErr w:type="gramEnd"/>
      <w:r>
        <w:t xml:space="preserve"> CO</w:t>
      </w:r>
      <w:r>
        <w:rPr>
          <w:position w:val="-2"/>
          <w:sz w:val="16"/>
        </w:rPr>
        <w:t xml:space="preserve">2  </w:t>
      </w:r>
      <w:r>
        <w:t>emission than three-floor school buildings per m</w:t>
      </w:r>
      <w:r>
        <w:rPr>
          <w:position w:val="11"/>
          <w:sz w:val="16"/>
        </w:rPr>
        <w:t>2</w:t>
      </w:r>
      <w:r>
        <w:t>. The reason behind those</w:t>
      </w:r>
      <w:r w:rsidR="0070499B">
        <w:t xml:space="preserve"> </w:t>
      </w:r>
    </w:p>
    <w:p w:rsidR="00F3177F" w:rsidRDefault="0089671D">
      <w:pPr>
        <w:pStyle w:val="BodyText"/>
        <w:spacing w:before="124"/>
        <w:ind w:left="584"/>
        <w:jc w:val="both"/>
      </w:pPr>
      <w:proofErr w:type="gramStart"/>
      <w:r>
        <w:t>conflicting</w:t>
      </w:r>
      <w:proofErr w:type="gramEnd"/>
      <w:r>
        <w:t xml:space="preserve"> results can be the central heating system in Pristina</w:t>
      </w:r>
    </w:p>
    <w:p w:rsidR="00F3177F" w:rsidRDefault="00F3177F">
      <w:pPr>
        <w:pStyle w:val="BodyText"/>
      </w:pPr>
    </w:p>
    <w:p w:rsidR="00F3177F" w:rsidRDefault="0089671D">
      <w:pPr>
        <w:pStyle w:val="BodyText"/>
        <w:spacing w:before="139" w:line="360" w:lineRule="auto"/>
        <w:ind w:left="584" w:right="113"/>
        <w:jc w:val="both"/>
      </w:pPr>
      <w:r>
        <w:rPr>
          <w:b/>
        </w:rPr>
        <w:t xml:space="preserve">Number of Students: </w:t>
      </w:r>
      <w:r>
        <w:t>The number of students is also related to the size of the school. However, when the number of students is concerned, the average of energy consumption falls down with the increase in the number of students. The schools with around 800 students seem to represent the average of the state school of PCM better.  The  averages  for  energy  consumption  and  CO</w:t>
      </w:r>
      <w:r>
        <w:rPr>
          <w:position w:val="-2"/>
          <w:sz w:val="16"/>
        </w:rPr>
        <w:t xml:space="preserve">2   </w:t>
      </w:r>
      <w:r>
        <w:t>emission  per  meter  square  for</w:t>
      </w:r>
      <w:r>
        <w:rPr>
          <w:spacing w:val="53"/>
        </w:rPr>
        <w:t xml:space="preserve"> </w:t>
      </w:r>
      <w:r>
        <w:t>the</w:t>
      </w:r>
    </w:p>
    <w:p w:rsidR="00F3177F" w:rsidRDefault="0089671D">
      <w:pPr>
        <w:pStyle w:val="BodyText"/>
        <w:spacing w:line="261" w:lineRule="exact"/>
        <w:ind w:left="584"/>
        <w:jc w:val="both"/>
      </w:pPr>
      <w:proofErr w:type="gramStart"/>
      <w:r>
        <w:t>schools</w:t>
      </w:r>
      <w:proofErr w:type="gramEnd"/>
      <w:r>
        <w:t xml:space="preserve"> with less than 200 students were also calculated as 109.6 kWh/m</w:t>
      </w:r>
      <w:r>
        <w:rPr>
          <w:position w:val="11"/>
          <w:sz w:val="16"/>
        </w:rPr>
        <w:t xml:space="preserve">2  </w:t>
      </w:r>
      <w:r>
        <w:t>and 11.7</w:t>
      </w:r>
    </w:p>
    <w:p w:rsidR="00F3177F" w:rsidRDefault="0089671D">
      <w:pPr>
        <w:pStyle w:val="BodyText"/>
        <w:spacing w:before="104" w:line="355" w:lineRule="auto"/>
        <w:ind w:left="584" w:right="116"/>
        <w:jc w:val="both"/>
      </w:pPr>
      <w:proofErr w:type="gramStart"/>
      <w:r>
        <w:t>kgCO</w:t>
      </w:r>
      <w:r>
        <w:rPr>
          <w:position w:val="-2"/>
          <w:sz w:val="16"/>
        </w:rPr>
        <w:t>2</w:t>
      </w:r>
      <w:r>
        <w:t>/m</w:t>
      </w:r>
      <w:r>
        <w:rPr>
          <w:position w:val="11"/>
          <w:sz w:val="16"/>
        </w:rPr>
        <w:t>2</w:t>
      </w:r>
      <w:proofErr w:type="gramEnd"/>
      <w:r>
        <w:t xml:space="preserve">, respectively. It shows that the state schools with an average number of students between 201 and 1000 are the least energy effective schools in PCM. According to Table 7, the schools with more than 1000 students spend the least  </w:t>
      </w:r>
      <w:r>
        <w:rPr>
          <w:spacing w:val="39"/>
        </w:rPr>
        <w:t xml:space="preserve"> </w:t>
      </w:r>
      <w:r>
        <w:t>energy</w:t>
      </w:r>
    </w:p>
    <w:p w:rsidR="00F3177F" w:rsidRDefault="0089671D">
      <w:pPr>
        <w:pStyle w:val="BodyText"/>
        <w:spacing w:line="285" w:lineRule="exact"/>
        <w:ind w:left="584"/>
        <w:jc w:val="both"/>
      </w:pPr>
      <w:proofErr w:type="gramStart"/>
      <w:r>
        <w:t>per</w:t>
      </w:r>
      <w:proofErr w:type="gramEnd"/>
      <w:r>
        <w:t xml:space="preserve"> m</w:t>
      </w:r>
      <w:r>
        <w:rPr>
          <w:position w:val="11"/>
          <w:sz w:val="16"/>
        </w:rPr>
        <w:t>2</w:t>
      </w:r>
      <w:r>
        <w:t>. Nevertheless, it should be kept in mind that schools with more students   usually</w:t>
      </w:r>
    </w:p>
    <w:p w:rsidR="00F3177F" w:rsidRDefault="00F3177F">
      <w:pPr>
        <w:spacing w:line="285" w:lineRule="exact"/>
        <w:jc w:val="both"/>
        <w:sectPr w:rsidR="00F3177F">
          <w:pgSz w:w="12240" w:h="15840"/>
          <w:pgMar w:top="1380" w:right="1320" w:bottom="2320" w:left="1720" w:header="0" w:footer="2095" w:gutter="0"/>
          <w:cols w:space="720"/>
        </w:sectPr>
      </w:pPr>
    </w:p>
    <w:p w:rsidR="00F3177F" w:rsidRDefault="0089671D">
      <w:pPr>
        <w:pStyle w:val="BodyText"/>
        <w:spacing w:before="54" w:line="348" w:lineRule="auto"/>
        <w:ind w:left="584" w:right="118"/>
        <w:jc w:val="both"/>
      </w:pPr>
      <w:proofErr w:type="gramStart"/>
      <w:r>
        <w:lastRenderedPageBreak/>
        <w:t>cover</w:t>
      </w:r>
      <w:proofErr w:type="gramEnd"/>
      <w:r>
        <w:t xml:space="preserve"> wider areas. On the other side, CO</w:t>
      </w:r>
      <w:r>
        <w:rPr>
          <w:position w:val="-2"/>
          <w:sz w:val="16"/>
        </w:rPr>
        <w:t xml:space="preserve">2 </w:t>
      </w:r>
      <w:r>
        <w:t>emission averages do not seem to change in accordance with the number of the students.</w:t>
      </w:r>
    </w:p>
    <w:p w:rsidR="00F3177F" w:rsidRDefault="00F3177F">
      <w:pPr>
        <w:pStyle w:val="BodyText"/>
        <w:spacing w:before="7"/>
        <w:rPr>
          <w:sz w:val="22"/>
        </w:rPr>
      </w:pPr>
    </w:p>
    <w:p w:rsidR="00F3177F" w:rsidRDefault="0089671D" w:rsidP="007F593A">
      <w:pPr>
        <w:pStyle w:val="BodyText"/>
        <w:spacing w:line="350" w:lineRule="auto"/>
        <w:ind w:left="584" w:right="116"/>
        <w:jc w:val="both"/>
      </w:pPr>
      <w:r>
        <w:rPr>
          <w:b/>
        </w:rPr>
        <w:t>Total School Building Area (m</w:t>
      </w:r>
      <w:r>
        <w:rPr>
          <w:b/>
          <w:position w:val="11"/>
          <w:sz w:val="16"/>
        </w:rPr>
        <w:t>2</w:t>
      </w:r>
      <w:r>
        <w:rPr>
          <w:b/>
        </w:rPr>
        <w:t xml:space="preserve">): </w:t>
      </w:r>
      <w:r>
        <w:t xml:space="preserve">As the size of a school is directly related to the annual energy consumption per meter square, it is most likely that the bigger size a school has, the less energy it spends for each meter square. According to Table 7 above, schools with an area of between 1001 and 3000 </w:t>
      </w:r>
      <w:proofErr w:type="gramStart"/>
      <w:r>
        <w:t>m</w:t>
      </w:r>
      <w:r>
        <w:rPr>
          <w:position w:val="11"/>
          <w:sz w:val="16"/>
        </w:rPr>
        <w:t xml:space="preserve">2  </w:t>
      </w:r>
      <w:r>
        <w:t>represent</w:t>
      </w:r>
      <w:proofErr w:type="gramEnd"/>
      <w:r>
        <w:t xml:space="preserve"> the average of the state</w:t>
      </w:r>
      <w:r w:rsidR="007F593A">
        <w:t xml:space="preserve"> </w:t>
      </w:r>
      <w:r>
        <w:t>schools in PCM and the most significant drop in energy consumption per meter square appears between the schools with an area of between 1-1000 m</w:t>
      </w:r>
      <w:r>
        <w:rPr>
          <w:position w:val="11"/>
          <w:sz w:val="16"/>
        </w:rPr>
        <w:t xml:space="preserve">2  </w:t>
      </w:r>
      <w:r>
        <w:t>and 1001-3000 m</w:t>
      </w:r>
      <w:r>
        <w:rPr>
          <w:position w:val="11"/>
          <w:sz w:val="16"/>
        </w:rPr>
        <w:t>2</w:t>
      </w:r>
      <w:r>
        <w:t>.</w:t>
      </w:r>
    </w:p>
    <w:p w:rsidR="00F3177F" w:rsidRDefault="00F3177F">
      <w:pPr>
        <w:pStyle w:val="BodyText"/>
        <w:spacing w:before="4"/>
        <w:rPr>
          <w:sz w:val="26"/>
        </w:rPr>
      </w:pPr>
    </w:p>
    <w:p w:rsidR="00F3177F" w:rsidRDefault="0089671D">
      <w:pPr>
        <w:pStyle w:val="BodyText"/>
        <w:spacing w:line="360" w:lineRule="auto"/>
        <w:ind w:left="584" w:right="119"/>
        <w:jc w:val="both"/>
      </w:pPr>
      <w:r>
        <w:rPr>
          <w:b/>
        </w:rPr>
        <w:t xml:space="preserve">Floor Height (m): </w:t>
      </w:r>
      <w:r>
        <w:t>The most surprising results seem to appear in the averages according to floor heights. Naturally, schools with higher ceilings should have higher volumes and require more energy at least for heating. Nevertheless, the results for Pristina and Vushturi state schools show the opposite. Thus, there should be other factors</w:t>
      </w:r>
      <w:r w:rsidR="007F593A">
        <w:t xml:space="preserve"> </w:t>
      </w:r>
      <w:r>
        <w:t>eliminating the effects of floor height. Calculations according to school volumes can provide more analyzable</w:t>
      </w:r>
      <w:r>
        <w:rPr>
          <w:spacing w:val="-5"/>
        </w:rPr>
        <w:t xml:space="preserve"> </w:t>
      </w:r>
      <w:r>
        <w:t>results.</w:t>
      </w:r>
    </w:p>
    <w:p w:rsidR="00F3177F" w:rsidRDefault="00F3177F">
      <w:pPr>
        <w:pStyle w:val="BodyText"/>
        <w:spacing w:before="6"/>
      </w:pPr>
    </w:p>
    <w:p w:rsidR="00F3177F" w:rsidRDefault="0089671D">
      <w:pPr>
        <w:pStyle w:val="BodyText"/>
        <w:spacing w:line="352" w:lineRule="auto"/>
        <w:ind w:left="584" w:right="118"/>
        <w:jc w:val="both"/>
      </w:pPr>
      <w:r>
        <w:rPr>
          <w:b/>
        </w:rPr>
        <w:t xml:space="preserve">Extra Building: </w:t>
      </w:r>
      <w:r>
        <w:t>When the extra buildings are added into calculation, the averages for the schools with extra buildings are 395.9 kWh/st/yr, 41.1 kWh/st/yr and 11.6 kgCO</w:t>
      </w:r>
      <w:r>
        <w:rPr>
          <w:position w:val="-2"/>
          <w:sz w:val="16"/>
        </w:rPr>
        <w:t>2</w:t>
      </w:r>
      <w:r>
        <w:t>/m</w:t>
      </w:r>
      <w:r>
        <w:rPr>
          <w:position w:val="11"/>
          <w:sz w:val="16"/>
        </w:rPr>
        <w:t>2</w:t>
      </w:r>
      <w:r>
        <w:t>/yr, respectively. The sizes of the extra buildings in PCM, mostly sports halls, range from 420 to 690 with an average of 601</w:t>
      </w:r>
      <w:proofErr w:type="gramStart"/>
      <w:r>
        <w:t>,3</w:t>
      </w:r>
      <w:proofErr w:type="gramEnd"/>
      <w:r>
        <w:t xml:space="preserve"> meter square. Even the average </w:t>
      </w:r>
      <w:proofErr w:type="gramStart"/>
      <w:r>
        <w:t>is  bigger</w:t>
      </w:r>
      <w:proofErr w:type="gramEnd"/>
      <w:r>
        <w:t xml:space="preserve"> than some schools in the Municipality. Consequently, extra buildings reduce annual energy consumptions and CO</w:t>
      </w:r>
      <w:r>
        <w:rPr>
          <w:position w:val="-2"/>
          <w:sz w:val="16"/>
        </w:rPr>
        <w:t xml:space="preserve">2 </w:t>
      </w:r>
      <w:r>
        <w:t>emissions per meter square considerably. Moreover, heating and lighting hours of extra buildings depend on various factors including school</w:t>
      </w:r>
      <w:r>
        <w:rPr>
          <w:spacing w:val="-4"/>
        </w:rPr>
        <w:t xml:space="preserve"> </w:t>
      </w:r>
      <w:r>
        <w:t>timetables.</w:t>
      </w:r>
    </w:p>
    <w:p w:rsidR="00F3177F" w:rsidRDefault="00F3177F">
      <w:pPr>
        <w:pStyle w:val="BodyText"/>
        <w:spacing w:before="3"/>
        <w:rPr>
          <w:sz w:val="25"/>
        </w:rPr>
      </w:pPr>
    </w:p>
    <w:p w:rsidR="00F3177F" w:rsidRDefault="0089671D">
      <w:pPr>
        <w:pStyle w:val="BodyText"/>
        <w:spacing w:line="355" w:lineRule="auto"/>
        <w:ind w:left="584" w:right="116"/>
        <w:jc w:val="both"/>
      </w:pPr>
      <w:r>
        <w:rPr>
          <w:b/>
        </w:rPr>
        <w:t xml:space="preserve">Energy Type: </w:t>
      </w:r>
      <w:r>
        <w:t>The right fuel type should be selected for students’ comfort, annual energy consumptions and CO</w:t>
      </w:r>
      <w:r>
        <w:rPr>
          <w:position w:val="-2"/>
          <w:sz w:val="16"/>
        </w:rPr>
        <w:t xml:space="preserve">2 </w:t>
      </w:r>
      <w:r>
        <w:t xml:space="preserve">emissions. All schools use electricity so that the main difference comes from the other resources. The balance among fuel types plays an </w:t>
      </w:r>
      <w:proofErr w:type="gramStart"/>
      <w:r>
        <w:t>important  role</w:t>
      </w:r>
      <w:proofErr w:type="gramEnd"/>
      <w:r>
        <w:t xml:space="preserve">  for  annual  energy  consumptions  and  CO</w:t>
      </w:r>
      <w:r>
        <w:rPr>
          <w:position w:val="-2"/>
          <w:sz w:val="16"/>
        </w:rPr>
        <w:t xml:space="preserve">2   </w:t>
      </w:r>
      <w:r>
        <w:t>emissions.  For    instance,</w:t>
      </w:r>
    </w:p>
    <w:p w:rsidR="00F3177F" w:rsidRDefault="00F3177F">
      <w:pPr>
        <w:spacing w:line="355" w:lineRule="auto"/>
        <w:jc w:val="both"/>
        <w:sectPr w:rsidR="00F3177F">
          <w:pgSz w:w="12240" w:h="15840"/>
          <w:pgMar w:top="1380" w:right="1320" w:bottom="2320" w:left="1720" w:header="0" w:footer="2095" w:gutter="0"/>
          <w:cols w:space="720"/>
        </w:sectPr>
      </w:pPr>
    </w:p>
    <w:p w:rsidR="00F3177F" w:rsidRDefault="0089671D">
      <w:pPr>
        <w:pStyle w:val="BodyText"/>
        <w:spacing w:before="54" w:line="357" w:lineRule="auto"/>
        <w:ind w:left="584" w:right="117"/>
        <w:jc w:val="both"/>
      </w:pPr>
      <w:proofErr w:type="gramStart"/>
      <w:r>
        <w:lastRenderedPageBreak/>
        <w:t>schools</w:t>
      </w:r>
      <w:proofErr w:type="gramEnd"/>
      <w:r>
        <w:t xml:space="preserve"> with electricity and wood, as an energy resource, spend 60,3% more energy but produce 64.9% less CO</w:t>
      </w:r>
      <w:r>
        <w:rPr>
          <w:position w:val="-2"/>
          <w:sz w:val="16"/>
        </w:rPr>
        <w:t xml:space="preserve">2 </w:t>
      </w:r>
      <w:r>
        <w:t>emission than schools with electricity and oil as energy resource. Thus, fuel type preference in accordance with the related issues such as school structure and fuel cost become crucial. A key concern can be whether school structure should be planned according to the fuel type or vice versa.</w:t>
      </w:r>
    </w:p>
    <w:p w:rsidR="00F3177F" w:rsidRDefault="00F3177F">
      <w:pPr>
        <w:pStyle w:val="BodyText"/>
        <w:spacing w:before="5"/>
        <w:rPr>
          <w:sz w:val="21"/>
        </w:rPr>
      </w:pPr>
    </w:p>
    <w:p w:rsidR="00F3177F" w:rsidRDefault="0089671D">
      <w:pPr>
        <w:pStyle w:val="BodyText"/>
        <w:spacing w:line="343" w:lineRule="auto"/>
        <w:ind w:left="584" w:right="114"/>
        <w:jc w:val="both"/>
      </w:pPr>
      <w:r>
        <w:rPr>
          <w:b/>
        </w:rPr>
        <w:t>Student Density (student/m</w:t>
      </w:r>
      <w:r>
        <w:rPr>
          <w:b/>
          <w:position w:val="11"/>
          <w:sz w:val="16"/>
        </w:rPr>
        <w:t>2</w:t>
      </w:r>
      <w:r>
        <w:rPr>
          <w:b/>
        </w:rPr>
        <w:t xml:space="preserve">): </w:t>
      </w:r>
      <w:r>
        <w:t>According to the research results, there is a sharp difference between the annual energy consumptions and CO</w:t>
      </w:r>
      <w:r>
        <w:rPr>
          <w:position w:val="-2"/>
          <w:sz w:val="16"/>
        </w:rPr>
        <w:t xml:space="preserve">2 </w:t>
      </w:r>
      <w:r>
        <w:t>emissions of the state primary and secondary schools in the PCM based on student density classification. The schools with less than 0.2 st/m</w:t>
      </w:r>
      <w:r>
        <w:rPr>
          <w:position w:val="11"/>
          <w:sz w:val="16"/>
        </w:rPr>
        <w:t xml:space="preserve">2 </w:t>
      </w:r>
      <w:r>
        <w:t>student density consume much less energy and produce much less CO</w:t>
      </w:r>
      <w:r>
        <w:rPr>
          <w:position w:val="-2"/>
          <w:sz w:val="16"/>
        </w:rPr>
        <w:t xml:space="preserve">2 </w:t>
      </w:r>
      <w:r>
        <w:t>emission per meter square than the schools with more than 0.2 st/m</w:t>
      </w:r>
      <w:r>
        <w:rPr>
          <w:position w:val="11"/>
          <w:sz w:val="16"/>
        </w:rPr>
        <w:t xml:space="preserve">2 </w:t>
      </w:r>
      <w:r>
        <w:t>student density.</w:t>
      </w:r>
    </w:p>
    <w:p w:rsidR="00F3177F" w:rsidRDefault="00F3177F">
      <w:pPr>
        <w:pStyle w:val="BodyText"/>
        <w:spacing w:before="11"/>
        <w:rPr>
          <w:sz w:val="25"/>
        </w:rPr>
      </w:pPr>
    </w:p>
    <w:p w:rsidR="00F3177F" w:rsidRDefault="0089671D">
      <w:pPr>
        <w:pStyle w:val="BodyText"/>
        <w:spacing w:line="345" w:lineRule="auto"/>
        <w:ind w:left="584" w:right="118"/>
        <w:jc w:val="both"/>
      </w:pPr>
      <w:r>
        <w:rPr>
          <w:b/>
        </w:rPr>
        <w:t xml:space="preserve">Extra Building: </w:t>
      </w:r>
      <w:r>
        <w:t>When the extra buildings are added to the calculation, the total averages change by 4.6% for annual energy consumption and by 3.8% for the annual CO</w:t>
      </w:r>
      <w:r>
        <w:rPr>
          <w:position w:val="-2"/>
          <w:sz w:val="16"/>
        </w:rPr>
        <w:t xml:space="preserve">2  </w:t>
      </w:r>
      <w:r>
        <w:t>emissions since the  averages  with extra buildings are 66.2  kWh/m</w:t>
      </w:r>
      <w:r>
        <w:rPr>
          <w:position w:val="11"/>
          <w:sz w:val="16"/>
        </w:rPr>
        <w:t>2</w:t>
      </w:r>
      <w:r>
        <w:t>/yr  and   13.2</w:t>
      </w:r>
    </w:p>
    <w:p w:rsidR="00F3177F" w:rsidRDefault="0089671D">
      <w:pPr>
        <w:pStyle w:val="BodyText"/>
        <w:spacing w:line="276" w:lineRule="exact"/>
        <w:ind w:left="584"/>
        <w:jc w:val="both"/>
      </w:pPr>
      <w:proofErr w:type="gramStart"/>
      <w:r>
        <w:t>kgCO</w:t>
      </w:r>
      <w:r>
        <w:rPr>
          <w:position w:val="-2"/>
          <w:sz w:val="16"/>
        </w:rPr>
        <w:t>2</w:t>
      </w:r>
      <w:r>
        <w:t>/m</w:t>
      </w:r>
      <w:r>
        <w:rPr>
          <w:position w:val="11"/>
          <w:sz w:val="16"/>
        </w:rPr>
        <w:t>2</w:t>
      </w:r>
      <w:r>
        <w:t>/yr</w:t>
      </w:r>
      <w:proofErr w:type="gramEnd"/>
      <w:r>
        <w:t>.</w:t>
      </w:r>
    </w:p>
    <w:p w:rsidR="00F3177F" w:rsidRDefault="00F3177F">
      <w:pPr>
        <w:pStyle w:val="BodyText"/>
        <w:spacing w:before="9"/>
        <w:rPr>
          <w:sz w:val="34"/>
        </w:rPr>
      </w:pPr>
    </w:p>
    <w:p w:rsidR="00F3177F" w:rsidRDefault="0089671D">
      <w:pPr>
        <w:pStyle w:val="BodyText"/>
        <w:spacing w:line="360" w:lineRule="auto"/>
        <w:ind w:left="584" w:right="118"/>
        <w:jc w:val="both"/>
      </w:pPr>
      <w:r>
        <w:t>Consequently, the school features to reduce energy consumptions according to the research results “for unit area” can be summarized as given below:</w:t>
      </w:r>
    </w:p>
    <w:p w:rsidR="00F3177F" w:rsidRDefault="0089671D">
      <w:pPr>
        <w:pStyle w:val="ListParagraph"/>
        <w:numPr>
          <w:ilvl w:val="0"/>
          <w:numId w:val="22"/>
        </w:numPr>
        <w:tabs>
          <w:tab w:val="left" w:pos="1305"/>
        </w:tabs>
        <w:spacing w:before="3" w:line="352" w:lineRule="auto"/>
        <w:ind w:right="121"/>
        <w:jc w:val="both"/>
        <w:rPr>
          <w:sz w:val="24"/>
        </w:rPr>
      </w:pPr>
      <w:r>
        <w:rPr>
          <w:sz w:val="24"/>
        </w:rPr>
        <w:t>Double-shift (morning and afternoon) schools consume almost 60% less energy than one-shift (only morning)</w:t>
      </w:r>
      <w:r>
        <w:rPr>
          <w:spacing w:val="-9"/>
          <w:sz w:val="24"/>
        </w:rPr>
        <w:t xml:space="preserve"> </w:t>
      </w:r>
      <w:r>
        <w:rPr>
          <w:sz w:val="24"/>
        </w:rPr>
        <w:t>schools.</w:t>
      </w:r>
    </w:p>
    <w:p w:rsidR="00F3177F" w:rsidRDefault="0089671D">
      <w:pPr>
        <w:pStyle w:val="ListParagraph"/>
        <w:numPr>
          <w:ilvl w:val="0"/>
          <w:numId w:val="22"/>
        </w:numPr>
        <w:tabs>
          <w:tab w:val="left" w:pos="1304"/>
          <w:tab w:val="left" w:pos="1305"/>
        </w:tabs>
        <w:spacing w:before="11"/>
        <w:rPr>
          <w:sz w:val="24"/>
        </w:rPr>
      </w:pPr>
      <w:r>
        <w:rPr>
          <w:sz w:val="24"/>
        </w:rPr>
        <w:t>One-building schools spend 19.6% less energy than two-building</w:t>
      </w:r>
      <w:r>
        <w:rPr>
          <w:spacing w:val="-9"/>
          <w:sz w:val="24"/>
        </w:rPr>
        <w:t xml:space="preserve"> </w:t>
      </w:r>
      <w:r>
        <w:rPr>
          <w:sz w:val="24"/>
        </w:rPr>
        <w:t>schools.</w:t>
      </w:r>
    </w:p>
    <w:p w:rsidR="00F3177F" w:rsidRDefault="0089671D">
      <w:pPr>
        <w:pStyle w:val="ListParagraph"/>
        <w:numPr>
          <w:ilvl w:val="0"/>
          <w:numId w:val="22"/>
        </w:numPr>
        <w:tabs>
          <w:tab w:val="left" w:pos="1305"/>
        </w:tabs>
        <w:spacing w:line="352" w:lineRule="auto"/>
        <w:ind w:right="115"/>
        <w:jc w:val="both"/>
        <w:rPr>
          <w:sz w:val="24"/>
        </w:rPr>
      </w:pPr>
      <w:r>
        <w:rPr>
          <w:sz w:val="24"/>
        </w:rPr>
        <w:t>Three-floor school buildings spend 73</w:t>
      </w:r>
      <w:proofErr w:type="gramStart"/>
      <w:r>
        <w:rPr>
          <w:sz w:val="24"/>
        </w:rPr>
        <w:t>,2</w:t>
      </w:r>
      <w:proofErr w:type="gramEnd"/>
      <w:r>
        <w:rPr>
          <w:sz w:val="24"/>
        </w:rPr>
        <w:t>% and 44% less energy than one-floor and two-floor school buildings,</w:t>
      </w:r>
      <w:r>
        <w:rPr>
          <w:spacing w:val="-8"/>
          <w:sz w:val="24"/>
        </w:rPr>
        <w:t xml:space="preserve"> </w:t>
      </w:r>
      <w:r>
        <w:rPr>
          <w:sz w:val="24"/>
        </w:rPr>
        <w:t>respectively.</w:t>
      </w:r>
    </w:p>
    <w:p w:rsidR="00F3177F" w:rsidRDefault="0089671D">
      <w:pPr>
        <w:pStyle w:val="ListParagraph"/>
        <w:numPr>
          <w:ilvl w:val="0"/>
          <w:numId w:val="22"/>
        </w:numPr>
        <w:tabs>
          <w:tab w:val="left" w:pos="1305"/>
        </w:tabs>
        <w:spacing w:before="11" w:line="357" w:lineRule="auto"/>
        <w:ind w:right="117"/>
        <w:jc w:val="both"/>
        <w:rPr>
          <w:sz w:val="24"/>
        </w:rPr>
      </w:pPr>
      <w:r>
        <w:rPr>
          <w:sz w:val="24"/>
        </w:rPr>
        <w:t>Schools with a population of more than 1000 students consume 62% and schools with a population of between 501 and 1000 students consume 52.8% less annual energy per meter square than schools with a population of less than 500  students.</w:t>
      </w:r>
    </w:p>
    <w:p w:rsidR="00F3177F" w:rsidRDefault="00F3177F">
      <w:pPr>
        <w:spacing w:line="357" w:lineRule="auto"/>
        <w:jc w:val="both"/>
        <w:rPr>
          <w:sz w:val="24"/>
        </w:rPr>
        <w:sectPr w:rsidR="00F3177F">
          <w:pgSz w:w="12240" w:h="15840"/>
          <w:pgMar w:top="1380" w:right="1320" w:bottom="2320" w:left="1720" w:header="0" w:footer="2095" w:gutter="0"/>
          <w:cols w:space="720"/>
        </w:sectPr>
      </w:pPr>
    </w:p>
    <w:p w:rsidR="00F3177F" w:rsidRDefault="0089671D">
      <w:pPr>
        <w:pStyle w:val="ListParagraph"/>
        <w:numPr>
          <w:ilvl w:val="0"/>
          <w:numId w:val="22"/>
        </w:numPr>
        <w:tabs>
          <w:tab w:val="left" w:pos="1305"/>
        </w:tabs>
        <w:spacing w:before="56" w:line="326" w:lineRule="auto"/>
        <w:ind w:right="117"/>
        <w:jc w:val="both"/>
        <w:rPr>
          <w:sz w:val="24"/>
        </w:rPr>
      </w:pPr>
      <w:r>
        <w:rPr>
          <w:sz w:val="24"/>
        </w:rPr>
        <w:lastRenderedPageBreak/>
        <w:t>Schools with bigger than 5000 m</w:t>
      </w:r>
      <w:r>
        <w:rPr>
          <w:position w:val="11"/>
          <w:sz w:val="16"/>
        </w:rPr>
        <w:t xml:space="preserve">2 </w:t>
      </w:r>
      <w:r>
        <w:rPr>
          <w:sz w:val="24"/>
        </w:rPr>
        <w:t xml:space="preserve">total building area spend 78.5%, 66.2% and 59.3% less energy per </w:t>
      </w:r>
      <w:r>
        <w:rPr>
          <w:spacing w:val="2"/>
          <w:sz w:val="24"/>
        </w:rPr>
        <w:t>m</w:t>
      </w:r>
      <w:r>
        <w:rPr>
          <w:spacing w:val="2"/>
          <w:position w:val="11"/>
          <w:sz w:val="16"/>
        </w:rPr>
        <w:t xml:space="preserve">2 </w:t>
      </w:r>
      <w:r>
        <w:rPr>
          <w:sz w:val="24"/>
        </w:rPr>
        <w:t>than schools smaller than 1000 m</w:t>
      </w:r>
      <w:r>
        <w:rPr>
          <w:position w:val="11"/>
          <w:sz w:val="16"/>
        </w:rPr>
        <w:t>2</w:t>
      </w:r>
      <w:r>
        <w:rPr>
          <w:sz w:val="24"/>
        </w:rPr>
        <w:t>, between 1001 and 3000 m</w:t>
      </w:r>
      <w:r>
        <w:rPr>
          <w:position w:val="11"/>
          <w:sz w:val="16"/>
        </w:rPr>
        <w:t>2</w:t>
      </w:r>
      <w:r>
        <w:rPr>
          <w:sz w:val="24"/>
        </w:rPr>
        <w:t>, and between 3001 and 5000 m</w:t>
      </w:r>
      <w:r>
        <w:rPr>
          <w:position w:val="11"/>
          <w:sz w:val="16"/>
        </w:rPr>
        <w:t xml:space="preserve">2 </w:t>
      </w:r>
      <w:r>
        <w:rPr>
          <w:sz w:val="24"/>
        </w:rPr>
        <w:t>total building area,</w:t>
      </w:r>
      <w:r>
        <w:rPr>
          <w:spacing w:val="9"/>
          <w:sz w:val="24"/>
        </w:rPr>
        <w:t xml:space="preserve"> </w:t>
      </w:r>
      <w:r>
        <w:rPr>
          <w:sz w:val="24"/>
        </w:rPr>
        <w:t>respectively.</w:t>
      </w:r>
    </w:p>
    <w:p w:rsidR="00F3177F" w:rsidRDefault="0089671D">
      <w:pPr>
        <w:pStyle w:val="ListParagraph"/>
        <w:numPr>
          <w:ilvl w:val="0"/>
          <w:numId w:val="22"/>
        </w:numPr>
        <w:tabs>
          <w:tab w:val="left" w:pos="1305"/>
        </w:tabs>
        <w:spacing w:before="29" w:line="350" w:lineRule="auto"/>
        <w:ind w:right="116"/>
        <w:jc w:val="both"/>
        <w:rPr>
          <w:sz w:val="24"/>
        </w:rPr>
      </w:pPr>
      <w:r>
        <w:rPr>
          <w:sz w:val="24"/>
        </w:rPr>
        <w:t>Schools with an extra building consume 60.4% less energy per the unit area than schools without an extra</w:t>
      </w:r>
      <w:r>
        <w:rPr>
          <w:spacing w:val="-6"/>
          <w:sz w:val="24"/>
        </w:rPr>
        <w:t xml:space="preserve"> </w:t>
      </w:r>
      <w:r>
        <w:rPr>
          <w:sz w:val="24"/>
        </w:rPr>
        <w:t>building.</w:t>
      </w:r>
    </w:p>
    <w:p w:rsidR="00F3177F" w:rsidRDefault="0089671D">
      <w:pPr>
        <w:pStyle w:val="ListParagraph"/>
        <w:numPr>
          <w:ilvl w:val="0"/>
          <w:numId w:val="22"/>
        </w:numPr>
        <w:tabs>
          <w:tab w:val="left" w:pos="1305"/>
        </w:tabs>
        <w:spacing w:before="16" w:line="357" w:lineRule="auto"/>
        <w:ind w:right="114"/>
        <w:jc w:val="both"/>
        <w:rPr>
          <w:sz w:val="24"/>
        </w:rPr>
      </w:pPr>
      <w:r>
        <w:rPr>
          <w:sz w:val="24"/>
        </w:rPr>
        <w:t>Schools that use electricity and oil as energy sources consume 36.4</w:t>
      </w:r>
      <w:proofErr w:type="gramStart"/>
      <w:r>
        <w:rPr>
          <w:sz w:val="24"/>
        </w:rPr>
        <w:t>%  less</w:t>
      </w:r>
      <w:proofErr w:type="gramEnd"/>
      <w:r>
        <w:rPr>
          <w:sz w:val="24"/>
        </w:rPr>
        <w:t xml:space="preserve"> energy per the unit area than school that use electricity and wood. According to the research results in Vushturi, annual school energy consumption averages from the highest to the lowest according to energy source type except for electricity are as wood+coal, wood+coal+oil, wood+oil and only</w:t>
      </w:r>
      <w:r>
        <w:rPr>
          <w:spacing w:val="-12"/>
          <w:sz w:val="24"/>
        </w:rPr>
        <w:t xml:space="preserve"> </w:t>
      </w:r>
      <w:r>
        <w:rPr>
          <w:sz w:val="24"/>
        </w:rPr>
        <w:t>wood.</w:t>
      </w:r>
    </w:p>
    <w:p w:rsidR="00F3177F" w:rsidRDefault="0089671D">
      <w:pPr>
        <w:pStyle w:val="ListParagraph"/>
        <w:numPr>
          <w:ilvl w:val="0"/>
          <w:numId w:val="22"/>
        </w:numPr>
        <w:tabs>
          <w:tab w:val="left" w:pos="1305"/>
        </w:tabs>
        <w:spacing w:before="0" w:line="324" w:lineRule="auto"/>
        <w:ind w:right="118"/>
        <w:jc w:val="both"/>
        <w:rPr>
          <w:sz w:val="24"/>
        </w:rPr>
      </w:pPr>
      <w:r>
        <w:rPr>
          <w:sz w:val="24"/>
        </w:rPr>
        <w:t>Schools with less than 0.2 st/m</w:t>
      </w:r>
      <w:r>
        <w:rPr>
          <w:position w:val="11"/>
          <w:sz w:val="16"/>
        </w:rPr>
        <w:t xml:space="preserve">2 </w:t>
      </w:r>
      <w:r>
        <w:rPr>
          <w:sz w:val="24"/>
        </w:rPr>
        <w:t>student density consume 57.5% less energy than the schools with more than 0.2 st/</w:t>
      </w:r>
      <w:proofErr w:type="gramStart"/>
      <w:r>
        <w:rPr>
          <w:sz w:val="24"/>
        </w:rPr>
        <w:t>m</w:t>
      </w:r>
      <w:r>
        <w:rPr>
          <w:position w:val="11"/>
          <w:sz w:val="16"/>
        </w:rPr>
        <w:t xml:space="preserve">2  </w:t>
      </w:r>
      <w:r>
        <w:rPr>
          <w:sz w:val="24"/>
        </w:rPr>
        <w:t>student</w:t>
      </w:r>
      <w:proofErr w:type="gramEnd"/>
      <w:r>
        <w:rPr>
          <w:spacing w:val="-29"/>
          <w:sz w:val="24"/>
        </w:rPr>
        <w:t xml:space="preserve"> </w:t>
      </w:r>
      <w:r>
        <w:rPr>
          <w:sz w:val="24"/>
        </w:rPr>
        <w:t>density.</w:t>
      </w:r>
    </w:p>
    <w:p w:rsidR="00F3177F" w:rsidRDefault="00F3177F">
      <w:pPr>
        <w:pStyle w:val="BodyText"/>
        <w:spacing w:before="8"/>
        <w:rPr>
          <w:sz w:val="38"/>
        </w:rPr>
      </w:pPr>
    </w:p>
    <w:p w:rsidR="00F3177F" w:rsidRDefault="00CA6556">
      <w:pPr>
        <w:pStyle w:val="BodyText"/>
        <w:spacing w:line="360" w:lineRule="auto"/>
        <w:ind w:left="584" w:right="65"/>
      </w:pPr>
      <w:r>
        <w:pict>
          <v:group id="_x0000_s1041" style="position:absolute;left:0;text-align:left;margin-left:114.8pt;margin-top:42.75pt;width:420.85pt;height:233pt;z-index:1528;mso-position-horizontal-relative:page" coordorigin="2296,855" coordsize="8417,4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2628;top:861;width:7824;height:3029">
              <v:imagedata r:id="rId58" o:title=""/>
            </v:shape>
            <v:shape id="_x0000_s1050" style="position:absolute;left:2304;top:863;width:8402;height:4645" coordorigin="2304,863" coordsize="8402,4645" o:spt="100" adj="0,,0" path="m2666,3855r,63m3593,3855r,63m4517,3855r,63m5443,3855r,63m6367,3855r,63m7294,3855r,63m8218,3855r,63m9144,3855r,63m10069,3855r,63m2304,5508r8402,l10706,863r-8402,l2304,5508xe" filled="f" strokecolor="#858585">
              <v:stroke joinstyle="round"/>
              <v:formulas/>
              <v:path arrowok="t" o:connecttype="segments"/>
            </v:shape>
            <v:shape id="_x0000_s1049" type="#_x0000_t202" style="position:absolute;left:9484;top:934;width:597;height:200" filled="f" stroked="f">
              <v:textbox inset="0,0,0,0">
                <w:txbxContent>
                  <w:p w:rsidR="008C4866" w:rsidRDefault="008C4866">
                    <w:pPr>
                      <w:spacing w:line="199" w:lineRule="exact"/>
                      <w:rPr>
                        <w:rFonts w:ascii="Calibri"/>
                        <w:sz w:val="20"/>
                      </w:rPr>
                    </w:pPr>
                    <w:r>
                      <w:rPr>
                        <w:rFonts w:ascii="Calibri"/>
                        <w:w w:val="95"/>
                        <w:sz w:val="20"/>
                      </w:rPr>
                      <w:t>57.20%</w:t>
                    </w:r>
                  </w:p>
                </w:txbxContent>
              </v:textbox>
            </v:shape>
            <v:shape id="_x0000_s1048" type="#_x0000_t202" style="position:absolute;left:8539;top:1429;width:597;height:200" filled="f" stroked="f">
              <v:textbox inset="0,0,0,0">
                <w:txbxContent>
                  <w:p w:rsidR="008C4866" w:rsidRDefault="008C4866">
                    <w:pPr>
                      <w:spacing w:line="199" w:lineRule="exact"/>
                      <w:rPr>
                        <w:rFonts w:ascii="Calibri"/>
                        <w:sz w:val="20"/>
                      </w:rPr>
                    </w:pPr>
                    <w:r>
                      <w:rPr>
                        <w:rFonts w:ascii="Calibri"/>
                        <w:w w:val="95"/>
                        <w:sz w:val="20"/>
                      </w:rPr>
                      <w:t>46.10%</w:t>
                    </w:r>
                  </w:p>
                </w:txbxContent>
              </v:textbox>
            </v:shape>
            <v:shape id="_x0000_s1047" type="#_x0000_t202" style="position:absolute;left:6688;top:1800;width:597;height:200" filled="f" stroked="f">
              <v:textbox inset="0,0,0,0">
                <w:txbxContent>
                  <w:p w:rsidR="008C4866" w:rsidRDefault="008C4866">
                    <w:pPr>
                      <w:spacing w:line="199" w:lineRule="exact"/>
                      <w:rPr>
                        <w:rFonts w:ascii="Calibri"/>
                        <w:sz w:val="20"/>
                      </w:rPr>
                    </w:pPr>
                    <w:r>
                      <w:rPr>
                        <w:rFonts w:ascii="Calibri"/>
                        <w:w w:val="95"/>
                        <w:sz w:val="20"/>
                      </w:rPr>
                      <w:t>37.20%</w:t>
                    </w:r>
                  </w:p>
                </w:txbxContent>
              </v:textbox>
            </v:shape>
            <v:shape id="_x0000_s1046" type="#_x0000_t202" style="position:absolute;left:7632;top:1675;width:597;height:200" filled="f" stroked="f">
              <v:textbox inset="0,0,0,0">
                <w:txbxContent>
                  <w:p w:rsidR="008C4866" w:rsidRDefault="008C4866">
                    <w:pPr>
                      <w:spacing w:line="199" w:lineRule="exact"/>
                      <w:rPr>
                        <w:rFonts w:ascii="Calibri"/>
                        <w:sz w:val="20"/>
                      </w:rPr>
                    </w:pPr>
                    <w:r>
                      <w:rPr>
                        <w:rFonts w:ascii="Calibri"/>
                        <w:w w:val="95"/>
                        <w:sz w:val="20"/>
                      </w:rPr>
                      <w:t>40.30%</w:t>
                    </w:r>
                  </w:p>
                </w:txbxContent>
              </v:textbox>
            </v:shape>
            <v:shape id="_x0000_s1045" type="#_x0000_t202" style="position:absolute;left:5782;top:2235;width:597;height:200" filled="f" stroked="f">
              <v:textbox inset="0,0,0,0">
                <w:txbxContent>
                  <w:p w:rsidR="008C4866" w:rsidRDefault="008C4866">
                    <w:pPr>
                      <w:spacing w:line="199" w:lineRule="exact"/>
                      <w:rPr>
                        <w:rFonts w:ascii="Calibri"/>
                        <w:sz w:val="20"/>
                      </w:rPr>
                    </w:pPr>
                    <w:r>
                      <w:rPr>
                        <w:rFonts w:ascii="Calibri"/>
                        <w:w w:val="95"/>
                        <w:sz w:val="20"/>
                      </w:rPr>
                      <w:t>28.30%</w:t>
                    </w:r>
                  </w:p>
                </w:txbxContent>
              </v:textbox>
            </v:shape>
            <v:shape id="_x0000_s1044" type="#_x0000_t202" style="position:absolute;left:4857;top:2471;width:597;height:200" filled="f" stroked="f">
              <v:textbox inset="0,0,0,0">
                <w:txbxContent>
                  <w:p w:rsidR="008C4866" w:rsidRDefault="008C4866">
                    <w:pPr>
                      <w:spacing w:line="199" w:lineRule="exact"/>
                      <w:rPr>
                        <w:rFonts w:ascii="Calibri"/>
                        <w:sz w:val="20"/>
                      </w:rPr>
                    </w:pPr>
                    <w:r>
                      <w:rPr>
                        <w:rFonts w:ascii="Calibri"/>
                        <w:w w:val="95"/>
                        <w:sz w:val="20"/>
                      </w:rPr>
                      <w:t>22.80%</w:t>
                    </w:r>
                  </w:p>
                </w:txbxContent>
              </v:textbox>
            </v:shape>
            <v:shape id="_x0000_s1043" type="#_x0000_t202" style="position:absolute;left:3931;top:2756;width:597;height:200" filled="f" stroked="f">
              <v:textbox inset="0,0,0,0">
                <w:txbxContent>
                  <w:p w:rsidR="008C4866" w:rsidRDefault="008C4866">
                    <w:pPr>
                      <w:spacing w:line="199" w:lineRule="exact"/>
                      <w:rPr>
                        <w:rFonts w:ascii="Calibri"/>
                        <w:sz w:val="20"/>
                      </w:rPr>
                    </w:pPr>
                    <w:r>
                      <w:rPr>
                        <w:rFonts w:ascii="Calibri"/>
                        <w:w w:val="95"/>
                        <w:sz w:val="20"/>
                      </w:rPr>
                      <w:t>16.40%</w:t>
                    </w:r>
                  </w:p>
                </w:txbxContent>
              </v:textbox>
            </v:shape>
            <v:shape id="_x0000_s1042" type="#_x0000_t202" style="position:absolute;left:3096;top:3325;width:496;height:200" filled="f" stroked="f">
              <v:textbox inset="0,0,0,0">
                <w:txbxContent>
                  <w:p w:rsidR="008C4866" w:rsidRDefault="008C4866">
                    <w:pPr>
                      <w:spacing w:line="199" w:lineRule="exact"/>
                      <w:rPr>
                        <w:rFonts w:ascii="Calibri"/>
                        <w:sz w:val="20"/>
                      </w:rPr>
                    </w:pPr>
                    <w:r>
                      <w:rPr>
                        <w:rFonts w:ascii="Calibri"/>
                        <w:w w:val="95"/>
                        <w:sz w:val="20"/>
                      </w:rPr>
                      <w:t>4.20%</w:t>
                    </w:r>
                  </w:p>
                </w:txbxContent>
              </v:textbox>
            </v:shape>
            <w10:wrap anchorx="page"/>
          </v:group>
        </w:pict>
      </w:r>
      <w:r w:rsidR="0089671D">
        <w:t>Energy saving school features and how much less energy they spend by percentages compared with the municipality averages are given in Figure 11 below.</w:t>
      </w: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CA6556">
      <w:pPr>
        <w:pStyle w:val="BodyText"/>
        <w:spacing w:before="159"/>
        <w:ind w:left="584" w:right="65"/>
      </w:pPr>
      <w:r>
        <w:pict>
          <v:shape id="_x0000_s1040" type="#_x0000_t202" style="position:absolute;left:0;text-align:left;margin-left:151.4pt;margin-top:-77.5pt;width:12pt;height:54.45pt;z-index:1552;mso-position-horizontal-relative:page" filled="f" stroked="f">
            <v:textbox style="layout-flow:vertical;mso-layout-flow-alt:bottom-to-top" inset="0,0,0,0">
              <w:txbxContent>
                <w:p w:rsidR="008C4866" w:rsidRDefault="008C4866">
                  <w:pPr>
                    <w:spacing w:line="223" w:lineRule="exact"/>
                    <w:ind w:left="20" w:right="-844"/>
                    <w:rPr>
                      <w:rFonts w:ascii="Calibri"/>
                      <w:sz w:val="20"/>
                    </w:rPr>
                  </w:pPr>
                  <w:r>
                    <w:rPr>
                      <w:rFonts w:ascii="Calibri"/>
                      <w:spacing w:val="-1"/>
                      <w:w w:val="99"/>
                      <w:sz w:val="20"/>
                    </w:rPr>
                    <w:t>O</w:t>
                  </w:r>
                  <w:r>
                    <w:rPr>
                      <w:rFonts w:ascii="Calibri"/>
                      <w:w w:val="99"/>
                      <w:sz w:val="20"/>
                    </w:rPr>
                    <w:t>n</w:t>
                  </w:r>
                  <w:r>
                    <w:rPr>
                      <w:rFonts w:ascii="Calibri"/>
                      <w:spacing w:val="-1"/>
                      <w:w w:val="99"/>
                      <w:sz w:val="20"/>
                    </w:rPr>
                    <w:t>e</w:t>
                  </w:r>
                  <w:r>
                    <w:rPr>
                      <w:rFonts w:ascii="Calibri"/>
                      <w:spacing w:val="1"/>
                      <w:w w:val="99"/>
                      <w:sz w:val="20"/>
                    </w:rPr>
                    <w:t>-</w:t>
                  </w:r>
                  <w:r>
                    <w:rPr>
                      <w:rFonts w:ascii="Calibri"/>
                      <w:w w:val="99"/>
                      <w:sz w:val="20"/>
                    </w:rPr>
                    <w:t>buildi</w:t>
                  </w:r>
                  <w:r>
                    <w:rPr>
                      <w:rFonts w:ascii="Calibri"/>
                      <w:spacing w:val="-2"/>
                      <w:w w:val="99"/>
                      <w:sz w:val="20"/>
                    </w:rPr>
                    <w:t>n</w:t>
                  </w:r>
                  <w:r>
                    <w:rPr>
                      <w:rFonts w:ascii="Calibri"/>
                      <w:w w:val="99"/>
                      <w:sz w:val="20"/>
                    </w:rPr>
                    <w:t>g</w:t>
                  </w:r>
                </w:p>
              </w:txbxContent>
            </v:textbox>
            <w10:wrap anchorx="page"/>
          </v:shape>
        </w:pict>
      </w:r>
      <w:r>
        <w:pict>
          <v:shape id="_x0000_s1039" type="#_x0000_t202" style="position:absolute;left:0;text-align:left;margin-left:197.65pt;margin-top:-77.6pt;width:12pt;height:64.65pt;z-index:1576;mso-position-horizontal-relative:page" filled="f" stroked="f">
            <v:textbox style="layout-flow:vertical;mso-layout-flow-alt:bottom-to-top" inset="0,0,0,0">
              <w:txbxContent>
                <w:p w:rsidR="008C4866" w:rsidRDefault="008C4866">
                  <w:pPr>
                    <w:spacing w:line="223" w:lineRule="exact"/>
                    <w:ind w:left="20" w:right="-227"/>
                    <w:rPr>
                      <w:rFonts w:ascii="Calibri"/>
                      <w:sz w:val="20"/>
                    </w:rPr>
                  </w:pPr>
                  <w:r>
                    <w:rPr>
                      <w:rFonts w:ascii="Calibri"/>
                      <w:spacing w:val="-1"/>
                      <w:w w:val="99"/>
                      <w:sz w:val="20"/>
                    </w:rPr>
                    <w:t>Onl</w:t>
                  </w:r>
                  <w:r>
                    <w:rPr>
                      <w:rFonts w:ascii="Calibri"/>
                      <w:w w:val="99"/>
                      <w:sz w:val="20"/>
                    </w:rPr>
                    <w:t>y</w:t>
                  </w:r>
                  <w:r>
                    <w:rPr>
                      <w:rFonts w:ascii="Calibri"/>
                      <w:sz w:val="20"/>
                    </w:rPr>
                    <w:t xml:space="preserve"> </w:t>
                  </w:r>
                  <w:r>
                    <w:rPr>
                      <w:rFonts w:ascii="Calibri"/>
                      <w:w w:val="99"/>
                      <w:sz w:val="20"/>
                    </w:rPr>
                    <w:t>e</w:t>
                  </w:r>
                  <w:r>
                    <w:rPr>
                      <w:rFonts w:ascii="Calibri"/>
                      <w:spacing w:val="-1"/>
                      <w:w w:val="99"/>
                      <w:sz w:val="20"/>
                    </w:rPr>
                    <w:t>l</w:t>
                  </w:r>
                  <w:r>
                    <w:rPr>
                      <w:rFonts w:ascii="Calibri"/>
                      <w:spacing w:val="1"/>
                      <w:w w:val="99"/>
                      <w:sz w:val="20"/>
                    </w:rPr>
                    <w:t>e</w:t>
                  </w:r>
                  <w:r>
                    <w:rPr>
                      <w:rFonts w:ascii="Calibri"/>
                      <w:w w:val="99"/>
                      <w:sz w:val="20"/>
                    </w:rPr>
                    <w:t>ct.</w:t>
                  </w:r>
                  <w:r>
                    <w:rPr>
                      <w:rFonts w:ascii="Calibri"/>
                      <w:spacing w:val="-1"/>
                      <w:sz w:val="20"/>
                    </w:rPr>
                    <w:t xml:space="preserve"> </w:t>
                  </w:r>
                  <w:r>
                    <w:rPr>
                      <w:rFonts w:ascii="Calibri"/>
                      <w:w w:val="99"/>
                      <w:sz w:val="20"/>
                    </w:rPr>
                    <w:t>+</w:t>
                  </w:r>
                  <w:r>
                    <w:rPr>
                      <w:rFonts w:ascii="Calibri"/>
                      <w:spacing w:val="-1"/>
                      <w:sz w:val="20"/>
                    </w:rPr>
                    <w:t xml:space="preserve"> </w:t>
                  </w:r>
                  <w:proofErr w:type="gramStart"/>
                  <w:r>
                    <w:rPr>
                      <w:rFonts w:ascii="Calibri"/>
                      <w:w w:val="99"/>
                      <w:sz w:val="20"/>
                    </w:rPr>
                    <w:t>oil</w:t>
                  </w:r>
                  <w:proofErr w:type="gramEnd"/>
                </w:p>
              </w:txbxContent>
            </v:textbox>
            <w10:wrap anchorx="page"/>
          </v:shape>
        </w:pict>
      </w:r>
      <w:r>
        <w:pict>
          <v:shape id="_x0000_s1038" type="#_x0000_t202" style="position:absolute;left:0;text-align:left;margin-left:237.85pt;margin-top:-77.5pt;width:24.2pt;height:56.3pt;z-index:1600;mso-position-horizontal-relative:page" filled="f" stroked="f">
            <v:textbox style="layout-flow:vertical;mso-layout-flow-alt:bottom-to-top" inset="0,0,0,0">
              <w:txbxContent>
                <w:p w:rsidR="008C4866" w:rsidRDefault="008C4866">
                  <w:pPr>
                    <w:spacing w:line="223" w:lineRule="exact"/>
                    <w:jc w:val="center"/>
                    <w:rPr>
                      <w:rFonts w:ascii="Calibri"/>
                      <w:sz w:val="20"/>
                    </w:rPr>
                  </w:pPr>
                  <w:r>
                    <w:rPr>
                      <w:rFonts w:ascii="Calibri"/>
                      <w:w w:val="99"/>
                      <w:sz w:val="20"/>
                    </w:rPr>
                    <w:t>0-0.2</w:t>
                  </w:r>
                  <w:r>
                    <w:rPr>
                      <w:rFonts w:ascii="Calibri"/>
                      <w:spacing w:val="-1"/>
                      <w:sz w:val="20"/>
                    </w:rPr>
                    <w:t xml:space="preserve"> </w:t>
                  </w:r>
                  <w:r>
                    <w:rPr>
                      <w:rFonts w:ascii="Calibri"/>
                      <w:spacing w:val="1"/>
                      <w:w w:val="99"/>
                      <w:sz w:val="20"/>
                    </w:rPr>
                    <w:t>s</w:t>
                  </w:r>
                  <w:r>
                    <w:rPr>
                      <w:rFonts w:ascii="Calibri"/>
                      <w:w w:val="99"/>
                      <w:sz w:val="20"/>
                    </w:rPr>
                    <w:t>t</w:t>
                  </w:r>
                  <w:r>
                    <w:rPr>
                      <w:rFonts w:ascii="Calibri"/>
                      <w:spacing w:val="-2"/>
                      <w:w w:val="99"/>
                      <w:sz w:val="20"/>
                    </w:rPr>
                    <w:t>u</w:t>
                  </w:r>
                  <w:r>
                    <w:rPr>
                      <w:rFonts w:ascii="Calibri"/>
                      <w:w w:val="99"/>
                      <w:sz w:val="20"/>
                    </w:rPr>
                    <w:t>d</w:t>
                  </w:r>
                  <w:r>
                    <w:rPr>
                      <w:rFonts w:ascii="Calibri"/>
                      <w:spacing w:val="1"/>
                      <w:w w:val="99"/>
                      <w:sz w:val="20"/>
                    </w:rPr>
                    <w:t>e</w:t>
                  </w:r>
                  <w:r>
                    <w:rPr>
                      <w:rFonts w:ascii="Calibri"/>
                      <w:spacing w:val="-2"/>
                      <w:w w:val="99"/>
                      <w:sz w:val="20"/>
                    </w:rPr>
                    <w:t>n</w:t>
                  </w:r>
                  <w:r>
                    <w:rPr>
                      <w:rFonts w:ascii="Calibri"/>
                      <w:w w:val="99"/>
                      <w:sz w:val="20"/>
                    </w:rPr>
                    <w:t>t</w:t>
                  </w:r>
                </w:p>
                <w:p w:rsidR="008C4866" w:rsidRDefault="008C4866">
                  <w:pPr>
                    <w:ind w:left="4"/>
                    <w:jc w:val="center"/>
                    <w:rPr>
                      <w:rFonts w:ascii="Calibri"/>
                      <w:sz w:val="20"/>
                    </w:rPr>
                  </w:pPr>
                  <w:proofErr w:type="gramStart"/>
                  <w:r>
                    <w:rPr>
                      <w:rFonts w:ascii="Calibri"/>
                      <w:w w:val="99"/>
                      <w:sz w:val="20"/>
                    </w:rPr>
                    <w:t>d</w:t>
                  </w:r>
                  <w:r>
                    <w:rPr>
                      <w:rFonts w:ascii="Calibri"/>
                      <w:spacing w:val="-1"/>
                      <w:w w:val="99"/>
                      <w:sz w:val="20"/>
                    </w:rPr>
                    <w:t>e</w:t>
                  </w:r>
                  <w:r>
                    <w:rPr>
                      <w:rFonts w:ascii="Calibri"/>
                      <w:w w:val="99"/>
                      <w:sz w:val="20"/>
                    </w:rPr>
                    <w:t>n</w:t>
                  </w:r>
                  <w:r>
                    <w:rPr>
                      <w:rFonts w:ascii="Calibri"/>
                      <w:spacing w:val="1"/>
                      <w:w w:val="99"/>
                      <w:sz w:val="20"/>
                    </w:rPr>
                    <w:t>s</w:t>
                  </w:r>
                  <w:r>
                    <w:rPr>
                      <w:rFonts w:ascii="Calibri"/>
                      <w:w w:val="99"/>
                      <w:sz w:val="20"/>
                    </w:rPr>
                    <w:t>ity</w:t>
                  </w:r>
                  <w:proofErr w:type="gramEnd"/>
                </w:p>
              </w:txbxContent>
            </v:textbox>
            <w10:wrap anchorx="page"/>
          </v:shape>
        </w:pict>
      </w:r>
      <w:r>
        <w:pict>
          <v:shape id="_x0000_s1037" type="#_x0000_t202" style="position:absolute;left:0;text-align:left;margin-left:284.1pt;margin-top:-77.6pt;width:24.25pt;height:64pt;z-index:1624;mso-position-horizontal-relative:page" filled="f" stroked="f">
            <v:textbox style="layout-flow:vertical;mso-layout-flow-alt:bottom-to-top" inset="0,0,0,0">
              <w:txbxContent>
                <w:p w:rsidR="008C4866" w:rsidRDefault="008C4866">
                  <w:pPr>
                    <w:spacing w:line="223" w:lineRule="exact"/>
                    <w:ind w:left="20" w:right="20"/>
                    <w:jc w:val="center"/>
                    <w:rPr>
                      <w:rFonts w:ascii="Calibri"/>
                      <w:sz w:val="20"/>
                    </w:rPr>
                  </w:pPr>
                  <w:r>
                    <w:rPr>
                      <w:rFonts w:ascii="Calibri"/>
                      <w:spacing w:val="-1"/>
                      <w:w w:val="99"/>
                      <w:sz w:val="20"/>
                    </w:rPr>
                    <w:t>B</w:t>
                  </w:r>
                  <w:r>
                    <w:rPr>
                      <w:rFonts w:ascii="Calibri"/>
                      <w:w w:val="99"/>
                      <w:sz w:val="20"/>
                    </w:rPr>
                    <w:t>ui</w:t>
                  </w:r>
                  <w:r>
                    <w:rPr>
                      <w:rFonts w:ascii="Calibri"/>
                      <w:spacing w:val="-1"/>
                      <w:w w:val="99"/>
                      <w:sz w:val="20"/>
                    </w:rPr>
                    <w:t>l</w:t>
                  </w:r>
                  <w:r>
                    <w:rPr>
                      <w:rFonts w:ascii="Calibri"/>
                      <w:w w:val="99"/>
                      <w:sz w:val="20"/>
                    </w:rPr>
                    <w:t>t</w:t>
                  </w:r>
                  <w:r>
                    <w:rPr>
                      <w:rFonts w:ascii="Calibri"/>
                      <w:sz w:val="20"/>
                    </w:rPr>
                    <w:t xml:space="preserve"> </w:t>
                  </w:r>
                  <w:r>
                    <w:rPr>
                      <w:rFonts w:ascii="Calibri"/>
                      <w:w w:val="99"/>
                      <w:sz w:val="20"/>
                    </w:rPr>
                    <w:t>in</w:t>
                  </w:r>
                  <w:r>
                    <w:rPr>
                      <w:rFonts w:ascii="Calibri"/>
                      <w:sz w:val="20"/>
                    </w:rPr>
                    <w:t xml:space="preserve"> </w:t>
                  </w:r>
                  <w:r>
                    <w:rPr>
                      <w:rFonts w:ascii="Calibri"/>
                      <w:w w:val="99"/>
                      <w:sz w:val="20"/>
                    </w:rPr>
                    <w:t>2</w:t>
                  </w:r>
                  <w:r>
                    <w:rPr>
                      <w:rFonts w:ascii="Calibri"/>
                      <w:spacing w:val="-1"/>
                      <w:w w:val="99"/>
                      <w:sz w:val="20"/>
                    </w:rPr>
                    <w:t>0</w:t>
                  </w:r>
                  <w:r>
                    <w:rPr>
                      <w:rFonts w:ascii="Calibri"/>
                      <w:spacing w:val="1"/>
                      <w:w w:val="99"/>
                      <w:sz w:val="20"/>
                    </w:rPr>
                    <w:t>0</w:t>
                  </w:r>
                  <w:r>
                    <w:rPr>
                      <w:rFonts w:ascii="Calibri"/>
                      <w:w w:val="99"/>
                      <w:sz w:val="20"/>
                    </w:rPr>
                    <w:t>0</w:t>
                  </w:r>
                  <w:r>
                    <w:rPr>
                      <w:rFonts w:ascii="Calibri"/>
                      <w:spacing w:val="-1"/>
                      <w:sz w:val="20"/>
                    </w:rPr>
                    <w:t xml:space="preserve"> </w:t>
                  </w:r>
                  <w:r>
                    <w:rPr>
                      <w:rFonts w:ascii="Calibri"/>
                      <w:spacing w:val="-1"/>
                      <w:w w:val="99"/>
                      <w:sz w:val="20"/>
                    </w:rPr>
                    <w:t>or</w:t>
                  </w:r>
                </w:p>
                <w:p w:rsidR="008C4866" w:rsidRDefault="008C4866">
                  <w:pPr>
                    <w:ind w:left="20" w:right="20"/>
                    <w:jc w:val="center"/>
                    <w:rPr>
                      <w:rFonts w:ascii="Calibri"/>
                      <w:sz w:val="20"/>
                    </w:rPr>
                  </w:pPr>
                  <w:proofErr w:type="gramStart"/>
                  <w:r>
                    <w:rPr>
                      <w:rFonts w:ascii="Calibri"/>
                      <w:w w:val="99"/>
                      <w:sz w:val="20"/>
                    </w:rPr>
                    <w:t>lat</w:t>
                  </w:r>
                  <w:r>
                    <w:rPr>
                      <w:rFonts w:ascii="Calibri"/>
                      <w:spacing w:val="-1"/>
                      <w:w w:val="99"/>
                      <w:sz w:val="20"/>
                    </w:rPr>
                    <w:t>e</w:t>
                  </w:r>
                  <w:r>
                    <w:rPr>
                      <w:rFonts w:ascii="Calibri"/>
                      <w:w w:val="99"/>
                      <w:sz w:val="20"/>
                    </w:rPr>
                    <w:t>r</w:t>
                  </w:r>
                  <w:proofErr w:type="gramEnd"/>
                </w:p>
              </w:txbxContent>
            </v:textbox>
            <w10:wrap anchorx="page"/>
          </v:shape>
        </w:pict>
      </w:r>
      <w:r>
        <w:pict>
          <v:shape id="_x0000_s1036" type="#_x0000_t202" style="position:absolute;left:0;text-align:left;margin-left:336.5pt;margin-top:-77.6pt;width:12pt;height:64.75pt;z-index:1648;mso-position-horizontal-relative:page" filled="f" stroked="f">
            <v:textbox style="layout-flow:vertical;mso-layout-flow-alt:bottom-to-top" inset="0,0,0,0">
              <w:txbxContent>
                <w:p w:rsidR="008C4866" w:rsidRDefault="008C4866">
                  <w:pPr>
                    <w:spacing w:line="223" w:lineRule="exact"/>
                    <w:ind w:left="20" w:right="-504"/>
                    <w:rPr>
                      <w:rFonts w:ascii="Calibri"/>
                      <w:sz w:val="20"/>
                    </w:rPr>
                  </w:pPr>
                  <w:r>
                    <w:rPr>
                      <w:rFonts w:ascii="Calibri"/>
                      <w:w w:val="99"/>
                      <w:sz w:val="20"/>
                    </w:rPr>
                    <w:t>1</w:t>
                  </w:r>
                  <w:r>
                    <w:rPr>
                      <w:rFonts w:ascii="Calibri"/>
                      <w:spacing w:val="1"/>
                      <w:w w:val="99"/>
                      <w:sz w:val="20"/>
                    </w:rPr>
                    <w:t>0</w:t>
                  </w:r>
                  <w:r>
                    <w:rPr>
                      <w:rFonts w:ascii="Calibri"/>
                      <w:w w:val="99"/>
                      <w:sz w:val="20"/>
                    </w:rPr>
                    <w:t>00+</w:t>
                  </w:r>
                  <w:r>
                    <w:rPr>
                      <w:rFonts w:ascii="Calibri"/>
                      <w:spacing w:val="-1"/>
                      <w:sz w:val="20"/>
                    </w:rPr>
                    <w:t xml:space="preserve"> </w:t>
                  </w:r>
                  <w:r>
                    <w:rPr>
                      <w:rFonts w:ascii="Calibri"/>
                      <w:spacing w:val="1"/>
                      <w:w w:val="99"/>
                      <w:sz w:val="20"/>
                    </w:rPr>
                    <w:t>s</w:t>
                  </w:r>
                  <w:r>
                    <w:rPr>
                      <w:rFonts w:ascii="Calibri"/>
                      <w:w w:val="99"/>
                      <w:sz w:val="20"/>
                    </w:rPr>
                    <w:t>t</w:t>
                  </w:r>
                  <w:r>
                    <w:rPr>
                      <w:rFonts w:ascii="Calibri"/>
                      <w:spacing w:val="1"/>
                      <w:w w:val="99"/>
                      <w:sz w:val="20"/>
                    </w:rPr>
                    <w:t>u</w:t>
                  </w:r>
                  <w:r>
                    <w:rPr>
                      <w:rFonts w:ascii="Calibri"/>
                      <w:spacing w:val="-2"/>
                      <w:w w:val="99"/>
                      <w:sz w:val="20"/>
                    </w:rPr>
                    <w:t>d</w:t>
                  </w:r>
                  <w:r>
                    <w:rPr>
                      <w:rFonts w:ascii="Calibri"/>
                      <w:spacing w:val="1"/>
                      <w:w w:val="99"/>
                      <w:sz w:val="20"/>
                    </w:rPr>
                    <w:t>e</w:t>
                  </w:r>
                  <w:r>
                    <w:rPr>
                      <w:rFonts w:ascii="Calibri"/>
                      <w:w w:val="99"/>
                      <w:sz w:val="20"/>
                    </w:rPr>
                    <w:t>nts</w:t>
                  </w:r>
                </w:p>
              </w:txbxContent>
            </v:textbox>
            <w10:wrap anchorx="page"/>
          </v:shape>
        </w:pict>
      </w:r>
      <w:r>
        <w:pict>
          <v:shape id="_x0000_s1035" type="#_x0000_t202" style="position:absolute;left:0;text-align:left;margin-left:382.8pt;margin-top:-77.6pt;width:12pt;height:52.1pt;z-index:1672;mso-position-horizontal-relative:page" filled="f" stroked="f">
            <v:textbox style="layout-flow:vertical;mso-layout-flow-alt:bottom-to-top" inset="0,0,0,0">
              <w:txbxContent>
                <w:p w:rsidR="008C4866" w:rsidRDefault="008C4866">
                  <w:pPr>
                    <w:spacing w:line="223" w:lineRule="exact"/>
                    <w:ind w:left="20" w:right="-798"/>
                    <w:rPr>
                      <w:rFonts w:ascii="Calibri"/>
                      <w:sz w:val="20"/>
                    </w:rPr>
                  </w:pPr>
                  <w:r>
                    <w:rPr>
                      <w:rFonts w:ascii="Calibri"/>
                      <w:spacing w:val="-1"/>
                      <w:w w:val="99"/>
                      <w:sz w:val="20"/>
                    </w:rPr>
                    <w:t>Do</w:t>
                  </w:r>
                  <w:r>
                    <w:rPr>
                      <w:rFonts w:ascii="Calibri"/>
                      <w:spacing w:val="1"/>
                      <w:w w:val="99"/>
                      <w:sz w:val="20"/>
                    </w:rPr>
                    <w:t>u</w:t>
                  </w:r>
                  <w:r>
                    <w:rPr>
                      <w:rFonts w:ascii="Calibri"/>
                      <w:w w:val="99"/>
                      <w:sz w:val="20"/>
                    </w:rPr>
                    <w:t>bl</w:t>
                  </w:r>
                  <w:r>
                    <w:rPr>
                      <w:rFonts w:ascii="Calibri"/>
                      <w:spacing w:val="-1"/>
                      <w:w w:val="99"/>
                      <w:sz w:val="20"/>
                    </w:rPr>
                    <w:t>e</w:t>
                  </w:r>
                  <w:r>
                    <w:rPr>
                      <w:rFonts w:ascii="Calibri"/>
                      <w:spacing w:val="1"/>
                      <w:w w:val="99"/>
                      <w:sz w:val="20"/>
                    </w:rPr>
                    <w:t>-</w:t>
                  </w:r>
                  <w:r>
                    <w:rPr>
                      <w:rFonts w:ascii="Calibri"/>
                      <w:spacing w:val="-1"/>
                      <w:w w:val="99"/>
                      <w:sz w:val="20"/>
                    </w:rPr>
                    <w:t>s</w:t>
                  </w:r>
                  <w:r>
                    <w:rPr>
                      <w:rFonts w:ascii="Calibri"/>
                      <w:w w:val="99"/>
                      <w:sz w:val="20"/>
                    </w:rPr>
                    <w:t>hi</w:t>
                  </w:r>
                  <w:r>
                    <w:rPr>
                      <w:rFonts w:ascii="Calibri"/>
                      <w:spacing w:val="1"/>
                      <w:w w:val="99"/>
                      <w:sz w:val="20"/>
                    </w:rPr>
                    <w:t>f</w:t>
                  </w:r>
                  <w:r>
                    <w:rPr>
                      <w:rFonts w:ascii="Calibri"/>
                      <w:w w:val="99"/>
                      <w:sz w:val="20"/>
                    </w:rPr>
                    <w:t>t</w:t>
                  </w:r>
                </w:p>
              </w:txbxContent>
            </v:textbox>
            <w10:wrap anchorx="page"/>
          </v:shape>
        </w:pict>
      </w:r>
      <w:r>
        <w:pict>
          <v:shape id="_x0000_s1034" type="#_x0000_t202" style="position:absolute;left:0;text-align:left;margin-left:422.95pt;margin-top:-77.55pt;width:24.2pt;height:71pt;z-index:1696;mso-position-horizontal-relative:page" filled="f" stroked="f">
            <v:textbox style="layout-flow:vertical;mso-layout-flow-alt:bottom-to-top" inset="0,0,0,0">
              <w:txbxContent>
                <w:p w:rsidR="008C4866" w:rsidRDefault="008C4866">
                  <w:pPr>
                    <w:spacing w:line="223" w:lineRule="exact"/>
                    <w:jc w:val="center"/>
                    <w:rPr>
                      <w:rFonts w:ascii="Calibri"/>
                      <w:sz w:val="20"/>
                    </w:rPr>
                  </w:pPr>
                  <w:r>
                    <w:rPr>
                      <w:rFonts w:ascii="Calibri"/>
                      <w:w w:val="99"/>
                      <w:sz w:val="20"/>
                    </w:rPr>
                    <w:t>Bi</w:t>
                  </w:r>
                  <w:r>
                    <w:rPr>
                      <w:rFonts w:ascii="Calibri"/>
                      <w:spacing w:val="1"/>
                      <w:w w:val="99"/>
                      <w:sz w:val="20"/>
                    </w:rPr>
                    <w:t>g</w:t>
                  </w:r>
                  <w:r>
                    <w:rPr>
                      <w:rFonts w:ascii="Calibri"/>
                      <w:w w:val="99"/>
                      <w:sz w:val="20"/>
                    </w:rPr>
                    <w:t>g</w:t>
                  </w:r>
                  <w:r>
                    <w:rPr>
                      <w:rFonts w:ascii="Calibri"/>
                      <w:spacing w:val="-1"/>
                      <w:w w:val="99"/>
                      <w:sz w:val="20"/>
                    </w:rPr>
                    <w:t>e</w:t>
                  </w:r>
                  <w:r>
                    <w:rPr>
                      <w:rFonts w:ascii="Calibri"/>
                      <w:w w:val="99"/>
                      <w:sz w:val="20"/>
                    </w:rPr>
                    <w:t>r</w:t>
                  </w:r>
                  <w:r>
                    <w:rPr>
                      <w:rFonts w:ascii="Calibri"/>
                      <w:sz w:val="20"/>
                    </w:rPr>
                    <w:t xml:space="preserve"> </w:t>
                  </w:r>
                  <w:r>
                    <w:rPr>
                      <w:rFonts w:ascii="Calibri"/>
                      <w:w w:val="99"/>
                      <w:sz w:val="20"/>
                    </w:rPr>
                    <w:t>t</w:t>
                  </w:r>
                  <w:r>
                    <w:rPr>
                      <w:rFonts w:ascii="Calibri"/>
                      <w:spacing w:val="1"/>
                      <w:w w:val="99"/>
                      <w:sz w:val="20"/>
                    </w:rPr>
                    <w:t>h</w:t>
                  </w:r>
                  <w:r>
                    <w:rPr>
                      <w:rFonts w:ascii="Calibri"/>
                      <w:w w:val="99"/>
                      <w:sz w:val="20"/>
                    </w:rPr>
                    <w:t>an</w:t>
                  </w:r>
                  <w:r>
                    <w:rPr>
                      <w:rFonts w:ascii="Calibri"/>
                      <w:spacing w:val="-1"/>
                      <w:sz w:val="20"/>
                    </w:rPr>
                    <w:t xml:space="preserve"> </w:t>
                  </w:r>
                  <w:r>
                    <w:rPr>
                      <w:rFonts w:ascii="Calibri"/>
                      <w:spacing w:val="2"/>
                      <w:w w:val="99"/>
                      <w:sz w:val="20"/>
                    </w:rPr>
                    <w:t>5</w:t>
                  </w:r>
                  <w:r>
                    <w:rPr>
                      <w:rFonts w:ascii="Calibri"/>
                      <w:w w:val="99"/>
                      <w:sz w:val="20"/>
                    </w:rPr>
                    <w:t>000</w:t>
                  </w:r>
                </w:p>
                <w:p w:rsidR="008C4866" w:rsidRDefault="008C4866">
                  <w:pPr>
                    <w:ind w:left="92" w:right="89"/>
                    <w:jc w:val="center"/>
                    <w:rPr>
                      <w:rFonts w:ascii="Calibri"/>
                      <w:sz w:val="20"/>
                    </w:rPr>
                  </w:pPr>
                  <w:r>
                    <w:rPr>
                      <w:rFonts w:ascii="Calibri"/>
                      <w:spacing w:val="1"/>
                      <w:w w:val="99"/>
                      <w:sz w:val="20"/>
                    </w:rPr>
                    <w:t>m2</w:t>
                  </w:r>
                </w:p>
              </w:txbxContent>
            </v:textbox>
            <w10:wrap anchorx="page"/>
          </v:shape>
        </w:pict>
      </w:r>
      <w:r>
        <w:pict>
          <v:shape id="_x0000_s1033" type="#_x0000_t202" style="position:absolute;left:0;text-align:left;margin-left:475.35pt;margin-top:-77.6pt;width:12pt;height:64.35pt;z-index:1720;mso-position-horizontal-relative:page" filled="f" stroked="f">
            <v:textbox style="layout-flow:vertical;mso-layout-flow-alt:bottom-to-top" inset="0,0,0,0">
              <w:txbxContent>
                <w:p w:rsidR="008C4866" w:rsidRDefault="008C4866">
                  <w:pPr>
                    <w:spacing w:line="223" w:lineRule="exact"/>
                    <w:ind w:left="20" w:right="-450"/>
                    <w:rPr>
                      <w:rFonts w:ascii="Calibri"/>
                      <w:sz w:val="20"/>
                    </w:rPr>
                  </w:pPr>
                  <w:r>
                    <w:rPr>
                      <w:rFonts w:ascii="Calibri"/>
                      <w:w w:val="99"/>
                      <w:sz w:val="20"/>
                    </w:rPr>
                    <w:t>3-</w:t>
                  </w:r>
                  <w:r>
                    <w:rPr>
                      <w:rFonts w:ascii="Calibri"/>
                      <w:spacing w:val="-1"/>
                      <w:w w:val="99"/>
                      <w:sz w:val="20"/>
                    </w:rPr>
                    <w:t>f</w:t>
                  </w:r>
                  <w:r>
                    <w:rPr>
                      <w:rFonts w:ascii="Calibri"/>
                      <w:w w:val="99"/>
                      <w:sz w:val="20"/>
                    </w:rPr>
                    <w:t>loor</w:t>
                  </w:r>
                  <w:r>
                    <w:rPr>
                      <w:rFonts w:ascii="Calibri"/>
                      <w:sz w:val="20"/>
                    </w:rPr>
                    <w:t xml:space="preserve"> </w:t>
                  </w:r>
                  <w:r>
                    <w:rPr>
                      <w:rFonts w:ascii="Calibri"/>
                      <w:w w:val="99"/>
                      <w:sz w:val="20"/>
                    </w:rPr>
                    <w:t>building</w:t>
                  </w:r>
                </w:p>
              </w:txbxContent>
            </v:textbox>
            <w10:wrap anchorx="page"/>
          </v:shape>
        </w:pict>
      </w:r>
      <w:r w:rsidR="0089671D">
        <w:t>Figure 11: Energy saving school features and their energy saving percentages in comparison with the municipality average</w:t>
      </w:r>
    </w:p>
    <w:p w:rsidR="00F3177F" w:rsidRDefault="00F3177F">
      <w:pPr>
        <w:sectPr w:rsidR="00F3177F">
          <w:pgSz w:w="12240" w:h="15840"/>
          <w:pgMar w:top="1360" w:right="1320" w:bottom="2320" w:left="1720" w:header="0" w:footer="2095" w:gutter="0"/>
          <w:cols w:space="720"/>
        </w:sectPr>
      </w:pPr>
    </w:p>
    <w:p w:rsidR="00F3177F" w:rsidRDefault="0089671D">
      <w:pPr>
        <w:pStyle w:val="BodyText"/>
        <w:spacing w:before="54" w:line="338" w:lineRule="auto"/>
        <w:ind w:left="584" w:right="117"/>
        <w:jc w:val="both"/>
      </w:pPr>
      <w:r>
        <w:lastRenderedPageBreak/>
        <w:t>It is quite interesting that there is only one school that fits the above mentioned low energy consumption features with double-shift, one building, three floors, more than 1000 students (less than 0.2 st/m</w:t>
      </w:r>
      <w:r>
        <w:rPr>
          <w:position w:val="11"/>
          <w:sz w:val="16"/>
        </w:rPr>
        <w:t xml:space="preserve">2 </w:t>
      </w:r>
      <w:r>
        <w:t>student density), no extra building and larger than 5000 m</w:t>
      </w:r>
      <w:r>
        <w:rPr>
          <w:position w:val="11"/>
          <w:sz w:val="16"/>
        </w:rPr>
        <w:t>2</w:t>
      </w:r>
      <w:r>
        <w:t xml:space="preserve">,  fueled only with electricity and  oil.  </w:t>
      </w:r>
      <w:proofErr w:type="gramStart"/>
      <w:r>
        <w:t>Its  annual</w:t>
      </w:r>
      <w:proofErr w:type="gramEnd"/>
      <w:r>
        <w:t xml:space="preserve">  energy consumptions  are  as</w:t>
      </w:r>
    </w:p>
    <w:p w:rsidR="00F3177F" w:rsidRDefault="0089671D">
      <w:pPr>
        <w:pStyle w:val="BodyText"/>
        <w:spacing w:line="303" w:lineRule="exact"/>
        <w:ind w:left="584"/>
        <w:jc w:val="both"/>
      </w:pPr>
      <w:r>
        <w:t>264.6  kWh/student/yr  and  19.3  kWh/m</w:t>
      </w:r>
      <w:r>
        <w:rPr>
          <w:position w:val="11"/>
          <w:sz w:val="16"/>
        </w:rPr>
        <w:t>2</w:t>
      </w:r>
      <w:r>
        <w:t>/yr,  and  produces  6.8  kgCO</w:t>
      </w:r>
      <w:r>
        <w:rPr>
          <w:position w:val="-2"/>
          <w:sz w:val="16"/>
        </w:rPr>
        <w:t>2</w:t>
      </w:r>
      <w:r>
        <w:t>/m</w:t>
      </w:r>
      <w:r>
        <w:rPr>
          <w:position w:val="11"/>
          <w:sz w:val="16"/>
        </w:rPr>
        <w:t>2</w:t>
      </w:r>
      <w:r>
        <w:t xml:space="preserve">/yr </w:t>
      </w:r>
      <w:r>
        <w:rPr>
          <w:spacing w:val="57"/>
        </w:rPr>
        <w:t xml:space="preserve"> </w:t>
      </w:r>
      <w:r>
        <w:t>carbon</w:t>
      </w:r>
    </w:p>
    <w:p w:rsidR="00F3177F" w:rsidRDefault="0089671D">
      <w:pPr>
        <w:pStyle w:val="BodyText"/>
        <w:spacing w:before="124" w:line="360" w:lineRule="auto"/>
        <w:ind w:left="584" w:right="120"/>
        <w:jc w:val="both"/>
      </w:pPr>
      <w:proofErr w:type="gramStart"/>
      <w:r>
        <w:t>emission</w:t>
      </w:r>
      <w:proofErr w:type="gramEnd"/>
      <w:r>
        <w:t>. These averages are 62.6%, 72.2% and 50.4% less than the Municipality averages, respectively. Furthermore, the school consumed the least energy among all</w:t>
      </w:r>
      <w:r w:rsidR="001368A4">
        <w:t xml:space="preserve"> </w:t>
      </w:r>
      <w:r>
        <w:t>the state primary and secondary schools in</w:t>
      </w:r>
      <w:r>
        <w:rPr>
          <w:spacing w:val="-8"/>
        </w:rPr>
        <w:t xml:space="preserve"> </w:t>
      </w:r>
      <w:r>
        <w:t>PCM.</w:t>
      </w:r>
    </w:p>
    <w:p w:rsidR="00F3177F" w:rsidRDefault="00F3177F">
      <w:pPr>
        <w:pStyle w:val="BodyText"/>
      </w:pPr>
    </w:p>
    <w:p w:rsidR="00F3177F" w:rsidRDefault="0089671D">
      <w:pPr>
        <w:pStyle w:val="BodyText"/>
        <w:spacing w:before="143" w:line="360" w:lineRule="auto"/>
        <w:ind w:left="584" w:right="113"/>
        <w:jc w:val="both"/>
      </w:pPr>
      <w:r>
        <w:t>Table 8 below summarizes all the averages for all the subcategories for the state schools in Pristina and Vushturi Central Municipalities to compare both groups of the schools. The most important difference between these two groups of the schools affecting energy consumptions and CO</w:t>
      </w:r>
      <w:r>
        <w:rPr>
          <w:position w:val="-2"/>
          <w:sz w:val="16"/>
        </w:rPr>
        <w:t xml:space="preserve">2 </w:t>
      </w:r>
      <w:r>
        <w:t xml:space="preserve">emissions is that schools in PCM use only wood or oil in addition to electricity as calculated energy resource while schools in Vushturi Central Municipality use almost all the energy supply variations including coal that increases  the averages most. </w:t>
      </w:r>
      <w:r>
        <w:rPr>
          <w:spacing w:val="-3"/>
        </w:rPr>
        <w:t xml:space="preserve">It </w:t>
      </w:r>
      <w:r>
        <w:t xml:space="preserve">is worth mentioning that the state schools of PCM are also supported with Termokos Central Heating System that changes energy consumption figures greatly. Furthermore, Termokos provides heating to the state schools in PCM with the help of hot water circulation from a power station and it consequently reduces specifically average </w:t>
      </w:r>
      <w:proofErr w:type="gramStart"/>
      <w:r>
        <w:t>CO</w:t>
      </w:r>
      <w:r>
        <w:rPr>
          <w:position w:val="-2"/>
          <w:sz w:val="16"/>
        </w:rPr>
        <w:t xml:space="preserve">2  </w:t>
      </w:r>
      <w:r>
        <w:t>emissions</w:t>
      </w:r>
      <w:proofErr w:type="gramEnd"/>
      <w:r>
        <w:t xml:space="preserve"> of the</w:t>
      </w:r>
      <w:r>
        <w:rPr>
          <w:spacing w:val="-27"/>
        </w:rPr>
        <w:t xml:space="preserve"> </w:t>
      </w:r>
      <w:r>
        <w:t>schools.</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rsidP="001368A4">
      <w:pPr>
        <w:pStyle w:val="BodyText"/>
        <w:spacing w:before="55" w:line="276" w:lineRule="exact"/>
        <w:ind w:left="584" w:right="201"/>
        <w:jc w:val="both"/>
      </w:pPr>
      <w:r>
        <w:lastRenderedPageBreak/>
        <w:t>Table 8: Average energy consumptions and CO</w:t>
      </w:r>
      <w:r>
        <w:rPr>
          <w:position w:val="-2"/>
          <w:sz w:val="16"/>
        </w:rPr>
        <w:t xml:space="preserve">2 </w:t>
      </w:r>
      <w:r>
        <w:t>emissions comparison between the state schools in Pristina and Vushturi Central Municipalities for all searched</w:t>
      </w:r>
      <w:r>
        <w:rPr>
          <w:spacing w:val="-16"/>
        </w:rPr>
        <w:t xml:space="preserve"> </w:t>
      </w:r>
      <w:r>
        <w:t>categories</w:t>
      </w:r>
    </w:p>
    <w:p w:rsidR="00F3177F" w:rsidRDefault="00F3177F">
      <w:pPr>
        <w:pStyle w:val="BodyText"/>
        <w:spacing w:before="5"/>
        <w:rPr>
          <w:sz w:val="2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341"/>
        <w:gridCol w:w="1080"/>
        <w:gridCol w:w="1260"/>
        <w:gridCol w:w="1081"/>
        <w:gridCol w:w="1260"/>
      </w:tblGrid>
      <w:tr w:rsidR="00F3177F">
        <w:trPr>
          <w:trHeight w:hRule="exact" w:val="286"/>
        </w:trPr>
        <w:tc>
          <w:tcPr>
            <w:tcW w:w="3781" w:type="dxa"/>
            <w:gridSpan w:val="2"/>
            <w:vMerge w:val="restart"/>
          </w:tcPr>
          <w:p w:rsidR="00F3177F" w:rsidRDefault="0089671D">
            <w:pPr>
              <w:pStyle w:val="TableParagraph"/>
              <w:spacing w:before="140"/>
              <w:ind w:left="1319" w:right="1319"/>
              <w:jc w:val="center"/>
              <w:rPr>
                <w:b/>
                <w:sz w:val="24"/>
              </w:rPr>
            </w:pPr>
            <w:r>
              <w:rPr>
                <w:b/>
                <w:sz w:val="24"/>
              </w:rPr>
              <w:t>Categories</w:t>
            </w:r>
          </w:p>
        </w:tc>
        <w:tc>
          <w:tcPr>
            <w:tcW w:w="2340" w:type="dxa"/>
            <w:gridSpan w:val="2"/>
          </w:tcPr>
          <w:p w:rsidR="00F3177F" w:rsidRDefault="0089671D">
            <w:pPr>
              <w:pStyle w:val="TableParagraph"/>
              <w:spacing w:line="273" w:lineRule="exact"/>
              <w:ind w:left="766"/>
              <w:rPr>
                <w:b/>
                <w:sz w:val="24"/>
              </w:rPr>
            </w:pPr>
            <w:r>
              <w:rPr>
                <w:b/>
                <w:sz w:val="24"/>
              </w:rPr>
              <w:t>Pristina</w:t>
            </w:r>
          </w:p>
        </w:tc>
        <w:tc>
          <w:tcPr>
            <w:tcW w:w="2341" w:type="dxa"/>
            <w:gridSpan w:val="2"/>
          </w:tcPr>
          <w:p w:rsidR="00F3177F" w:rsidRDefault="0089671D">
            <w:pPr>
              <w:pStyle w:val="TableParagraph"/>
              <w:spacing w:line="273" w:lineRule="exact"/>
              <w:ind w:left="713"/>
              <w:rPr>
                <w:b/>
                <w:sz w:val="24"/>
              </w:rPr>
            </w:pPr>
            <w:r>
              <w:rPr>
                <w:b/>
                <w:sz w:val="24"/>
              </w:rPr>
              <w:t>Vushturi</w:t>
            </w:r>
          </w:p>
        </w:tc>
      </w:tr>
      <w:tr w:rsidR="00F3177F">
        <w:trPr>
          <w:trHeight w:hRule="exact" w:val="286"/>
        </w:trPr>
        <w:tc>
          <w:tcPr>
            <w:tcW w:w="3781" w:type="dxa"/>
            <w:gridSpan w:val="2"/>
            <w:vMerge/>
          </w:tcPr>
          <w:p w:rsidR="00F3177F" w:rsidRDefault="00F3177F"/>
        </w:tc>
        <w:tc>
          <w:tcPr>
            <w:tcW w:w="1080" w:type="dxa"/>
          </w:tcPr>
          <w:p w:rsidR="00F3177F" w:rsidRDefault="0089671D">
            <w:pPr>
              <w:pStyle w:val="TableParagraph"/>
              <w:spacing w:line="273" w:lineRule="exact"/>
              <w:ind w:left="88" w:right="89"/>
              <w:jc w:val="center"/>
              <w:rPr>
                <w:b/>
                <w:sz w:val="16"/>
              </w:rPr>
            </w:pPr>
            <w:r>
              <w:rPr>
                <w:b/>
                <w:sz w:val="24"/>
              </w:rPr>
              <w:t>kWh/m</w:t>
            </w:r>
            <w:r>
              <w:rPr>
                <w:b/>
                <w:position w:val="11"/>
                <w:sz w:val="16"/>
              </w:rPr>
              <w:t>2</w:t>
            </w:r>
          </w:p>
        </w:tc>
        <w:tc>
          <w:tcPr>
            <w:tcW w:w="1260" w:type="dxa"/>
          </w:tcPr>
          <w:p w:rsidR="00F3177F" w:rsidRDefault="0089671D">
            <w:pPr>
              <w:pStyle w:val="TableParagraph"/>
              <w:spacing w:line="285" w:lineRule="exact"/>
              <w:ind w:left="72" w:right="73"/>
              <w:jc w:val="center"/>
              <w:rPr>
                <w:b/>
                <w:sz w:val="16"/>
              </w:rPr>
            </w:pPr>
            <w:r>
              <w:rPr>
                <w:b/>
                <w:sz w:val="24"/>
              </w:rPr>
              <w:t>kgCO</w:t>
            </w:r>
            <w:r>
              <w:rPr>
                <w:b/>
                <w:position w:val="-2"/>
                <w:sz w:val="16"/>
              </w:rPr>
              <w:t>2</w:t>
            </w:r>
            <w:r>
              <w:rPr>
                <w:b/>
                <w:sz w:val="24"/>
              </w:rPr>
              <w:t>/m</w:t>
            </w:r>
            <w:r>
              <w:rPr>
                <w:b/>
                <w:position w:val="11"/>
                <w:sz w:val="16"/>
              </w:rPr>
              <w:t>2</w:t>
            </w:r>
          </w:p>
        </w:tc>
        <w:tc>
          <w:tcPr>
            <w:tcW w:w="1081" w:type="dxa"/>
          </w:tcPr>
          <w:p w:rsidR="00F3177F" w:rsidRDefault="0089671D">
            <w:pPr>
              <w:pStyle w:val="TableParagraph"/>
              <w:spacing w:line="273" w:lineRule="exact"/>
              <w:ind w:left="88" w:right="89"/>
              <w:jc w:val="center"/>
              <w:rPr>
                <w:b/>
                <w:sz w:val="16"/>
              </w:rPr>
            </w:pPr>
            <w:r>
              <w:rPr>
                <w:b/>
                <w:sz w:val="24"/>
              </w:rPr>
              <w:t>kWh/m</w:t>
            </w:r>
            <w:r>
              <w:rPr>
                <w:b/>
                <w:position w:val="11"/>
                <w:sz w:val="16"/>
              </w:rPr>
              <w:t>2</w:t>
            </w:r>
          </w:p>
        </w:tc>
        <w:tc>
          <w:tcPr>
            <w:tcW w:w="1260" w:type="dxa"/>
          </w:tcPr>
          <w:p w:rsidR="00F3177F" w:rsidRDefault="0089671D">
            <w:pPr>
              <w:pStyle w:val="TableParagraph"/>
              <w:spacing w:line="285" w:lineRule="exact"/>
              <w:ind w:left="72" w:right="73"/>
              <w:jc w:val="center"/>
              <w:rPr>
                <w:b/>
                <w:sz w:val="16"/>
              </w:rPr>
            </w:pPr>
            <w:r>
              <w:rPr>
                <w:b/>
                <w:sz w:val="24"/>
              </w:rPr>
              <w:t>kgCO</w:t>
            </w:r>
            <w:r>
              <w:rPr>
                <w:b/>
                <w:position w:val="-2"/>
                <w:sz w:val="16"/>
              </w:rPr>
              <w:t>2</w:t>
            </w:r>
            <w:r>
              <w:rPr>
                <w:b/>
                <w:sz w:val="24"/>
              </w:rPr>
              <w:t>/m</w:t>
            </w:r>
            <w:r>
              <w:rPr>
                <w:b/>
                <w:position w:val="11"/>
                <w:sz w:val="16"/>
              </w:rPr>
              <w:t>2</w:t>
            </w:r>
          </w:p>
        </w:tc>
      </w:tr>
      <w:tr w:rsidR="00F3177F">
        <w:trPr>
          <w:trHeight w:hRule="exact" w:val="286"/>
        </w:trPr>
        <w:tc>
          <w:tcPr>
            <w:tcW w:w="1440" w:type="dxa"/>
            <w:vMerge w:val="restart"/>
          </w:tcPr>
          <w:p w:rsidR="00F3177F" w:rsidRDefault="0089671D">
            <w:pPr>
              <w:pStyle w:val="TableParagraph"/>
              <w:spacing w:before="136"/>
              <w:ind w:left="115"/>
              <w:rPr>
                <w:sz w:val="24"/>
              </w:rPr>
            </w:pPr>
            <w:r>
              <w:rPr>
                <w:sz w:val="24"/>
              </w:rPr>
              <w:t>School Type</w:t>
            </w:r>
          </w:p>
        </w:tc>
        <w:tc>
          <w:tcPr>
            <w:tcW w:w="2341" w:type="dxa"/>
          </w:tcPr>
          <w:p w:rsidR="00F3177F" w:rsidRDefault="0089671D">
            <w:pPr>
              <w:pStyle w:val="TableParagraph"/>
              <w:spacing w:line="268" w:lineRule="exact"/>
              <w:ind w:left="78" w:right="76"/>
              <w:jc w:val="center"/>
              <w:rPr>
                <w:sz w:val="24"/>
              </w:rPr>
            </w:pPr>
            <w:r>
              <w:rPr>
                <w:sz w:val="24"/>
              </w:rPr>
              <w:t>Primary</w:t>
            </w:r>
          </w:p>
        </w:tc>
        <w:tc>
          <w:tcPr>
            <w:tcW w:w="1080" w:type="dxa"/>
          </w:tcPr>
          <w:p w:rsidR="00F3177F" w:rsidRDefault="0089671D">
            <w:pPr>
              <w:pStyle w:val="TableParagraph"/>
              <w:spacing w:line="268" w:lineRule="exact"/>
              <w:ind w:left="88" w:right="88"/>
              <w:jc w:val="center"/>
              <w:rPr>
                <w:sz w:val="24"/>
              </w:rPr>
            </w:pPr>
            <w:r>
              <w:rPr>
                <w:sz w:val="24"/>
              </w:rPr>
              <w:t>71.6</w:t>
            </w:r>
          </w:p>
        </w:tc>
        <w:tc>
          <w:tcPr>
            <w:tcW w:w="1260" w:type="dxa"/>
          </w:tcPr>
          <w:p w:rsidR="00F3177F" w:rsidRDefault="0089671D">
            <w:pPr>
              <w:pStyle w:val="TableParagraph"/>
              <w:spacing w:line="268" w:lineRule="exact"/>
              <w:ind w:left="72" w:right="74"/>
              <w:jc w:val="center"/>
              <w:rPr>
                <w:sz w:val="24"/>
              </w:rPr>
            </w:pPr>
            <w:r>
              <w:rPr>
                <w:sz w:val="24"/>
              </w:rPr>
              <w:t>12.2</w:t>
            </w:r>
          </w:p>
        </w:tc>
        <w:tc>
          <w:tcPr>
            <w:tcW w:w="1081" w:type="dxa"/>
          </w:tcPr>
          <w:p w:rsidR="00F3177F" w:rsidRDefault="0089671D">
            <w:pPr>
              <w:pStyle w:val="TableParagraph"/>
              <w:spacing w:line="268" w:lineRule="exact"/>
              <w:ind w:left="86" w:right="89"/>
              <w:jc w:val="center"/>
              <w:rPr>
                <w:sz w:val="24"/>
              </w:rPr>
            </w:pPr>
            <w:r>
              <w:rPr>
                <w:sz w:val="24"/>
              </w:rPr>
              <w:t>180.5</w:t>
            </w:r>
          </w:p>
        </w:tc>
        <w:tc>
          <w:tcPr>
            <w:tcW w:w="1260" w:type="dxa"/>
          </w:tcPr>
          <w:p w:rsidR="00F3177F" w:rsidRDefault="0089671D">
            <w:pPr>
              <w:pStyle w:val="TableParagraph"/>
              <w:spacing w:line="268" w:lineRule="exact"/>
              <w:ind w:left="72" w:right="74"/>
              <w:jc w:val="center"/>
              <w:rPr>
                <w:sz w:val="24"/>
              </w:rPr>
            </w:pPr>
            <w:r>
              <w:rPr>
                <w:sz w:val="24"/>
              </w:rPr>
              <w:t>49.5</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6"/>
              <w:jc w:val="center"/>
              <w:rPr>
                <w:sz w:val="24"/>
              </w:rPr>
            </w:pPr>
            <w:r>
              <w:rPr>
                <w:sz w:val="24"/>
              </w:rPr>
              <w:t>Secondary</w:t>
            </w:r>
          </w:p>
        </w:tc>
        <w:tc>
          <w:tcPr>
            <w:tcW w:w="1080" w:type="dxa"/>
          </w:tcPr>
          <w:p w:rsidR="00F3177F" w:rsidRDefault="0089671D">
            <w:pPr>
              <w:pStyle w:val="TableParagraph"/>
              <w:spacing w:line="268" w:lineRule="exact"/>
              <w:ind w:left="88" w:right="88"/>
              <w:jc w:val="center"/>
              <w:rPr>
                <w:sz w:val="24"/>
              </w:rPr>
            </w:pPr>
            <w:r>
              <w:rPr>
                <w:sz w:val="24"/>
              </w:rPr>
              <w:t>62.3</w:t>
            </w:r>
          </w:p>
        </w:tc>
        <w:tc>
          <w:tcPr>
            <w:tcW w:w="1260" w:type="dxa"/>
          </w:tcPr>
          <w:p w:rsidR="00F3177F" w:rsidRDefault="0089671D">
            <w:pPr>
              <w:pStyle w:val="TableParagraph"/>
              <w:spacing w:line="268" w:lineRule="exact"/>
              <w:ind w:left="72" w:right="74"/>
              <w:jc w:val="center"/>
              <w:rPr>
                <w:sz w:val="24"/>
              </w:rPr>
            </w:pPr>
            <w:r>
              <w:rPr>
                <w:sz w:val="24"/>
              </w:rPr>
              <w:t>18.6</w:t>
            </w:r>
          </w:p>
        </w:tc>
        <w:tc>
          <w:tcPr>
            <w:tcW w:w="1081" w:type="dxa"/>
          </w:tcPr>
          <w:p w:rsidR="00F3177F" w:rsidRDefault="0089671D">
            <w:pPr>
              <w:pStyle w:val="TableParagraph"/>
              <w:spacing w:line="268" w:lineRule="exact"/>
              <w:ind w:left="88" w:right="89"/>
              <w:jc w:val="center"/>
              <w:rPr>
                <w:sz w:val="24"/>
              </w:rPr>
            </w:pPr>
            <w:r>
              <w:rPr>
                <w:sz w:val="24"/>
              </w:rPr>
              <w:t>85.1</w:t>
            </w:r>
          </w:p>
        </w:tc>
        <w:tc>
          <w:tcPr>
            <w:tcW w:w="1260" w:type="dxa"/>
          </w:tcPr>
          <w:p w:rsidR="00F3177F" w:rsidRDefault="0089671D">
            <w:pPr>
              <w:pStyle w:val="TableParagraph"/>
              <w:spacing w:line="268" w:lineRule="exact"/>
              <w:ind w:left="72" w:right="74"/>
              <w:jc w:val="center"/>
              <w:rPr>
                <w:sz w:val="24"/>
              </w:rPr>
            </w:pPr>
            <w:r>
              <w:rPr>
                <w:sz w:val="24"/>
              </w:rPr>
              <w:t>22.5</w:t>
            </w:r>
          </w:p>
        </w:tc>
      </w:tr>
      <w:tr w:rsidR="00F3177F">
        <w:trPr>
          <w:trHeight w:hRule="exact" w:val="288"/>
        </w:trPr>
        <w:tc>
          <w:tcPr>
            <w:tcW w:w="1440" w:type="dxa"/>
            <w:vMerge w:val="restart"/>
          </w:tcPr>
          <w:p w:rsidR="00F3177F" w:rsidRDefault="0089671D">
            <w:pPr>
              <w:pStyle w:val="TableParagraph"/>
              <w:ind w:left="487" w:hanging="216"/>
              <w:rPr>
                <w:sz w:val="24"/>
              </w:rPr>
            </w:pPr>
            <w:r>
              <w:rPr>
                <w:sz w:val="24"/>
              </w:rPr>
              <w:t>Students’ Shift</w:t>
            </w:r>
          </w:p>
        </w:tc>
        <w:tc>
          <w:tcPr>
            <w:tcW w:w="2341" w:type="dxa"/>
          </w:tcPr>
          <w:p w:rsidR="00F3177F" w:rsidRDefault="0089671D">
            <w:pPr>
              <w:pStyle w:val="TableParagraph"/>
              <w:spacing w:line="270" w:lineRule="exact"/>
              <w:ind w:left="78" w:right="75"/>
              <w:jc w:val="center"/>
              <w:rPr>
                <w:sz w:val="24"/>
              </w:rPr>
            </w:pPr>
            <w:r>
              <w:rPr>
                <w:sz w:val="24"/>
              </w:rPr>
              <w:t>Only Morning</w:t>
            </w:r>
          </w:p>
        </w:tc>
        <w:tc>
          <w:tcPr>
            <w:tcW w:w="1080" w:type="dxa"/>
          </w:tcPr>
          <w:p w:rsidR="00F3177F" w:rsidRDefault="0089671D">
            <w:pPr>
              <w:pStyle w:val="TableParagraph"/>
              <w:spacing w:line="270" w:lineRule="exact"/>
              <w:ind w:left="86" w:right="89"/>
              <w:jc w:val="center"/>
              <w:rPr>
                <w:sz w:val="24"/>
              </w:rPr>
            </w:pPr>
            <w:r>
              <w:rPr>
                <w:sz w:val="24"/>
              </w:rPr>
              <w:t>103.1</w:t>
            </w:r>
          </w:p>
        </w:tc>
        <w:tc>
          <w:tcPr>
            <w:tcW w:w="1260" w:type="dxa"/>
          </w:tcPr>
          <w:p w:rsidR="00F3177F" w:rsidRDefault="0089671D">
            <w:pPr>
              <w:pStyle w:val="TableParagraph"/>
              <w:spacing w:line="270" w:lineRule="exact"/>
              <w:ind w:left="72" w:right="74"/>
              <w:jc w:val="center"/>
              <w:rPr>
                <w:sz w:val="24"/>
              </w:rPr>
            </w:pPr>
            <w:r>
              <w:rPr>
                <w:sz w:val="24"/>
              </w:rPr>
              <w:t>14.9</w:t>
            </w:r>
          </w:p>
        </w:tc>
        <w:tc>
          <w:tcPr>
            <w:tcW w:w="1081" w:type="dxa"/>
          </w:tcPr>
          <w:p w:rsidR="00F3177F" w:rsidRDefault="0089671D">
            <w:pPr>
              <w:pStyle w:val="TableParagraph"/>
              <w:spacing w:line="270" w:lineRule="exact"/>
              <w:ind w:left="86" w:right="89"/>
              <w:jc w:val="center"/>
              <w:rPr>
                <w:sz w:val="24"/>
              </w:rPr>
            </w:pPr>
            <w:r>
              <w:rPr>
                <w:sz w:val="24"/>
              </w:rPr>
              <w:t>101.7</w:t>
            </w:r>
          </w:p>
        </w:tc>
        <w:tc>
          <w:tcPr>
            <w:tcW w:w="1260" w:type="dxa"/>
          </w:tcPr>
          <w:p w:rsidR="00F3177F" w:rsidRDefault="0089671D">
            <w:pPr>
              <w:pStyle w:val="TableParagraph"/>
              <w:spacing w:line="270" w:lineRule="exact"/>
              <w:ind w:left="72" w:right="74"/>
              <w:jc w:val="center"/>
              <w:rPr>
                <w:sz w:val="24"/>
              </w:rPr>
            </w:pPr>
            <w:r>
              <w:rPr>
                <w:sz w:val="24"/>
              </w:rPr>
              <w:t>27.3</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8"/>
              <w:jc w:val="center"/>
              <w:rPr>
                <w:sz w:val="24"/>
              </w:rPr>
            </w:pPr>
            <w:r>
              <w:rPr>
                <w:sz w:val="24"/>
              </w:rPr>
              <w:t>Morning &amp; Afternoon</w:t>
            </w:r>
          </w:p>
        </w:tc>
        <w:tc>
          <w:tcPr>
            <w:tcW w:w="1080" w:type="dxa"/>
          </w:tcPr>
          <w:p w:rsidR="00F3177F" w:rsidRDefault="0089671D">
            <w:pPr>
              <w:pStyle w:val="TableParagraph"/>
              <w:spacing w:line="268" w:lineRule="exact"/>
              <w:ind w:left="88" w:right="88"/>
              <w:jc w:val="center"/>
              <w:rPr>
                <w:sz w:val="24"/>
              </w:rPr>
            </w:pPr>
            <w:r>
              <w:rPr>
                <w:sz w:val="24"/>
              </w:rPr>
              <w:t>41.4</w:t>
            </w:r>
          </w:p>
        </w:tc>
        <w:tc>
          <w:tcPr>
            <w:tcW w:w="1260" w:type="dxa"/>
          </w:tcPr>
          <w:p w:rsidR="00F3177F" w:rsidRDefault="0089671D">
            <w:pPr>
              <w:pStyle w:val="TableParagraph"/>
              <w:spacing w:line="268" w:lineRule="exact"/>
              <w:ind w:left="72" w:right="74"/>
              <w:jc w:val="center"/>
              <w:rPr>
                <w:sz w:val="24"/>
              </w:rPr>
            </w:pPr>
            <w:r>
              <w:rPr>
                <w:sz w:val="24"/>
              </w:rPr>
              <w:t>12.7</w:t>
            </w:r>
          </w:p>
        </w:tc>
        <w:tc>
          <w:tcPr>
            <w:tcW w:w="1081" w:type="dxa"/>
          </w:tcPr>
          <w:p w:rsidR="00F3177F" w:rsidRDefault="0089671D">
            <w:pPr>
              <w:pStyle w:val="TableParagraph"/>
              <w:spacing w:line="268" w:lineRule="exact"/>
              <w:ind w:left="86" w:right="89"/>
              <w:jc w:val="center"/>
              <w:rPr>
                <w:sz w:val="24"/>
              </w:rPr>
            </w:pPr>
            <w:r>
              <w:rPr>
                <w:sz w:val="24"/>
              </w:rPr>
              <w:t>186.7</w:t>
            </w:r>
          </w:p>
        </w:tc>
        <w:tc>
          <w:tcPr>
            <w:tcW w:w="1260" w:type="dxa"/>
          </w:tcPr>
          <w:p w:rsidR="00F3177F" w:rsidRDefault="0089671D">
            <w:pPr>
              <w:pStyle w:val="TableParagraph"/>
              <w:spacing w:line="268" w:lineRule="exact"/>
              <w:ind w:left="72" w:right="74"/>
              <w:jc w:val="center"/>
              <w:rPr>
                <w:sz w:val="24"/>
              </w:rPr>
            </w:pPr>
            <w:r>
              <w:rPr>
                <w:sz w:val="24"/>
              </w:rPr>
              <w:t>51.2</w:t>
            </w:r>
          </w:p>
        </w:tc>
      </w:tr>
      <w:tr w:rsidR="00F3177F">
        <w:trPr>
          <w:trHeight w:hRule="exact" w:val="286"/>
        </w:trPr>
        <w:tc>
          <w:tcPr>
            <w:tcW w:w="1440" w:type="dxa"/>
            <w:vMerge w:val="restart"/>
          </w:tcPr>
          <w:p w:rsidR="00F3177F" w:rsidRDefault="0089671D">
            <w:pPr>
              <w:pStyle w:val="TableParagraph"/>
              <w:spacing w:before="1"/>
              <w:ind w:left="140" w:right="139"/>
              <w:jc w:val="center"/>
              <w:rPr>
                <w:sz w:val="24"/>
              </w:rPr>
            </w:pPr>
            <w:r>
              <w:rPr>
                <w:sz w:val="24"/>
              </w:rPr>
              <w:t>Building Age – Built Between</w:t>
            </w:r>
          </w:p>
        </w:tc>
        <w:tc>
          <w:tcPr>
            <w:tcW w:w="2341" w:type="dxa"/>
          </w:tcPr>
          <w:p w:rsidR="00F3177F" w:rsidRDefault="0089671D">
            <w:pPr>
              <w:pStyle w:val="TableParagraph"/>
              <w:spacing w:line="268" w:lineRule="exact"/>
              <w:ind w:left="77" w:right="78"/>
              <w:jc w:val="center"/>
              <w:rPr>
                <w:sz w:val="24"/>
              </w:rPr>
            </w:pPr>
            <w:r>
              <w:rPr>
                <w:sz w:val="24"/>
              </w:rPr>
              <w:t>1936-1969</w:t>
            </w:r>
          </w:p>
        </w:tc>
        <w:tc>
          <w:tcPr>
            <w:tcW w:w="1080" w:type="dxa"/>
          </w:tcPr>
          <w:p w:rsidR="00F3177F" w:rsidRDefault="0089671D">
            <w:pPr>
              <w:pStyle w:val="TableParagraph"/>
              <w:spacing w:line="268" w:lineRule="exact"/>
              <w:ind w:left="88" w:right="88"/>
              <w:jc w:val="center"/>
              <w:rPr>
                <w:sz w:val="24"/>
              </w:rPr>
            </w:pPr>
            <w:r>
              <w:rPr>
                <w:sz w:val="24"/>
              </w:rPr>
              <w:t>67.0</w:t>
            </w:r>
          </w:p>
        </w:tc>
        <w:tc>
          <w:tcPr>
            <w:tcW w:w="1260" w:type="dxa"/>
          </w:tcPr>
          <w:p w:rsidR="00F3177F" w:rsidRDefault="0089671D">
            <w:pPr>
              <w:pStyle w:val="TableParagraph"/>
              <w:spacing w:line="268" w:lineRule="exact"/>
              <w:ind w:left="72" w:right="74"/>
              <w:jc w:val="center"/>
              <w:rPr>
                <w:sz w:val="24"/>
              </w:rPr>
            </w:pPr>
            <w:r>
              <w:rPr>
                <w:sz w:val="24"/>
              </w:rPr>
              <w:t>18.7</w:t>
            </w:r>
          </w:p>
        </w:tc>
        <w:tc>
          <w:tcPr>
            <w:tcW w:w="1081" w:type="dxa"/>
          </w:tcPr>
          <w:p w:rsidR="00F3177F" w:rsidRDefault="0089671D">
            <w:pPr>
              <w:pStyle w:val="TableParagraph"/>
              <w:spacing w:line="268" w:lineRule="exact"/>
              <w:ind w:left="86" w:right="89"/>
              <w:jc w:val="center"/>
              <w:rPr>
                <w:sz w:val="24"/>
              </w:rPr>
            </w:pPr>
            <w:r>
              <w:rPr>
                <w:sz w:val="24"/>
              </w:rPr>
              <w:t>109.9</w:t>
            </w:r>
          </w:p>
        </w:tc>
        <w:tc>
          <w:tcPr>
            <w:tcW w:w="1260" w:type="dxa"/>
          </w:tcPr>
          <w:p w:rsidR="00F3177F" w:rsidRDefault="0089671D">
            <w:pPr>
              <w:pStyle w:val="TableParagraph"/>
              <w:spacing w:line="268" w:lineRule="exact"/>
              <w:ind w:left="72" w:right="74"/>
              <w:jc w:val="center"/>
              <w:rPr>
                <w:sz w:val="24"/>
              </w:rPr>
            </w:pPr>
            <w:r>
              <w:rPr>
                <w:sz w:val="24"/>
              </w:rPr>
              <w:t>27.9</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7" w:right="78"/>
              <w:jc w:val="center"/>
              <w:rPr>
                <w:sz w:val="24"/>
              </w:rPr>
            </w:pPr>
            <w:r>
              <w:rPr>
                <w:sz w:val="24"/>
              </w:rPr>
              <w:t>1970-1999</w:t>
            </w:r>
          </w:p>
        </w:tc>
        <w:tc>
          <w:tcPr>
            <w:tcW w:w="1080" w:type="dxa"/>
          </w:tcPr>
          <w:p w:rsidR="00F3177F" w:rsidRDefault="0089671D">
            <w:pPr>
              <w:pStyle w:val="TableParagraph"/>
              <w:spacing w:line="268" w:lineRule="exact"/>
              <w:ind w:left="88" w:right="88"/>
              <w:jc w:val="center"/>
              <w:rPr>
                <w:sz w:val="24"/>
              </w:rPr>
            </w:pPr>
            <w:r>
              <w:rPr>
                <w:sz w:val="24"/>
              </w:rPr>
              <w:t>84.9</w:t>
            </w:r>
          </w:p>
        </w:tc>
        <w:tc>
          <w:tcPr>
            <w:tcW w:w="1260" w:type="dxa"/>
          </w:tcPr>
          <w:p w:rsidR="00F3177F" w:rsidRDefault="0089671D">
            <w:pPr>
              <w:pStyle w:val="TableParagraph"/>
              <w:spacing w:line="268" w:lineRule="exact"/>
              <w:ind w:left="72" w:right="74"/>
              <w:jc w:val="center"/>
              <w:rPr>
                <w:sz w:val="24"/>
              </w:rPr>
            </w:pPr>
            <w:r>
              <w:rPr>
                <w:sz w:val="24"/>
              </w:rPr>
              <w:t>12.1</w:t>
            </w:r>
          </w:p>
        </w:tc>
        <w:tc>
          <w:tcPr>
            <w:tcW w:w="1081" w:type="dxa"/>
          </w:tcPr>
          <w:p w:rsidR="00F3177F" w:rsidRDefault="0089671D">
            <w:pPr>
              <w:pStyle w:val="TableParagraph"/>
              <w:spacing w:line="268" w:lineRule="exact"/>
              <w:ind w:left="86" w:right="89"/>
              <w:jc w:val="center"/>
              <w:rPr>
                <w:sz w:val="24"/>
              </w:rPr>
            </w:pPr>
            <w:r>
              <w:rPr>
                <w:sz w:val="24"/>
              </w:rPr>
              <w:t>244.7</w:t>
            </w:r>
          </w:p>
        </w:tc>
        <w:tc>
          <w:tcPr>
            <w:tcW w:w="1260" w:type="dxa"/>
          </w:tcPr>
          <w:p w:rsidR="00F3177F" w:rsidRDefault="0089671D">
            <w:pPr>
              <w:pStyle w:val="TableParagraph"/>
              <w:spacing w:line="268" w:lineRule="exact"/>
              <w:ind w:left="72" w:right="74"/>
              <w:jc w:val="center"/>
              <w:rPr>
                <w:sz w:val="24"/>
              </w:rPr>
            </w:pPr>
            <w:r>
              <w:rPr>
                <w:sz w:val="24"/>
              </w:rPr>
              <w:t>69.5</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7" w:right="78"/>
              <w:jc w:val="center"/>
              <w:rPr>
                <w:sz w:val="24"/>
              </w:rPr>
            </w:pPr>
            <w:r>
              <w:rPr>
                <w:sz w:val="24"/>
              </w:rPr>
              <w:t>2000-2013</w:t>
            </w:r>
          </w:p>
        </w:tc>
        <w:tc>
          <w:tcPr>
            <w:tcW w:w="1080" w:type="dxa"/>
          </w:tcPr>
          <w:p w:rsidR="00F3177F" w:rsidRDefault="0089671D">
            <w:pPr>
              <w:pStyle w:val="TableParagraph"/>
              <w:spacing w:line="268" w:lineRule="exact"/>
              <w:ind w:left="88" w:right="88"/>
              <w:jc w:val="center"/>
              <w:rPr>
                <w:sz w:val="24"/>
              </w:rPr>
            </w:pPr>
            <w:r>
              <w:rPr>
                <w:sz w:val="24"/>
              </w:rPr>
              <w:t>49.7</w:t>
            </w:r>
          </w:p>
        </w:tc>
        <w:tc>
          <w:tcPr>
            <w:tcW w:w="1260" w:type="dxa"/>
          </w:tcPr>
          <w:p w:rsidR="00F3177F" w:rsidRDefault="0089671D">
            <w:pPr>
              <w:pStyle w:val="TableParagraph"/>
              <w:spacing w:line="268" w:lineRule="exact"/>
              <w:ind w:left="72" w:right="74"/>
              <w:jc w:val="center"/>
              <w:rPr>
                <w:sz w:val="24"/>
              </w:rPr>
            </w:pPr>
            <w:r>
              <w:rPr>
                <w:sz w:val="24"/>
              </w:rPr>
              <w:t>10.1</w:t>
            </w:r>
          </w:p>
        </w:tc>
        <w:tc>
          <w:tcPr>
            <w:tcW w:w="1081" w:type="dxa"/>
          </w:tcPr>
          <w:p w:rsidR="00F3177F" w:rsidRDefault="0089671D">
            <w:pPr>
              <w:pStyle w:val="TableParagraph"/>
              <w:spacing w:line="268" w:lineRule="exact"/>
              <w:ind w:left="86" w:right="89"/>
              <w:jc w:val="center"/>
              <w:rPr>
                <w:sz w:val="24"/>
              </w:rPr>
            </w:pPr>
            <w:r>
              <w:rPr>
                <w:sz w:val="24"/>
              </w:rPr>
              <w:t>163.6</w:t>
            </w:r>
          </w:p>
        </w:tc>
        <w:tc>
          <w:tcPr>
            <w:tcW w:w="1260" w:type="dxa"/>
          </w:tcPr>
          <w:p w:rsidR="00F3177F" w:rsidRDefault="0089671D">
            <w:pPr>
              <w:pStyle w:val="TableParagraph"/>
              <w:spacing w:line="268" w:lineRule="exact"/>
              <w:ind w:left="72" w:right="74"/>
              <w:jc w:val="center"/>
              <w:rPr>
                <w:sz w:val="24"/>
              </w:rPr>
            </w:pPr>
            <w:r>
              <w:rPr>
                <w:sz w:val="24"/>
              </w:rPr>
              <w:t>44.3</w:t>
            </w:r>
          </w:p>
        </w:tc>
      </w:tr>
      <w:tr w:rsidR="00F3177F">
        <w:trPr>
          <w:trHeight w:hRule="exact" w:val="286"/>
        </w:trPr>
        <w:tc>
          <w:tcPr>
            <w:tcW w:w="1440" w:type="dxa"/>
            <w:vMerge w:val="restart"/>
          </w:tcPr>
          <w:p w:rsidR="00F3177F" w:rsidRDefault="0089671D">
            <w:pPr>
              <w:pStyle w:val="TableParagraph"/>
              <w:ind w:left="129" w:hanging="15"/>
              <w:rPr>
                <w:sz w:val="24"/>
              </w:rPr>
            </w:pPr>
            <w:r>
              <w:rPr>
                <w:sz w:val="24"/>
              </w:rPr>
              <w:t>The Number of Buildings</w:t>
            </w:r>
          </w:p>
        </w:tc>
        <w:tc>
          <w:tcPr>
            <w:tcW w:w="2341" w:type="dxa"/>
          </w:tcPr>
          <w:p w:rsidR="00F3177F" w:rsidRDefault="0089671D">
            <w:pPr>
              <w:pStyle w:val="TableParagraph"/>
              <w:spacing w:line="268" w:lineRule="exact"/>
              <w:ind w:left="3"/>
              <w:jc w:val="center"/>
              <w:rPr>
                <w:sz w:val="24"/>
              </w:rPr>
            </w:pPr>
            <w:r>
              <w:rPr>
                <w:sz w:val="24"/>
              </w:rPr>
              <w:t>1</w:t>
            </w:r>
          </w:p>
        </w:tc>
        <w:tc>
          <w:tcPr>
            <w:tcW w:w="1080" w:type="dxa"/>
          </w:tcPr>
          <w:p w:rsidR="00F3177F" w:rsidRDefault="0089671D">
            <w:pPr>
              <w:pStyle w:val="TableParagraph"/>
              <w:spacing w:line="268" w:lineRule="exact"/>
              <w:ind w:left="88" w:right="88"/>
              <w:jc w:val="center"/>
              <w:rPr>
                <w:sz w:val="24"/>
              </w:rPr>
            </w:pPr>
            <w:r>
              <w:rPr>
                <w:sz w:val="24"/>
              </w:rPr>
              <w:t>66.5</w:t>
            </w:r>
          </w:p>
        </w:tc>
        <w:tc>
          <w:tcPr>
            <w:tcW w:w="1260" w:type="dxa"/>
          </w:tcPr>
          <w:p w:rsidR="00F3177F" w:rsidRDefault="0089671D">
            <w:pPr>
              <w:pStyle w:val="TableParagraph"/>
              <w:spacing w:line="268" w:lineRule="exact"/>
              <w:ind w:left="72" w:right="74"/>
              <w:jc w:val="center"/>
              <w:rPr>
                <w:sz w:val="24"/>
              </w:rPr>
            </w:pPr>
            <w:r>
              <w:rPr>
                <w:sz w:val="24"/>
              </w:rPr>
              <w:t>15.5</w:t>
            </w:r>
          </w:p>
        </w:tc>
        <w:tc>
          <w:tcPr>
            <w:tcW w:w="1081" w:type="dxa"/>
          </w:tcPr>
          <w:p w:rsidR="00F3177F" w:rsidRDefault="0089671D">
            <w:pPr>
              <w:pStyle w:val="TableParagraph"/>
              <w:spacing w:line="268" w:lineRule="exact"/>
              <w:ind w:left="86" w:right="89"/>
              <w:jc w:val="center"/>
              <w:rPr>
                <w:sz w:val="24"/>
              </w:rPr>
            </w:pPr>
            <w:r>
              <w:rPr>
                <w:sz w:val="24"/>
              </w:rPr>
              <w:t>203.4</w:t>
            </w:r>
          </w:p>
        </w:tc>
        <w:tc>
          <w:tcPr>
            <w:tcW w:w="1260" w:type="dxa"/>
          </w:tcPr>
          <w:p w:rsidR="00F3177F" w:rsidRDefault="0089671D">
            <w:pPr>
              <w:pStyle w:val="TableParagraph"/>
              <w:spacing w:line="268" w:lineRule="exact"/>
              <w:ind w:left="72" w:right="74"/>
              <w:jc w:val="center"/>
              <w:rPr>
                <w:sz w:val="24"/>
              </w:rPr>
            </w:pPr>
            <w:r>
              <w:rPr>
                <w:sz w:val="24"/>
              </w:rPr>
              <w:t>55.3</w:t>
            </w:r>
          </w:p>
        </w:tc>
      </w:tr>
      <w:tr w:rsidR="00F3177F">
        <w:trPr>
          <w:trHeight w:hRule="exact" w:val="288"/>
        </w:trPr>
        <w:tc>
          <w:tcPr>
            <w:tcW w:w="1440" w:type="dxa"/>
            <w:vMerge/>
          </w:tcPr>
          <w:p w:rsidR="00F3177F" w:rsidRDefault="00F3177F"/>
        </w:tc>
        <w:tc>
          <w:tcPr>
            <w:tcW w:w="2341" w:type="dxa"/>
          </w:tcPr>
          <w:p w:rsidR="00F3177F" w:rsidRDefault="0089671D">
            <w:pPr>
              <w:pStyle w:val="TableParagraph"/>
              <w:spacing w:line="270" w:lineRule="exact"/>
              <w:ind w:left="78" w:right="77"/>
              <w:jc w:val="center"/>
              <w:rPr>
                <w:sz w:val="24"/>
              </w:rPr>
            </w:pPr>
            <w:r>
              <w:rPr>
                <w:sz w:val="24"/>
              </w:rPr>
              <w:t>2 or more</w:t>
            </w:r>
          </w:p>
        </w:tc>
        <w:tc>
          <w:tcPr>
            <w:tcW w:w="1080" w:type="dxa"/>
          </w:tcPr>
          <w:p w:rsidR="00F3177F" w:rsidRDefault="0089671D">
            <w:pPr>
              <w:pStyle w:val="TableParagraph"/>
              <w:spacing w:line="270" w:lineRule="exact"/>
              <w:ind w:left="88" w:right="88"/>
              <w:jc w:val="center"/>
              <w:rPr>
                <w:sz w:val="24"/>
              </w:rPr>
            </w:pPr>
            <w:r>
              <w:rPr>
                <w:sz w:val="24"/>
              </w:rPr>
              <w:t>82.7</w:t>
            </w:r>
          </w:p>
        </w:tc>
        <w:tc>
          <w:tcPr>
            <w:tcW w:w="1260" w:type="dxa"/>
          </w:tcPr>
          <w:p w:rsidR="00F3177F" w:rsidRDefault="0089671D">
            <w:pPr>
              <w:pStyle w:val="TableParagraph"/>
              <w:spacing w:line="270" w:lineRule="exact"/>
              <w:ind w:left="72" w:right="72"/>
              <w:jc w:val="center"/>
              <w:rPr>
                <w:sz w:val="24"/>
              </w:rPr>
            </w:pPr>
            <w:r>
              <w:rPr>
                <w:sz w:val="24"/>
              </w:rPr>
              <w:t>5.7</w:t>
            </w:r>
          </w:p>
        </w:tc>
        <w:tc>
          <w:tcPr>
            <w:tcW w:w="1081" w:type="dxa"/>
          </w:tcPr>
          <w:p w:rsidR="00F3177F" w:rsidRDefault="0089671D">
            <w:pPr>
              <w:pStyle w:val="TableParagraph"/>
              <w:spacing w:line="270" w:lineRule="exact"/>
              <w:ind w:left="86" w:right="89"/>
              <w:jc w:val="center"/>
              <w:rPr>
                <w:sz w:val="24"/>
              </w:rPr>
            </w:pPr>
            <w:r>
              <w:rPr>
                <w:sz w:val="24"/>
              </w:rPr>
              <w:t>128.5</w:t>
            </w:r>
          </w:p>
        </w:tc>
        <w:tc>
          <w:tcPr>
            <w:tcW w:w="1260" w:type="dxa"/>
          </w:tcPr>
          <w:p w:rsidR="00F3177F" w:rsidRDefault="0089671D">
            <w:pPr>
              <w:pStyle w:val="TableParagraph"/>
              <w:spacing w:line="270" w:lineRule="exact"/>
              <w:ind w:left="72" w:right="74"/>
              <w:jc w:val="center"/>
              <w:rPr>
                <w:sz w:val="24"/>
              </w:rPr>
            </w:pPr>
            <w:r>
              <w:rPr>
                <w:sz w:val="24"/>
              </w:rPr>
              <w:t>36.3</w:t>
            </w:r>
          </w:p>
        </w:tc>
      </w:tr>
      <w:tr w:rsidR="00F3177F">
        <w:trPr>
          <w:trHeight w:hRule="exact" w:val="286"/>
        </w:trPr>
        <w:tc>
          <w:tcPr>
            <w:tcW w:w="1440" w:type="dxa"/>
            <w:vMerge w:val="restart"/>
          </w:tcPr>
          <w:p w:rsidR="00F3177F" w:rsidRDefault="0089671D">
            <w:pPr>
              <w:pStyle w:val="TableParagraph"/>
              <w:spacing w:before="138"/>
              <w:ind w:left="288" w:hanging="173"/>
              <w:rPr>
                <w:sz w:val="24"/>
              </w:rPr>
            </w:pPr>
            <w:r>
              <w:rPr>
                <w:sz w:val="24"/>
              </w:rPr>
              <w:t>The Number of Floors</w:t>
            </w:r>
          </w:p>
        </w:tc>
        <w:tc>
          <w:tcPr>
            <w:tcW w:w="2341" w:type="dxa"/>
          </w:tcPr>
          <w:p w:rsidR="00F3177F" w:rsidRDefault="0089671D">
            <w:pPr>
              <w:pStyle w:val="TableParagraph"/>
              <w:spacing w:line="268" w:lineRule="exact"/>
              <w:ind w:left="3"/>
              <w:jc w:val="center"/>
              <w:rPr>
                <w:sz w:val="24"/>
              </w:rPr>
            </w:pPr>
            <w:r>
              <w:rPr>
                <w:sz w:val="24"/>
              </w:rPr>
              <w:t>1</w:t>
            </w:r>
          </w:p>
        </w:tc>
        <w:tc>
          <w:tcPr>
            <w:tcW w:w="1080" w:type="dxa"/>
          </w:tcPr>
          <w:p w:rsidR="00F3177F" w:rsidRDefault="0089671D">
            <w:pPr>
              <w:pStyle w:val="TableParagraph"/>
              <w:spacing w:line="268" w:lineRule="exact"/>
              <w:ind w:left="86" w:right="89"/>
              <w:jc w:val="center"/>
              <w:rPr>
                <w:sz w:val="24"/>
              </w:rPr>
            </w:pPr>
            <w:r>
              <w:rPr>
                <w:sz w:val="24"/>
              </w:rPr>
              <w:t>111.0</w:t>
            </w:r>
          </w:p>
        </w:tc>
        <w:tc>
          <w:tcPr>
            <w:tcW w:w="1260" w:type="dxa"/>
          </w:tcPr>
          <w:p w:rsidR="00F3177F" w:rsidRDefault="0089671D">
            <w:pPr>
              <w:pStyle w:val="TableParagraph"/>
              <w:spacing w:line="268" w:lineRule="exact"/>
              <w:ind w:left="72" w:right="74"/>
              <w:jc w:val="center"/>
              <w:rPr>
                <w:sz w:val="24"/>
              </w:rPr>
            </w:pPr>
            <w:r>
              <w:rPr>
                <w:sz w:val="24"/>
              </w:rPr>
              <w:t>15.3</w:t>
            </w:r>
          </w:p>
        </w:tc>
        <w:tc>
          <w:tcPr>
            <w:tcW w:w="1081" w:type="dxa"/>
          </w:tcPr>
          <w:p w:rsidR="00F3177F" w:rsidRDefault="0089671D">
            <w:pPr>
              <w:pStyle w:val="TableParagraph"/>
              <w:spacing w:line="268" w:lineRule="exact"/>
              <w:ind w:left="86" w:right="89"/>
              <w:jc w:val="center"/>
              <w:rPr>
                <w:sz w:val="24"/>
              </w:rPr>
            </w:pPr>
            <w:r>
              <w:rPr>
                <w:sz w:val="24"/>
              </w:rPr>
              <w:t>195.1</w:t>
            </w:r>
          </w:p>
        </w:tc>
        <w:tc>
          <w:tcPr>
            <w:tcW w:w="1260" w:type="dxa"/>
          </w:tcPr>
          <w:p w:rsidR="00F3177F" w:rsidRDefault="0089671D">
            <w:pPr>
              <w:pStyle w:val="TableParagraph"/>
              <w:spacing w:line="268" w:lineRule="exact"/>
              <w:ind w:left="72" w:right="74"/>
              <w:jc w:val="center"/>
              <w:rPr>
                <w:sz w:val="24"/>
              </w:rPr>
            </w:pPr>
            <w:r>
              <w:rPr>
                <w:sz w:val="24"/>
              </w:rPr>
              <w:t>54.4</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3"/>
              <w:jc w:val="center"/>
              <w:rPr>
                <w:sz w:val="24"/>
              </w:rPr>
            </w:pPr>
            <w:r>
              <w:rPr>
                <w:sz w:val="24"/>
              </w:rPr>
              <w:t>2</w:t>
            </w:r>
          </w:p>
        </w:tc>
        <w:tc>
          <w:tcPr>
            <w:tcW w:w="1080" w:type="dxa"/>
          </w:tcPr>
          <w:p w:rsidR="00F3177F" w:rsidRDefault="0089671D">
            <w:pPr>
              <w:pStyle w:val="TableParagraph"/>
              <w:spacing w:line="268" w:lineRule="exact"/>
              <w:ind w:left="88" w:right="88"/>
              <w:jc w:val="center"/>
              <w:rPr>
                <w:sz w:val="24"/>
              </w:rPr>
            </w:pPr>
            <w:r>
              <w:rPr>
                <w:sz w:val="24"/>
              </w:rPr>
              <w:t>53.0</w:t>
            </w:r>
          </w:p>
        </w:tc>
        <w:tc>
          <w:tcPr>
            <w:tcW w:w="1260" w:type="dxa"/>
          </w:tcPr>
          <w:p w:rsidR="00F3177F" w:rsidRDefault="0089671D">
            <w:pPr>
              <w:pStyle w:val="TableParagraph"/>
              <w:spacing w:line="268" w:lineRule="exact"/>
              <w:ind w:left="72" w:right="74"/>
              <w:jc w:val="center"/>
              <w:rPr>
                <w:sz w:val="24"/>
              </w:rPr>
            </w:pPr>
            <w:r>
              <w:rPr>
                <w:sz w:val="24"/>
              </w:rPr>
              <w:t>15.5</w:t>
            </w:r>
          </w:p>
        </w:tc>
        <w:tc>
          <w:tcPr>
            <w:tcW w:w="1081" w:type="dxa"/>
          </w:tcPr>
          <w:p w:rsidR="00F3177F" w:rsidRDefault="0089671D">
            <w:pPr>
              <w:pStyle w:val="TableParagraph"/>
              <w:spacing w:line="268" w:lineRule="exact"/>
              <w:ind w:left="86" w:right="89"/>
              <w:jc w:val="center"/>
              <w:rPr>
                <w:sz w:val="24"/>
              </w:rPr>
            </w:pPr>
            <w:r>
              <w:rPr>
                <w:sz w:val="24"/>
              </w:rPr>
              <w:t>154.3</w:t>
            </w:r>
          </w:p>
        </w:tc>
        <w:tc>
          <w:tcPr>
            <w:tcW w:w="1260" w:type="dxa"/>
          </w:tcPr>
          <w:p w:rsidR="00F3177F" w:rsidRDefault="0089671D">
            <w:pPr>
              <w:pStyle w:val="TableParagraph"/>
              <w:spacing w:line="268" w:lineRule="exact"/>
              <w:ind w:left="72" w:right="74"/>
              <w:jc w:val="center"/>
              <w:rPr>
                <w:sz w:val="24"/>
              </w:rPr>
            </w:pPr>
            <w:r>
              <w:rPr>
                <w:sz w:val="24"/>
              </w:rPr>
              <w:t>40.0</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3"/>
              <w:jc w:val="center"/>
              <w:rPr>
                <w:sz w:val="24"/>
              </w:rPr>
            </w:pPr>
            <w:r>
              <w:rPr>
                <w:sz w:val="24"/>
              </w:rPr>
              <w:t>3</w:t>
            </w:r>
          </w:p>
        </w:tc>
        <w:tc>
          <w:tcPr>
            <w:tcW w:w="1080" w:type="dxa"/>
          </w:tcPr>
          <w:p w:rsidR="00F3177F" w:rsidRDefault="0089671D">
            <w:pPr>
              <w:pStyle w:val="TableParagraph"/>
              <w:spacing w:line="268" w:lineRule="exact"/>
              <w:ind w:left="88" w:right="88"/>
              <w:jc w:val="center"/>
              <w:rPr>
                <w:sz w:val="24"/>
              </w:rPr>
            </w:pPr>
            <w:r>
              <w:rPr>
                <w:sz w:val="24"/>
              </w:rPr>
              <w:t>29.7</w:t>
            </w:r>
          </w:p>
        </w:tc>
        <w:tc>
          <w:tcPr>
            <w:tcW w:w="1260" w:type="dxa"/>
          </w:tcPr>
          <w:p w:rsidR="00F3177F" w:rsidRDefault="0089671D">
            <w:pPr>
              <w:pStyle w:val="TableParagraph"/>
              <w:spacing w:line="268" w:lineRule="exact"/>
              <w:ind w:left="72" w:right="72"/>
              <w:jc w:val="center"/>
              <w:rPr>
                <w:sz w:val="24"/>
              </w:rPr>
            </w:pPr>
            <w:r>
              <w:rPr>
                <w:sz w:val="24"/>
              </w:rPr>
              <w:t>9.7</w:t>
            </w:r>
          </w:p>
        </w:tc>
        <w:tc>
          <w:tcPr>
            <w:tcW w:w="1081" w:type="dxa"/>
          </w:tcPr>
          <w:p w:rsidR="00F3177F" w:rsidRDefault="0089671D">
            <w:pPr>
              <w:pStyle w:val="TableParagraph"/>
              <w:spacing w:line="268" w:lineRule="exact"/>
              <w:ind w:left="86" w:right="89"/>
              <w:jc w:val="center"/>
              <w:rPr>
                <w:sz w:val="24"/>
              </w:rPr>
            </w:pPr>
            <w:r>
              <w:rPr>
                <w:sz w:val="24"/>
              </w:rPr>
              <w:t>123.1</w:t>
            </w:r>
          </w:p>
        </w:tc>
        <w:tc>
          <w:tcPr>
            <w:tcW w:w="1260" w:type="dxa"/>
          </w:tcPr>
          <w:p w:rsidR="00F3177F" w:rsidRDefault="0089671D">
            <w:pPr>
              <w:pStyle w:val="TableParagraph"/>
              <w:spacing w:line="268" w:lineRule="exact"/>
              <w:ind w:left="72" w:right="74"/>
              <w:jc w:val="center"/>
              <w:rPr>
                <w:sz w:val="24"/>
              </w:rPr>
            </w:pPr>
            <w:r>
              <w:rPr>
                <w:sz w:val="24"/>
              </w:rPr>
              <w:t>34.1</w:t>
            </w:r>
          </w:p>
        </w:tc>
      </w:tr>
      <w:tr w:rsidR="00F3177F">
        <w:trPr>
          <w:trHeight w:hRule="exact" w:val="286"/>
        </w:trPr>
        <w:tc>
          <w:tcPr>
            <w:tcW w:w="1440" w:type="dxa"/>
            <w:vMerge w:val="restart"/>
          </w:tcPr>
          <w:p w:rsidR="00F3177F" w:rsidRDefault="0089671D">
            <w:pPr>
              <w:pStyle w:val="TableParagraph"/>
              <w:spacing w:before="140"/>
              <w:ind w:left="182" w:hanging="68"/>
              <w:rPr>
                <w:sz w:val="24"/>
              </w:rPr>
            </w:pPr>
            <w:r>
              <w:rPr>
                <w:sz w:val="24"/>
              </w:rPr>
              <w:t>The Number of Students</w:t>
            </w:r>
          </w:p>
        </w:tc>
        <w:tc>
          <w:tcPr>
            <w:tcW w:w="2341" w:type="dxa"/>
          </w:tcPr>
          <w:p w:rsidR="00F3177F" w:rsidRDefault="0089671D">
            <w:pPr>
              <w:pStyle w:val="TableParagraph"/>
              <w:spacing w:line="268" w:lineRule="exact"/>
              <w:ind w:left="77" w:right="78"/>
              <w:jc w:val="center"/>
              <w:rPr>
                <w:sz w:val="24"/>
              </w:rPr>
            </w:pPr>
            <w:r>
              <w:rPr>
                <w:sz w:val="24"/>
              </w:rPr>
              <w:t>1-500</w:t>
            </w:r>
          </w:p>
        </w:tc>
        <w:tc>
          <w:tcPr>
            <w:tcW w:w="1080" w:type="dxa"/>
          </w:tcPr>
          <w:p w:rsidR="00F3177F" w:rsidRDefault="0089671D">
            <w:pPr>
              <w:pStyle w:val="TableParagraph"/>
              <w:spacing w:line="268" w:lineRule="exact"/>
              <w:ind w:left="86" w:right="89"/>
              <w:jc w:val="center"/>
              <w:rPr>
                <w:sz w:val="24"/>
              </w:rPr>
            </w:pPr>
            <w:r>
              <w:rPr>
                <w:sz w:val="24"/>
              </w:rPr>
              <w:t>111.9</w:t>
            </w:r>
          </w:p>
        </w:tc>
        <w:tc>
          <w:tcPr>
            <w:tcW w:w="1260" w:type="dxa"/>
          </w:tcPr>
          <w:p w:rsidR="00F3177F" w:rsidRDefault="0089671D">
            <w:pPr>
              <w:pStyle w:val="TableParagraph"/>
              <w:spacing w:line="268" w:lineRule="exact"/>
              <w:ind w:left="72" w:right="74"/>
              <w:jc w:val="center"/>
              <w:rPr>
                <w:sz w:val="24"/>
              </w:rPr>
            </w:pPr>
            <w:r>
              <w:rPr>
                <w:sz w:val="24"/>
              </w:rPr>
              <w:t>13.4</w:t>
            </w:r>
          </w:p>
        </w:tc>
        <w:tc>
          <w:tcPr>
            <w:tcW w:w="1081" w:type="dxa"/>
          </w:tcPr>
          <w:p w:rsidR="00F3177F" w:rsidRDefault="0089671D">
            <w:pPr>
              <w:pStyle w:val="TableParagraph"/>
              <w:spacing w:line="268" w:lineRule="exact"/>
              <w:ind w:left="86" w:right="89"/>
              <w:jc w:val="center"/>
              <w:rPr>
                <w:sz w:val="24"/>
              </w:rPr>
            </w:pPr>
            <w:r>
              <w:rPr>
                <w:sz w:val="24"/>
              </w:rPr>
              <w:t>197.8</w:t>
            </w:r>
          </w:p>
        </w:tc>
        <w:tc>
          <w:tcPr>
            <w:tcW w:w="1260" w:type="dxa"/>
          </w:tcPr>
          <w:p w:rsidR="00F3177F" w:rsidRDefault="0089671D">
            <w:pPr>
              <w:pStyle w:val="TableParagraph"/>
              <w:spacing w:line="268" w:lineRule="exact"/>
              <w:ind w:left="72" w:right="74"/>
              <w:jc w:val="center"/>
              <w:rPr>
                <w:sz w:val="24"/>
              </w:rPr>
            </w:pPr>
            <w:r>
              <w:rPr>
                <w:sz w:val="24"/>
              </w:rPr>
              <w:t>55.4</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8"/>
              <w:jc w:val="center"/>
              <w:rPr>
                <w:sz w:val="24"/>
              </w:rPr>
            </w:pPr>
            <w:r>
              <w:rPr>
                <w:sz w:val="24"/>
              </w:rPr>
              <w:t>501-1000</w:t>
            </w:r>
          </w:p>
        </w:tc>
        <w:tc>
          <w:tcPr>
            <w:tcW w:w="1080" w:type="dxa"/>
          </w:tcPr>
          <w:p w:rsidR="00F3177F" w:rsidRDefault="0089671D">
            <w:pPr>
              <w:pStyle w:val="TableParagraph"/>
              <w:spacing w:line="268" w:lineRule="exact"/>
              <w:ind w:left="88" w:right="88"/>
              <w:jc w:val="center"/>
              <w:rPr>
                <w:sz w:val="24"/>
              </w:rPr>
            </w:pPr>
            <w:r>
              <w:rPr>
                <w:sz w:val="24"/>
              </w:rPr>
              <w:t>51.9</w:t>
            </w:r>
          </w:p>
        </w:tc>
        <w:tc>
          <w:tcPr>
            <w:tcW w:w="1260" w:type="dxa"/>
          </w:tcPr>
          <w:p w:rsidR="00F3177F" w:rsidRDefault="0089671D">
            <w:pPr>
              <w:pStyle w:val="TableParagraph"/>
              <w:spacing w:line="268" w:lineRule="exact"/>
              <w:ind w:left="72" w:right="74"/>
              <w:jc w:val="center"/>
              <w:rPr>
                <w:sz w:val="24"/>
              </w:rPr>
            </w:pPr>
            <w:r>
              <w:rPr>
                <w:sz w:val="24"/>
              </w:rPr>
              <w:t>14.4</w:t>
            </w:r>
          </w:p>
        </w:tc>
        <w:tc>
          <w:tcPr>
            <w:tcW w:w="1081" w:type="dxa"/>
          </w:tcPr>
          <w:p w:rsidR="00F3177F" w:rsidRDefault="0089671D">
            <w:pPr>
              <w:pStyle w:val="TableParagraph"/>
              <w:spacing w:line="268" w:lineRule="exact"/>
              <w:ind w:left="86" w:right="89"/>
              <w:jc w:val="center"/>
              <w:rPr>
                <w:sz w:val="24"/>
              </w:rPr>
            </w:pPr>
            <w:r>
              <w:rPr>
                <w:sz w:val="24"/>
              </w:rPr>
              <w:t>113.5</w:t>
            </w:r>
          </w:p>
        </w:tc>
        <w:tc>
          <w:tcPr>
            <w:tcW w:w="1260" w:type="dxa"/>
          </w:tcPr>
          <w:p w:rsidR="00F3177F" w:rsidRDefault="0089671D">
            <w:pPr>
              <w:pStyle w:val="TableParagraph"/>
              <w:spacing w:line="268" w:lineRule="exact"/>
              <w:ind w:left="72" w:right="74"/>
              <w:jc w:val="center"/>
              <w:rPr>
                <w:sz w:val="24"/>
              </w:rPr>
            </w:pPr>
            <w:r>
              <w:rPr>
                <w:sz w:val="24"/>
              </w:rPr>
              <w:t>26.8</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6"/>
              <w:jc w:val="center"/>
              <w:rPr>
                <w:sz w:val="24"/>
              </w:rPr>
            </w:pPr>
            <w:r>
              <w:rPr>
                <w:sz w:val="24"/>
              </w:rPr>
              <w:t>1001 or more</w:t>
            </w:r>
          </w:p>
        </w:tc>
        <w:tc>
          <w:tcPr>
            <w:tcW w:w="1080" w:type="dxa"/>
          </w:tcPr>
          <w:p w:rsidR="00F3177F" w:rsidRDefault="0089671D">
            <w:pPr>
              <w:pStyle w:val="TableParagraph"/>
              <w:spacing w:line="268" w:lineRule="exact"/>
              <w:ind w:left="88" w:right="88"/>
              <w:jc w:val="center"/>
              <w:rPr>
                <w:sz w:val="24"/>
              </w:rPr>
            </w:pPr>
            <w:r>
              <w:rPr>
                <w:sz w:val="24"/>
              </w:rPr>
              <w:t>43.6</w:t>
            </w:r>
          </w:p>
        </w:tc>
        <w:tc>
          <w:tcPr>
            <w:tcW w:w="1260" w:type="dxa"/>
          </w:tcPr>
          <w:p w:rsidR="00F3177F" w:rsidRDefault="0089671D">
            <w:pPr>
              <w:pStyle w:val="TableParagraph"/>
              <w:spacing w:line="268" w:lineRule="exact"/>
              <w:ind w:left="72" w:right="74"/>
              <w:jc w:val="center"/>
              <w:rPr>
                <w:sz w:val="24"/>
              </w:rPr>
            </w:pPr>
            <w:r>
              <w:rPr>
                <w:sz w:val="24"/>
              </w:rPr>
              <w:t>13.4</w:t>
            </w:r>
          </w:p>
        </w:tc>
        <w:tc>
          <w:tcPr>
            <w:tcW w:w="1081" w:type="dxa"/>
          </w:tcPr>
          <w:p w:rsidR="00F3177F" w:rsidRDefault="0089671D">
            <w:pPr>
              <w:pStyle w:val="TableParagraph"/>
              <w:spacing w:line="268" w:lineRule="exact"/>
              <w:ind w:left="86" w:right="89"/>
              <w:jc w:val="center"/>
              <w:rPr>
                <w:sz w:val="24"/>
              </w:rPr>
            </w:pPr>
            <w:r>
              <w:rPr>
                <w:sz w:val="24"/>
              </w:rPr>
              <w:t>134.2</w:t>
            </w:r>
          </w:p>
        </w:tc>
        <w:tc>
          <w:tcPr>
            <w:tcW w:w="1260" w:type="dxa"/>
          </w:tcPr>
          <w:p w:rsidR="00F3177F" w:rsidRDefault="0089671D">
            <w:pPr>
              <w:pStyle w:val="TableParagraph"/>
              <w:spacing w:line="268" w:lineRule="exact"/>
              <w:ind w:left="72" w:right="74"/>
              <w:jc w:val="center"/>
              <w:rPr>
                <w:sz w:val="24"/>
              </w:rPr>
            </w:pPr>
            <w:r>
              <w:rPr>
                <w:sz w:val="24"/>
              </w:rPr>
              <w:t>36.0</w:t>
            </w:r>
          </w:p>
        </w:tc>
      </w:tr>
      <w:tr w:rsidR="00F3177F">
        <w:trPr>
          <w:trHeight w:hRule="exact" w:val="288"/>
        </w:trPr>
        <w:tc>
          <w:tcPr>
            <w:tcW w:w="1440" w:type="dxa"/>
            <w:vMerge w:val="restart"/>
          </w:tcPr>
          <w:p w:rsidR="00F3177F" w:rsidRDefault="0089671D">
            <w:pPr>
              <w:pStyle w:val="TableParagraph"/>
              <w:spacing w:before="177" w:line="276" w:lineRule="exact"/>
              <w:ind w:left="87" w:right="85"/>
              <w:jc w:val="center"/>
              <w:rPr>
                <w:sz w:val="24"/>
              </w:rPr>
            </w:pPr>
            <w:r>
              <w:rPr>
                <w:sz w:val="24"/>
              </w:rPr>
              <w:t>Total School Building Area (m</w:t>
            </w:r>
            <w:r>
              <w:rPr>
                <w:position w:val="11"/>
                <w:sz w:val="16"/>
              </w:rPr>
              <w:t>2</w:t>
            </w:r>
            <w:r>
              <w:rPr>
                <w:sz w:val="24"/>
              </w:rPr>
              <w:t>)</w:t>
            </w:r>
          </w:p>
        </w:tc>
        <w:tc>
          <w:tcPr>
            <w:tcW w:w="2341" w:type="dxa"/>
          </w:tcPr>
          <w:p w:rsidR="00F3177F" w:rsidRDefault="0089671D">
            <w:pPr>
              <w:pStyle w:val="TableParagraph"/>
              <w:spacing w:line="270" w:lineRule="exact"/>
              <w:ind w:left="76" w:right="78"/>
              <w:jc w:val="center"/>
              <w:rPr>
                <w:sz w:val="24"/>
              </w:rPr>
            </w:pPr>
            <w:r>
              <w:rPr>
                <w:sz w:val="24"/>
              </w:rPr>
              <w:t>0-1000</w:t>
            </w:r>
          </w:p>
        </w:tc>
        <w:tc>
          <w:tcPr>
            <w:tcW w:w="1080" w:type="dxa"/>
          </w:tcPr>
          <w:p w:rsidR="00F3177F" w:rsidRDefault="0089671D">
            <w:pPr>
              <w:pStyle w:val="TableParagraph"/>
              <w:spacing w:line="270" w:lineRule="exact"/>
              <w:ind w:left="86" w:right="89"/>
              <w:jc w:val="center"/>
              <w:rPr>
                <w:sz w:val="24"/>
              </w:rPr>
            </w:pPr>
            <w:r>
              <w:rPr>
                <w:sz w:val="24"/>
              </w:rPr>
              <w:t>173.4</w:t>
            </w:r>
          </w:p>
        </w:tc>
        <w:tc>
          <w:tcPr>
            <w:tcW w:w="1260" w:type="dxa"/>
          </w:tcPr>
          <w:p w:rsidR="00F3177F" w:rsidRDefault="0089671D">
            <w:pPr>
              <w:pStyle w:val="TableParagraph"/>
              <w:spacing w:line="270" w:lineRule="exact"/>
              <w:ind w:left="72" w:right="74"/>
              <w:jc w:val="center"/>
              <w:rPr>
                <w:sz w:val="24"/>
              </w:rPr>
            </w:pPr>
            <w:r>
              <w:rPr>
                <w:sz w:val="24"/>
              </w:rPr>
              <w:t>24.2</w:t>
            </w:r>
          </w:p>
        </w:tc>
        <w:tc>
          <w:tcPr>
            <w:tcW w:w="1081" w:type="dxa"/>
          </w:tcPr>
          <w:p w:rsidR="00F3177F" w:rsidRDefault="0089671D">
            <w:pPr>
              <w:pStyle w:val="TableParagraph"/>
              <w:spacing w:line="270" w:lineRule="exact"/>
              <w:ind w:left="86" w:right="89"/>
              <w:jc w:val="center"/>
              <w:rPr>
                <w:sz w:val="24"/>
              </w:rPr>
            </w:pPr>
            <w:r>
              <w:rPr>
                <w:sz w:val="24"/>
              </w:rPr>
              <w:t>241.6</w:t>
            </w:r>
          </w:p>
        </w:tc>
        <w:tc>
          <w:tcPr>
            <w:tcW w:w="1260" w:type="dxa"/>
          </w:tcPr>
          <w:p w:rsidR="00F3177F" w:rsidRDefault="0089671D">
            <w:pPr>
              <w:pStyle w:val="TableParagraph"/>
              <w:spacing w:line="270" w:lineRule="exact"/>
              <w:ind w:left="72" w:right="74"/>
              <w:jc w:val="center"/>
              <w:rPr>
                <w:sz w:val="24"/>
              </w:rPr>
            </w:pPr>
            <w:r>
              <w:rPr>
                <w:sz w:val="24"/>
              </w:rPr>
              <w:t>67.3</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7" w:right="78"/>
              <w:jc w:val="center"/>
              <w:rPr>
                <w:sz w:val="24"/>
              </w:rPr>
            </w:pPr>
            <w:r>
              <w:rPr>
                <w:sz w:val="24"/>
              </w:rPr>
              <w:t>1001-3000</w:t>
            </w:r>
          </w:p>
        </w:tc>
        <w:tc>
          <w:tcPr>
            <w:tcW w:w="1080" w:type="dxa"/>
          </w:tcPr>
          <w:p w:rsidR="00F3177F" w:rsidRDefault="0089671D">
            <w:pPr>
              <w:pStyle w:val="TableParagraph"/>
              <w:spacing w:line="268" w:lineRule="exact"/>
              <w:ind w:left="88" w:right="88"/>
              <w:jc w:val="center"/>
              <w:rPr>
                <w:sz w:val="24"/>
              </w:rPr>
            </w:pPr>
            <w:r>
              <w:rPr>
                <w:sz w:val="24"/>
              </w:rPr>
              <w:t>70.5</w:t>
            </w:r>
          </w:p>
        </w:tc>
        <w:tc>
          <w:tcPr>
            <w:tcW w:w="1260" w:type="dxa"/>
          </w:tcPr>
          <w:p w:rsidR="00F3177F" w:rsidRDefault="0089671D">
            <w:pPr>
              <w:pStyle w:val="TableParagraph"/>
              <w:spacing w:line="268" w:lineRule="exact"/>
              <w:ind w:left="72" w:right="72"/>
              <w:jc w:val="center"/>
              <w:rPr>
                <w:sz w:val="24"/>
              </w:rPr>
            </w:pPr>
            <w:r>
              <w:rPr>
                <w:sz w:val="24"/>
              </w:rPr>
              <w:t>8.5</w:t>
            </w:r>
          </w:p>
        </w:tc>
        <w:tc>
          <w:tcPr>
            <w:tcW w:w="1081" w:type="dxa"/>
          </w:tcPr>
          <w:p w:rsidR="00F3177F" w:rsidRDefault="0089671D">
            <w:pPr>
              <w:pStyle w:val="TableParagraph"/>
              <w:spacing w:line="268" w:lineRule="exact"/>
              <w:ind w:left="86" w:right="89"/>
              <w:jc w:val="center"/>
              <w:rPr>
                <w:sz w:val="24"/>
              </w:rPr>
            </w:pPr>
            <w:r>
              <w:rPr>
                <w:sz w:val="24"/>
              </w:rPr>
              <w:t>154.9</w:t>
            </w:r>
          </w:p>
        </w:tc>
        <w:tc>
          <w:tcPr>
            <w:tcW w:w="1260" w:type="dxa"/>
          </w:tcPr>
          <w:p w:rsidR="00F3177F" w:rsidRDefault="0089671D">
            <w:pPr>
              <w:pStyle w:val="TableParagraph"/>
              <w:spacing w:line="268" w:lineRule="exact"/>
              <w:ind w:left="72" w:right="74"/>
              <w:jc w:val="center"/>
              <w:rPr>
                <w:sz w:val="24"/>
              </w:rPr>
            </w:pPr>
            <w:r>
              <w:rPr>
                <w:sz w:val="24"/>
              </w:rPr>
              <w:t>41.9</w:t>
            </w:r>
          </w:p>
        </w:tc>
      </w:tr>
      <w:tr w:rsidR="00F3177F">
        <w:trPr>
          <w:trHeight w:hRule="exact" w:val="314"/>
        </w:trPr>
        <w:tc>
          <w:tcPr>
            <w:tcW w:w="1440" w:type="dxa"/>
            <w:vMerge/>
          </w:tcPr>
          <w:p w:rsidR="00F3177F" w:rsidRDefault="00F3177F"/>
        </w:tc>
        <w:tc>
          <w:tcPr>
            <w:tcW w:w="2341" w:type="dxa"/>
          </w:tcPr>
          <w:p w:rsidR="00F3177F" w:rsidRDefault="0089671D">
            <w:pPr>
              <w:pStyle w:val="TableParagraph"/>
              <w:spacing w:before="6"/>
              <w:ind w:left="77" w:right="78"/>
              <w:jc w:val="center"/>
              <w:rPr>
                <w:sz w:val="24"/>
              </w:rPr>
            </w:pPr>
            <w:r>
              <w:rPr>
                <w:sz w:val="24"/>
              </w:rPr>
              <w:t>3001-5000</w:t>
            </w:r>
          </w:p>
        </w:tc>
        <w:tc>
          <w:tcPr>
            <w:tcW w:w="1080" w:type="dxa"/>
          </w:tcPr>
          <w:p w:rsidR="00F3177F" w:rsidRDefault="0089671D">
            <w:pPr>
              <w:pStyle w:val="TableParagraph"/>
              <w:spacing w:before="6"/>
              <w:ind w:left="88" w:right="88"/>
              <w:jc w:val="center"/>
              <w:rPr>
                <w:sz w:val="24"/>
              </w:rPr>
            </w:pPr>
            <w:r>
              <w:rPr>
                <w:sz w:val="24"/>
              </w:rPr>
              <w:t>56.8</w:t>
            </w:r>
          </w:p>
        </w:tc>
        <w:tc>
          <w:tcPr>
            <w:tcW w:w="1260" w:type="dxa"/>
          </w:tcPr>
          <w:p w:rsidR="00F3177F" w:rsidRDefault="0089671D">
            <w:pPr>
              <w:pStyle w:val="TableParagraph"/>
              <w:spacing w:before="6"/>
              <w:ind w:left="72" w:right="74"/>
              <w:jc w:val="center"/>
              <w:rPr>
                <w:sz w:val="24"/>
              </w:rPr>
            </w:pPr>
            <w:r>
              <w:rPr>
                <w:sz w:val="24"/>
              </w:rPr>
              <w:t>14.2</w:t>
            </w:r>
          </w:p>
        </w:tc>
        <w:tc>
          <w:tcPr>
            <w:tcW w:w="1081" w:type="dxa"/>
          </w:tcPr>
          <w:p w:rsidR="00F3177F" w:rsidRDefault="0089671D">
            <w:pPr>
              <w:pStyle w:val="TableParagraph"/>
              <w:spacing w:before="6"/>
              <w:ind w:left="88" w:right="89"/>
              <w:jc w:val="center"/>
              <w:rPr>
                <w:sz w:val="24"/>
              </w:rPr>
            </w:pPr>
            <w:r>
              <w:rPr>
                <w:sz w:val="24"/>
              </w:rPr>
              <w:t>95.9</w:t>
            </w:r>
          </w:p>
        </w:tc>
        <w:tc>
          <w:tcPr>
            <w:tcW w:w="1260" w:type="dxa"/>
          </w:tcPr>
          <w:p w:rsidR="00F3177F" w:rsidRDefault="0089671D">
            <w:pPr>
              <w:pStyle w:val="TableParagraph"/>
              <w:spacing w:before="6"/>
              <w:ind w:left="72" w:right="74"/>
              <w:jc w:val="center"/>
              <w:rPr>
                <w:sz w:val="24"/>
              </w:rPr>
            </w:pPr>
            <w:r>
              <w:rPr>
                <w:sz w:val="24"/>
              </w:rPr>
              <w:t>25.0</w:t>
            </w:r>
          </w:p>
        </w:tc>
      </w:tr>
      <w:tr w:rsidR="00F3177F">
        <w:trPr>
          <w:trHeight w:hRule="exact" w:val="314"/>
        </w:trPr>
        <w:tc>
          <w:tcPr>
            <w:tcW w:w="1440" w:type="dxa"/>
            <w:vMerge/>
          </w:tcPr>
          <w:p w:rsidR="00F3177F" w:rsidRDefault="00F3177F"/>
        </w:tc>
        <w:tc>
          <w:tcPr>
            <w:tcW w:w="2341" w:type="dxa"/>
          </w:tcPr>
          <w:p w:rsidR="00F3177F" w:rsidRDefault="0089671D">
            <w:pPr>
              <w:pStyle w:val="TableParagraph"/>
              <w:spacing w:before="6"/>
              <w:ind w:left="77" w:right="78"/>
              <w:jc w:val="center"/>
              <w:rPr>
                <w:sz w:val="24"/>
              </w:rPr>
            </w:pPr>
            <w:r>
              <w:rPr>
                <w:sz w:val="24"/>
              </w:rPr>
              <w:t>5001+</w:t>
            </w:r>
          </w:p>
        </w:tc>
        <w:tc>
          <w:tcPr>
            <w:tcW w:w="1080" w:type="dxa"/>
          </w:tcPr>
          <w:p w:rsidR="00F3177F" w:rsidRDefault="0089671D">
            <w:pPr>
              <w:pStyle w:val="TableParagraph"/>
              <w:spacing w:before="6"/>
              <w:ind w:left="88" w:right="88"/>
              <w:jc w:val="center"/>
              <w:rPr>
                <w:sz w:val="24"/>
              </w:rPr>
            </w:pPr>
            <w:r>
              <w:rPr>
                <w:sz w:val="24"/>
              </w:rPr>
              <w:t>37.4</w:t>
            </w:r>
          </w:p>
        </w:tc>
        <w:tc>
          <w:tcPr>
            <w:tcW w:w="1260" w:type="dxa"/>
          </w:tcPr>
          <w:p w:rsidR="00F3177F" w:rsidRDefault="0089671D">
            <w:pPr>
              <w:pStyle w:val="TableParagraph"/>
              <w:spacing w:before="6"/>
              <w:ind w:left="72" w:right="74"/>
              <w:jc w:val="center"/>
              <w:rPr>
                <w:sz w:val="24"/>
              </w:rPr>
            </w:pPr>
            <w:r>
              <w:rPr>
                <w:sz w:val="24"/>
              </w:rPr>
              <w:t>11.5</w:t>
            </w:r>
          </w:p>
        </w:tc>
        <w:tc>
          <w:tcPr>
            <w:tcW w:w="1081" w:type="dxa"/>
          </w:tcPr>
          <w:p w:rsidR="00F3177F" w:rsidRDefault="0089671D">
            <w:pPr>
              <w:pStyle w:val="TableParagraph"/>
              <w:spacing w:before="6"/>
              <w:ind w:left="88" w:right="89"/>
              <w:jc w:val="center"/>
              <w:rPr>
                <w:sz w:val="24"/>
              </w:rPr>
            </w:pPr>
            <w:r>
              <w:rPr>
                <w:sz w:val="24"/>
              </w:rPr>
              <w:t>69.3</w:t>
            </w:r>
          </w:p>
        </w:tc>
        <w:tc>
          <w:tcPr>
            <w:tcW w:w="1260" w:type="dxa"/>
          </w:tcPr>
          <w:p w:rsidR="00F3177F" w:rsidRDefault="0089671D">
            <w:pPr>
              <w:pStyle w:val="TableParagraph"/>
              <w:spacing w:before="6"/>
              <w:ind w:left="72" w:right="74"/>
              <w:jc w:val="center"/>
              <w:rPr>
                <w:sz w:val="24"/>
              </w:rPr>
            </w:pPr>
            <w:r>
              <w:rPr>
                <w:sz w:val="24"/>
              </w:rPr>
              <w:t>18.6</w:t>
            </w:r>
          </w:p>
        </w:tc>
      </w:tr>
      <w:tr w:rsidR="00F3177F">
        <w:trPr>
          <w:trHeight w:hRule="exact" w:val="286"/>
        </w:trPr>
        <w:tc>
          <w:tcPr>
            <w:tcW w:w="1440" w:type="dxa"/>
            <w:vMerge w:val="restart"/>
          </w:tcPr>
          <w:p w:rsidR="00F3177F" w:rsidRDefault="0089671D">
            <w:pPr>
              <w:pStyle w:val="TableParagraph"/>
              <w:ind w:left="544" w:hanging="435"/>
              <w:rPr>
                <w:sz w:val="24"/>
              </w:rPr>
            </w:pPr>
            <w:r>
              <w:rPr>
                <w:sz w:val="24"/>
              </w:rPr>
              <w:t>Floor Height (m)</w:t>
            </w:r>
          </w:p>
        </w:tc>
        <w:tc>
          <w:tcPr>
            <w:tcW w:w="2341" w:type="dxa"/>
          </w:tcPr>
          <w:p w:rsidR="00F3177F" w:rsidRDefault="0089671D">
            <w:pPr>
              <w:pStyle w:val="TableParagraph"/>
              <w:spacing w:line="268" w:lineRule="exact"/>
              <w:ind w:left="77" w:right="78"/>
              <w:jc w:val="center"/>
              <w:rPr>
                <w:sz w:val="24"/>
              </w:rPr>
            </w:pPr>
            <w:r>
              <w:rPr>
                <w:sz w:val="24"/>
              </w:rPr>
              <w:t>2.7-3</w:t>
            </w:r>
          </w:p>
        </w:tc>
        <w:tc>
          <w:tcPr>
            <w:tcW w:w="1080" w:type="dxa"/>
          </w:tcPr>
          <w:p w:rsidR="00F3177F" w:rsidRDefault="0089671D">
            <w:pPr>
              <w:pStyle w:val="TableParagraph"/>
              <w:spacing w:line="268" w:lineRule="exact"/>
              <w:ind w:left="86" w:right="89"/>
              <w:jc w:val="center"/>
              <w:rPr>
                <w:sz w:val="24"/>
              </w:rPr>
            </w:pPr>
            <w:r>
              <w:rPr>
                <w:sz w:val="24"/>
              </w:rPr>
              <w:t>105.5</w:t>
            </w:r>
          </w:p>
        </w:tc>
        <w:tc>
          <w:tcPr>
            <w:tcW w:w="1260" w:type="dxa"/>
          </w:tcPr>
          <w:p w:rsidR="00F3177F" w:rsidRDefault="0089671D">
            <w:pPr>
              <w:pStyle w:val="TableParagraph"/>
              <w:spacing w:line="268" w:lineRule="exact"/>
              <w:ind w:left="72" w:right="72"/>
              <w:jc w:val="center"/>
              <w:rPr>
                <w:sz w:val="24"/>
              </w:rPr>
            </w:pPr>
            <w:r>
              <w:rPr>
                <w:sz w:val="24"/>
              </w:rPr>
              <w:t>8.6</w:t>
            </w:r>
          </w:p>
        </w:tc>
        <w:tc>
          <w:tcPr>
            <w:tcW w:w="1081" w:type="dxa"/>
          </w:tcPr>
          <w:p w:rsidR="00F3177F" w:rsidRDefault="0089671D">
            <w:pPr>
              <w:pStyle w:val="TableParagraph"/>
              <w:spacing w:line="268" w:lineRule="exact"/>
              <w:ind w:left="86" w:right="89"/>
              <w:jc w:val="center"/>
              <w:rPr>
                <w:sz w:val="24"/>
              </w:rPr>
            </w:pPr>
            <w:r>
              <w:rPr>
                <w:sz w:val="24"/>
              </w:rPr>
              <w:t>201.1</w:t>
            </w:r>
          </w:p>
        </w:tc>
        <w:tc>
          <w:tcPr>
            <w:tcW w:w="1260" w:type="dxa"/>
          </w:tcPr>
          <w:p w:rsidR="00F3177F" w:rsidRDefault="0089671D">
            <w:pPr>
              <w:pStyle w:val="TableParagraph"/>
              <w:spacing w:line="268" w:lineRule="exact"/>
              <w:ind w:left="72" w:right="74"/>
              <w:jc w:val="center"/>
              <w:rPr>
                <w:sz w:val="24"/>
              </w:rPr>
            </w:pPr>
            <w:r>
              <w:rPr>
                <w:sz w:val="24"/>
              </w:rPr>
              <w:t>57.5</w:t>
            </w:r>
          </w:p>
        </w:tc>
      </w:tr>
      <w:tr w:rsidR="00F3177F">
        <w:trPr>
          <w:trHeight w:hRule="exact" w:val="288"/>
        </w:trPr>
        <w:tc>
          <w:tcPr>
            <w:tcW w:w="1440" w:type="dxa"/>
            <w:vMerge/>
          </w:tcPr>
          <w:p w:rsidR="00F3177F" w:rsidRDefault="00F3177F"/>
        </w:tc>
        <w:tc>
          <w:tcPr>
            <w:tcW w:w="2341" w:type="dxa"/>
          </w:tcPr>
          <w:p w:rsidR="00F3177F" w:rsidRDefault="0089671D">
            <w:pPr>
              <w:pStyle w:val="TableParagraph"/>
              <w:spacing w:line="270" w:lineRule="exact"/>
              <w:ind w:left="619"/>
              <w:rPr>
                <w:sz w:val="24"/>
              </w:rPr>
            </w:pPr>
            <w:r>
              <w:rPr>
                <w:sz w:val="24"/>
              </w:rPr>
              <w:t>3.1 or more</w:t>
            </w:r>
          </w:p>
        </w:tc>
        <w:tc>
          <w:tcPr>
            <w:tcW w:w="1080" w:type="dxa"/>
          </w:tcPr>
          <w:p w:rsidR="00F3177F" w:rsidRDefault="0089671D">
            <w:pPr>
              <w:pStyle w:val="TableParagraph"/>
              <w:spacing w:line="270" w:lineRule="exact"/>
              <w:ind w:left="88" w:right="88"/>
              <w:jc w:val="center"/>
              <w:rPr>
                <w:sz w:val="24"/>
              </w:rPr>
            </w:pPr>
            <w:r>
              <w:rPr>
                <w:sz w:val="24"/>
              </w:rPr>
              <w:t>59.3</w:t>
            </w:r>
          </w:p>
        </w:tc>
        <w:tc>
          <w:tcPr>
            <w:tcW w:w="1260" w:type="dxa"/>
          </w:tcPr>
          <w:p w:rsidR="00F3177F" w:rsidRDefault="0089671D">
            <w:pPr>
              <w:pStyle w:val="TableParagraph"/>
              <w:spacing w:line="270" w:lineRule="exact"/>
              <w:ind w:left="72" w:right="74"/>
              <w:jc w:val="center"/>
              <w:rPr>
                <w:sz w:val="24"/>
              </w:rPr>
            </w:pPr>
            <w:r>
              <w:rPr>
                <w:sz w:val="24"/>
              </w:rPr>
              <w:t>15.1</w:t>
            </w:r>
          </w:p>
        </w:tc>
        <w:tc>
          <w:tcPr>
            <w:tcW w:w="1081" w:type="dxa"/>
          </w:tcPr>
          <w:p w:rsidR="00F3177F" w:rsidRDefault="0089671D">
            <w:pPr>
              <w:pStyle w:val="TableParagraph"/>
              <w:spacing w:line="270" w:lineRule="exact"/>
              <w:ind w:left="86" w:right="89"/>
              <w:jc w:val="center"/>
              <w:rPr>
                <w:sz w:val="24"/>
              </w:rPr>
            </w:pPr>
            <w:r>
              <w:rPr>
                <w:sz w:val="24"/>
              </w:rPr>
              <w:t>152.8</w:t>
            </w:r>
          </w:p>
        </w:tc>
        <w:tc>
          <w:tcPr>
            <w:tcW w:w="1260" w:type="dxa"/>
          </w:tcPr>
          <w:p w:rsidR="00F3177F" w:rsidRDefault="0089671D">
            <w:pPr>
              <w:pStyle w:val="TableParagraph"/>
              <w:spacing w:line="270" w:lineRule="exact"/>
              <w:ind w:left="72" w:right="74"/>
              <w:jc w:val="center"/>
              <w:rPr>
                <w:sz w:val="24"/>
              </w:rPr>
            </w:pPr>
            <w:r>
              <w:rPr>
                <w:sz w:val="24"/>
              </w:rPr>
              <w:t>39.7</w:t>
            </w:r>
          </w:p>
        </w:tc>
      </w:tr>
      <w:tr w:rsidR="00F3177F">
        <w:trPr>
          <w:trHeight w:hRule="exact" w:val="286"/>
        </w:trPr>
        <w:tc>
          <w:tcPr>
            <w:tcW w:w="1440" w:type="dxa"/>
            <w:vMerge w:val="restart"/>
          </w:tcPr>
          <w:p w:rsidR="00F3177F" w:rsidRDefault="0089671D">
            <w:pPr>
              <w:pStyle w:val="TableParagraph"/>
              <w:ind w:left="302" w:firstLine="158"/>
              <w:rPr>
                <w:sz w:val="24"/>
              </w:rPr>
            </w:pPr>
            <w:r>
              <w:rPr>
                <w:sz w:val="24"/>
              </w:rPr>
              <w:t>Extra Building</w:t>
            </w:r>
          </w:p>
        </w:tc>
        <w:tc>
          <w:tcPr>
            <w:tcW w:w="2341" w:type="dxa"/>
          </w:tcPr>
          <w:p w:rsidR="00F3177F" w:rsidRDefault="0089671D">
            <w:pPr>
              <w:pStyle w:val="TableParagraph"/>
              <w:spacing w:line="268" w:lineRule="exact"/>
              <w:ind w:left="78" w:right="78"/>
              <w:jc w:val="center"/>
              <w:rPr>
                <w:sz w:val="24"/>
              </w:rPr>
            </w:pPr>
            <w:r>
              <w:rPr>
                <w:sz w:val="24"/>
              </w:rPr>
              <w:t>Yes</w:t>
            </w:r>
          </w:p>
        </w:tc>
        <w:tc>
          <w:tcPr>
            <w:tcW w:w="1080" w:type="dxa"/>
          </w:tcPr>
          <w:p w:rsidR="00F3177F" w:rsidRDefault="0089671D">
            <w:pPr>
              <w:pStyle w:val="TableParagraph"/>
              <w:spacing w:line="268" w:lineRule="exact"/>
              <w:ind w:left="88" w:right="88"/>
              <w:jc w:val="center"/>
              <w:rPr>
                <w:sz w:val="24"/>
              </w:rPr>
            </w:pPr>
            <w:r>
              <w:rPr>
                <w:sz w:val="24"/>
              </w:rPr>
              <w:t>46.5</w:t>
            </w:r>
          </w:p>
        </w:tc>
        <w:tc>
          <w:tcPr>
            <w:tcW w:w="1260" w:type="dxa"/>
          </w:tcPr>
          <w:p w:rsidR="00F3177F" w:rsidRDefault="0089671D">
            <w:pPr>
              <w:pStyle w:val="TableParagraph"/>
              <w:spacing w:line="268" w:lineRule="exact"/>
              <w:ind w:left="72" w:right="74"/>
              <w:jc w:val="center"/>
              <w:rPr>
                <w:sz w:val="24"/>
              </w:rPr>
            </w:pPr>
            <w:r>
              <w:rPr>
                <w:sz w:val="24"/>
              </w:rPr>
              <w:t>12.3</w:t>
            </w:r>
          </w:p>
        </w:tc>
        <w:tc>
          <w:tcPr>
            <w:tcW w:w="1081" w:type="dxa"/>
          </w:tcPr>
          <w:p w:rsidR="00F3177F" w:rsidRDefault="0089671D">
            <w:pPr>
              <w:pStyle w:val="TableParagraph"/>
              <w:spacing w:line="268" w:lineRule="exact"/>
              <w:ind w:left="86" w:right="89"/>
              <w:jc w:val="center"/>
              <w:rPr>
                <w:sz w:val="24"/>
              </w:rPr>
            </w:pPr>
            <w:r>
              <w:rPr>
                <w:sz w:val="24"/>
              </w:rPr>
              <w:t>116.7</w:t>
            </w:r>
          </w:p>
        </w:tc>
        <w:tc>
          <w:tcPr>
            <w:tcW w:w="1260" w:type="dxa"/>
          </w:tcPr>
          <w:p w:rsidR="00F3177F" w:rsidRDefault="0089671D">
            <w:pPr>
              <w:pStyle w:val="TableParagraph"/>
              <w:spacing w:line="268" w:lineRule="exact"/>
              <w:ind w:left="72" w:right="74"/>
              <w:jc w:val="center"/>
              <w:rPr>
                <w:sz w:val="24"/>
              </w:rPr>
            </w:pPr>
            <w:r>
              <w:rPr>
                <w:sz w:val="24"/>
              </w:rPr>
              <w:t>29.9</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8"/>
              <w:jc w:val="center"/>
              <w:rPr>
                <w:sz w:val="24"/>
              </w:rPr>
            </w:pPr>
            <w:r>
              <w:rPr>
                <w:sz w:val="24"/>
              </w:rPr>
              <w:t>No</w:t>
            </w:r>
          </w:p>
        </w:tc>
        <w:tc>
          <w:tcPr>
            <w:tcW w:w="1080" w:type="dxa"/>
          </w:tcPr>
          <w:p w:rsidR="00F3177F" w:rsidRDefault="0089671D">
            <w:pPr>
              <w:pStyle w:val="TableParagraph"/>
              <w:spacing w:line="268" w:lineRule="exact"/>
              <w:ind w:left="86" w:right="89"/>
              <w:jc w:val="center"/>
              <w:rPr>
                <w:sz w:val="24"/>
              </w:rPr>
            </w:pPr>
            <w:r>
              <w:rPr>
                <w:sz w:val="24"/>
              </w:rPr>
              <w:t>103.9</w:t>
            </w:r>
          </w:p>
        </w:tc>
        <w:tc>
          <w:tcPr>
            <w:tcW w:w="1260" w:type="dxa"/>
          </w:tcPr>
          <w:p w:rsidR="00F3177F" w:rsidRDefault="0089671D">
            <w:pPr>
              <w:pStyle w:val="TableParagraph"/>
              <w:spacing w:line="268" w:lineRule="exact"/>
              <w:ind w:left="72" w:right="74"/>
              <w:jc w:val="center"/>
              <w:rPr>
                <w:sz w:val="24"/>
              </w:rPr>
            </w:pPr>
            <w:r>
              <w:rPr>
                <w:sz w:val="24"/>
              </w:rPr>
              <w:t>15.7</w:t>
            </w:r>
          </w:p>
        </w:tc>
        <w:tc>
          <w:tcPr>
            <w:tcW w:w="1081" w:type="dxa"/>
          </w:tcPr>
          <w:p w:rsidR="00F3177F" w:rsidRDefault="0089671D">
            <w:pPr>
              <w:pStyle w:val="TableParagraph"/>
              <w:spacing w:line="268" w:lineRule="exact"/>
              <w:ind w:left="86" w:right="89"/>
              <w:jc w:val="center"/>
              <w:rPr>
                <w:sz w:val="24"/>
              </w:rPr>
            </w:pPr>
            <w:r>
              <w:rPr>
                <w:sz w:val="24"/>
              </w:rPr>
              <w:t>183.5</w:t>
            </w:r>
          </w:p>
        </w:tc>
        <w:tc>
          <w:tcPr>
            <w:tcW w:w="1260" w:type="dxa"/>
          </w:tcPr>
          <w:p w:rsidR="00F3177F" w:rsidRDefault="0089671D">
            <w:pPr>
              <w:pStyle w:val="TableParagraph"/>
              <w:spacing w:line="268" w:lineRule="exact"/>
              <w:ind w:left="72" w:right="74"/>
              <w:jc w:val="center"/>
              <w:rPr>
                <w:sz w:val="24"/>
              </w:rPr>
            </w:pPr>
            <w:r>
              <w:rPr>
                <w:sz w:val="24"/>
              </w:rPr>
              <w:t>50.6</w:t>
            </w:r>
          </w:p>
        </w:tc>
      </w:tr>
      <w:tr w:rsidR="00F3177F">
        <w:trPr>
          <w:trHeight w:hRule="exact" w:val="286"/>
        </w:trPr>
        <w:tc>
          <w:tcPr>
            <w:tcW w:w="1440" w:type="dxa"/>
            <w:vMerge w:val="restart"/>
          </w:tcPr>
          <w:p w:rsidR="00F3177F" w:rsidRDefault="00F3177F">
            <w:pPr>
              <w:pStyle w:val="TableParagraph"/>
              <w:rPr>
                <w:sz w:val="24"/>
              </w:rPr>
            </w:pPr>
          </w:p>
          <w:p w:rsidR="00F3177F" w:rsidRDefault="0089671D">
            <w:pPr>
              <w:pStyle w:val="TableParagraph"/>
              <w:spacing w:before="150"/>
              <w:ind w:left="472" w:hanging="96"/>
              <w:rPr>
                <w:sz w:val="24"/>
              </w:rPr>
            </w:pPr>
            <w:r>
              <w:rPr>
                <w:sz w:val="24"/>
              </w:rPr>
              <w:t>Energy Type</w:t>
            </w:r>
          </w:p>
        </w:tc>
        <w:tc>
          <w:tcPr>
            <w:tcW w:w="2341" w:type="dxa"/>
          </w:tcPr>
          <w:p w:rsidR="00F3177F" w:rsidRDefault="0089671D">
            <w:pPr>
              <w:pStyle w:val="TableParagraph"/>
              <w:spacing w:line="268" w:lineRule="exact"/>
              <w:ind w:left="77" w:right="78"/>
              <w:jc w:val="center"/>
              <w:rPr>
                <w:sz w:val="24"/>
              </w:rPr>
            </w:pPr>
            <w:r>
              <w:rPr>
                <w:sz w:val="24"/>
              </w:rPr>
              <w:t>Electricity + wood</w:t>
            </w:r>
          </w:p>
        </w:tc>
        <w:tc>
          <w:tcPr>
            <w:tcW w:w="1080" w:type="dxa"/>
          </w:tcPr>
          <w:p w:rsidR="00F3177F" w:rsidRDefault="0089671D">
            <w:pPr>
              <w:pStyle w:val="TableParagraph"/>
              <w:spacing w:line="268" w:lineRule="exact"/>
              <w:ind w:left="88" w:right="88"/>
              <w:jc w:val="center"/>
              <w:rPr>
                <w:sz w:val="24"/>
              </w:rPr>
            </w:pPr>
            <w:r>
              <w:rPr>
                <w:sz w:val="24"/>
              </w:rPr>
              <w:t>93.0</w:t>
            </w:r>
          </w:p>
        </w:tc>
        <w:tc>
          <w:tcPr>
            <w:tcW w:w="1260" w:type="dxa"/>
          </w:tcPr>
          <w:p w:rsidR="00F3177F" w:rsidRDefault="0089671D">
            <w:pPr>
              <w:pStyle w:val="TableParagraph"/>
              <w:spacing w:line="268" w:lineRule="exact"/>
              <w:ind w:left="72" w:right="72"/>
              <w:jc w:val="center"/>
              <w:rPr>
                <w:sz w:val="24"/>
              </w:rPr>
            </w:pPr>
            <w:r>
              <w:rPr>
                <w:sz w:val="24"/>
              </w:rPr>
              <w:t>6.1</w:t>
            </w:r>
          </w:p>
        </w:tc>
        <w:tc>
          <w:tcPr>
            <w:tcW w:w="1081" w:type="dxa"/>
          </w:tcPr>
          <w:p w:rsidR="00F3177F" w:rsidRDefault="0089671D">
            <w:pPr>
              <w:pStyle w:val="TableParagraph"/>
              <w:spacing w:line="268" w:lineRule="exact"/>
              <w:ind w:left="88" w:right="89"/>
              <w:jc w:val="center"/>
              <w:rPr>
                <w:sz w:val="24"/>
              </w:rPr>
            </w:pPr>
            <w:r>
              <w:rPr>
                <w:sz w:val="24"/>
              </w:rPr>
              <w:t>40.6</w:t>
            </w:r>
          </w:p>
        </w:tc>
        <w:tc>
          <w:tcPr>
            <w:tcW w:w="1260" w:type="dxa"/>
          </w:tcPr>
          <w:p w:rsidR="00F3177F" w:rsidRDefault="0089671D">
            <w:pPr>
              <w:pStyle w:val="TableParagraph"/>
              <w:spacing w:line="268" w:lineRule="exact"/>
              <w:ind w:left="72" w:right="72"/>
              <w:jc w:val="center"/>
              <w:rPr>
                <w:sz w:val="24"/>
              </w:rPr>
            </w:pPr>
            <w:r>
              <w:rPr>
                <w:sz w:val="24"/>
              </w:rPr>
              <w:t>3.9</w:t>
            </w:r>
          </w:p>
        </w:tc>
      </w:tr>
      <w:tr w:rsidR="00F3177F">
        <w:trPr>
          <w:trHeight w:hRule="exact" w:val="286"/>
        </w:trPr>
        <w:tc>
          <w:tcPr>
            <w:tcW w:w="1440" w:type="dxa"/>
            <w:vMerge/>
          </w:tcPr>
          <w:p w:rsidR="00F3177F" w:rsidRDefault="00F3177F"/>
        </w:tc>
        <w:tc>
          <w:tcPr>
            <w:tcW w:w="2341" w:type="dxa"/>
          </w:tcPr>
          <w:p w:rsidR="00F3177F" w:rsidRDefault="0089671D">
            <w:pPr>
              <w:pStyle w:val="TableParagraph"/>
              <w:spacing w:line="268" w:lineRule="exact"/>
              <w:ind w:left="78" w:right="78"/>
              <w:jc w:val="center"/>
              <w:rPr>
                <w:sz w:val="24"/>
              </w:rPr>
            </w:pPr>
            <w:r>
              <w:rPr>
                <w:sz w:val="24"/>
              </w:rPr>
              <w:t>Electricity + Oil</w:t>
            </w:r>
          </w:p>
        </w:tc>
        <w:tc>
          <w:tcPr>
            <w:tcW w:w="1080" w:type="dxa"/>
          </w:tcPr>
          <w:p w:rsidR="00F3177F" w:rsidRDefault="0089671D">
            <w:pPr>
              <w:pStyle w:val="TableParagraph"/>
              <w:spacing w:line="268" w:lineRule="exact"/>
              <w:ind w:left="88" w:right="88"/>
              <w:jc w:val="center"/>
              <w:rPr>
                <w:sz w:val="24"/>
              </w:rPr>
            </w:pPr>
            <w:r>
              <w:rPr>
                <w:sz w:val="24"/>
              </w:rPr>
              <w:t>58.0</w:t>
            </w:r>
          </w:p>
        </w:tc>
        <w:tc>
          <w:tcPr>
            <w:tcW w:w="1260" w:type="dxa"/>
            <w:tcBorders>
              <w:right w:val="single" w:sz="41" w:space="0" w:color="FFFF66"/>
            </w:tcBorders>
          </w:tcPr>
          <w:p w:rsidR="00F3177F" w:rsidRDefault="0089671D">
            <w:pPr>
              <w:pStyle w:val="TableParagraph"/>
              <w:spacing w:line="268" w:lineRule="exact"/>
              <w:ind w:left="392" w:right="351"/>
              <w:jc w:val="center"/>
              <w:rPr>
                <w:sz w:val="24"/>
              </w:rPr>
            </w:pPr>
            <w:r>
              <w:rPr>
                <w:sz w:val="24"/>
              </w:rPr>
              <w:t>17.4</w:t>
            </w:r>
          </w:p>
        </w:tc>
        <w:tc>
          <w:tcPr>
            <w:tcW w:w="1081" w:type="dxa"/>
            <w:shd w:val="clear" w:color="auto" w:fill="FFFF66"/>
          </w:tcPr>
          <w:p w:rsidR="00F3177F" w:rsidRDefault="00F3177F"/>
        </w:tc>
        <w:tc>
          <w:tcPr>
            <w:tcW w:w="1260" w:type="dxa"/>
            <w:shd w:val="clear" w:color="auto" w:fill="FFFF66"/>
          </w:tcPr>
          <w:p w:rsidR="00F3177F" w:rsidRDefault="00F3177F"/>
        </w:tc>
      </w:tr>
      <w:tr w:rsidR="00F3177F">
        <w:trPr>
          <w:trHeight w:hRule="exact" w:val="287"/>
        </w:trPr>
        <w:tc>
          <w:tcPr>
            <w:tcW w:w="1440" w:type="dxa"/>
            <w:vMerge/>
          </w:tcPr>
          <w:p w:rsidR="00F3177F" w:rsidRDefault="00F3177F"/>
        </w:tc>
        <w:tc>
          <w:tcPr>
            <w:tcW w:w="2341" w:type="dxa"/>
            <w:tcBorders>
              <w:right w:val="single" w:sz="45" w:space="0" w:color="FFFF66"/>
            </w:tcBorders>
          </w:tcPr>
          <w:p w:rsidR="00F3177F" w:rsidRDefault="0089671D">
            <w:pPr>
              <w:pStyle w:val="TableParagraph"/>
              <w:spacing w:line="268" w:lineRule="exact"/>
              <w:ind w:left="70" w:right="19"/>
              <w:jc w:val="center"/>
              <w:rPr>
                <w:sz w:val="24"/>
              </w:rPr>
            </w:pPr>
            <w:r>
              <w:rPr>
                <w:sz w:val="24"/>
              </w:rPr>
              <w:t>Elec. + wood + Oil</w:t>
            </w:r>
          </w:p>
        </w:tc>
        <w:tc>
          <w:tcPr>
            <w:tcW w:w="1080" w:type="dxa"/>
            <w:shd w:val="clear" w:color="auto" w:fill="FFFF66"/>
          </w:tcPr>
          <w:p w:rsidR="00F3177F" w:rsidRDefault="00F3177F"/>
        </w:tc>
        <w:tc>
          <w:tcPr>
            <w:tcW w:w="1260" w:type="dxa"/>
            <w:shd w:val="clear" w:color="auto" w:fill="FFFF66"/>
          </w:tcPr>
          <w:p w:rsidR="00F3177F" w:rsidRDefault="00F3177F"/>
        </w:tc>
        <w:tc>
          <w:tcPr>
            <w:tcW w:w="1081" w:type="dxa"/>
            <w:tcBorders>
              <w:left w:val="single" w:sz="45" w:space="0" w:color="FFFF66"/>
            </w:tcBorders>
          </w:tcPr>
          <w:p w:rsidR="00F3177F" w:rsidRDefault="0089671D">
            <w:pPr>
              <w:pStyle w:val="TableParagraph"/>
              <w:spacing w:line="268" w:lineRule="exact"/>
              <w:ind w:left="192" w:right="244"/>
              <w:jc w:val="center"/>
              <w:rPr>
                <w:sz w:val="24"/>
              </w:rPr>
            </w:pPr>
            <w:r>
              <w:rPr>
                <w:sz w:val="24"/>
              </w:rPr>
              <w:t>65.2</w:t>
            </w:r>
          </w:p>
        </w:tc>
        <w:tc>
          <w:tcPr>
            <w:tcW w:w="1260" w:type="dxa"/>
          </w:tcPr>
          <w:p w:rsidR="00F3177F" w:rsidRDefault="0089671D">
            <w:pPr>
              <w:pStyle w:val="TableParagraph"/>
              <w:spacing w:line="268" w:lineRule="exact"/>
              <w:ind w:left="72" w:right="72"/>
              <w:jc w:val="center"/>
              <w:rPr>
                <w:sz w:val="24"/>
              </w:rPr>
            </w:pPr>
            <w:r>
              <w:rPr>
                <w:sz w:val="24"/>
              </w:rPr>
              <w:t>9.0</w:t>
            </w:r>
          </w:p>
        </w:tc>
      </w:tr>
      <w:tr w:rsidR="00F3177F">
        <w:trPr>
          <w:trHeight w:hRule="exact" w:val="287"/>
        </w:trPr>
        <w:tc>
          <w:tcPr>
            <w:tcW w:w="1440" w:type="dxa"/>
            <w:vMerge/>
          </w:tcPr>
          <w:p w:rsidR="00F3177F" w:rsidRDefault="00F3177F"/>
        </w:tc>
        <w:tc>
          <w:tcPr>
            <w:tcW w:w="2341" w:type="dxa"/>
            <w:tcBorders>
              <w:right w:val="single" w:sz="45" w:space="0" w:color="FFFF66"/>
            </w:tcBorders>
          </w:tcPr>
          <w:p w:rsidR="00F3177F" w:rsidRDefault="0089671D">
            <w:pPr>
              <w:pStyle w:val="TableParagraph"/>
              <w:spacing w:line="269" w:lineRule="exact"/>
              <w:ind w:left="71" w:right="19"/>
              <w:jc w:val="center"/>
            </w:pPr>
            <w:r>
              <w:rPr>
                <w:sz w:val="24"/>
              </w:rPr>
              <w:t>Elec.+wood+Oil+</w:t>
            </w:r>
            <w:r>
              <w:t>Coal</w:t>
            </w:r>
          </w:p>
        </w:tc>
        <w:tc>
          <w:tcPr>
            <w:tcW w:w="1080" w:type="dxa"/>
            <w:shd w:val="clear" w:color="auto" w:fill="FFFF66"/>
          </w:tcPr>
          <w:p w:rsidR="00F3177F" w:rsidRDefault="00F3177F"/>
        </w:tc>
        <w:tc>
          <w:tcPr>
            <w:tcW w:w="1260" w:type="dxa"/>
            <w:shd w:val="clear" w:color="auto" w:fill="FFFF66"/>
          </w:tcPr>
          <w:p w:rsidR="00F3177F" w:rsidRDefault="00F3177F"/>
        </w:tc>
        <w:tc>
          <w:tcPr>
            <w:tcW w:w="1081" w:type="dxa"/>
            <w:tcBorders>
              <w:left w:val="single" w:sz="45" w:space="0" w:color="FFFF66"/>
            </w:tcBorders>
          </w:tcPr>
          <w:p w:rsidR="00F3177F" w:rsidRDefault="0089671D">
            <w:pPr>
              <w:pStyle w:val="TableParagraph"/>
              <w:spacing w:line="269" w:lineRule="exact"/>
              <w:ind w:left="192" w:right="247"/>
              <w:jc w:val="center"/>
              <w:rPr>
                <w:sz w:val="24"/>
              </w:rPr>
            </w:pPr>
            <w:r>
              <w:rPr>
                <w:sz w:val="24"/>
              </w:rPr>
              <w:t>107.6</w:t>
            </w:r>
          </w:p>
        </w:tc>
        <w:tc>
          <w:tcPr>
            <w:tcW w:w="1260" w:type="dxa"/>
          </w:tcPr>
          <w:p w:rsidR="00F3177F" w:rsidRDefault="0089671D">
            <w:pPr>
              <w:pStyle w:val="TableParagraph"/>
              <w:spacing w:line="269" w:lineRule="exact"/>
              <w:ind w:left="72" w:right="74"/>
              <w:jc w:val="center"/>
              <w:rPr>
                <w:sz w:val="24"/>
              </w:rPr>
            </w:pPr>
            <w:r>
              <w:rPr>
                <w:sz w:val="24"/>
              </w:rPr>
              <w:t>28.2</w:t>
            </w:r>
          </w:p>
        </w:tc>
      </w:tr>
      <w:tr w:rsidR="00F3177F">
        <w:trPr>
          <w:trHeight w:hRule="exact" w:val="286"/>
        </w:trPr>
        <w:tc>
          <w:tcPr>
            <w:tcW w:w="1440" w:type="dxa"/>
            <w:vMerge/>
          </w:tcPr>
          <w:p w:rsidR="00F3177F" w:rsidRDefault="00F3177F"/>
        </w:tc>
        <w:tc>
          <w:tcPr>
            <w:tcW w:w="2341" w:type="dxa"/>
            <w:tcBorders>
              <w:right w:val="single" w:sz="45" w:space="0" w:color="FFFF66"/>
            </w:tcBorders>
          </w:tcPr>
          <w:p w:rsidR="00F3177F" w:rsidRDefault="0089671D">
            <w:pPr>
              <w:pStyle w:val="TableParagraph"/>
              <w:spacing w:line="268" w:lineRule="exact"/>
              <w:ind w:left="68" w:right="19"/>
              <w:jc w:val="center"/>
              <w:rPr>
                <w:sz w:val="24"/>
              </w:rPr>
            </w:pPr>
            <w:r>
              <w:rPr>
                <w:sz w:val="24"/>
              </w:rPr>
              <w:t>Elec.+ wood + coal</w:t>
            </w:r>
          </w:p>
        </w:tc>
        <w:tc>
          <w:tcPr>
            <w:tcW w:w="1080" w:type="dxa"/>
            <w:shd w:val="clear" w:color="auto" w:fill="FFFF66"/>
          </w:tcPr>
          <w:p w:rsidR="00F3177F" w:rsidRDefault="00F3177F"/>
        </w:tc>
        <w:tc>
          <w:tcPr>
            <w:tcW w:w="1260" w:type="dxa"/>
            <w:shd w:val="clear" w:color="auto" w:fill="FFFF66"/>
          </w:tcPr>
          <w:p w:rsidR="00F3177F" w:rsidRDefault="00F3177F"/>
        </w:tc>
        <w:tc>
          <w:tcPr>
            <w:tcW w:w="1081" w:type="dxa"/>
            <w:tcBorders>
              <w:left w:val="single" w:sz="45" w:space="0" w:color="FFFF66"/>
            </w:tcBorders>
          </w:tcPr>
          <w:p w:rsidR="00F3177F" w:rsidRDefault="0089671D">
            <w:pPr>
              <w:pStyle w:val="TableParagraph"/>
              <w:spacing w:line="268" w:lineRule="exact"/>
              <w:ind w:left="192" w:right="247"/>
              <w:jc w:val="center"/>
              <w:rPr>
                <w:sz w:val="24"/>
              </w:rPr>
            </w:pPr>
            <w:r>
              <w:rPr>
                <w:sz w:val="24"/>
              </w:rPr>
              <w:t>187.6</w:t>
            </w:r>
          </w:p>
        </w:tc>
        <w:tc>
          <w:tcPr>
            <w:tcW w:w="1260" w:type="dxa"/>
          </w:tcPr>
          <w:p w:rsidR="00F3177F" w:rsidRDefault="0089671D">
            <w:pPr>
              <w:pStyle w:val="TableParagraph"/>
              <w:spacing w:line="268" w:lineRule="exact"/>
              <w:ind w:left="72" w:right="74"/>
              <w:jc w:val="center"/>
              <w:rPr>
                <w:sz w:val="24"/>
              </w:rPr>
            </w:pPr>
            <w:r>
              <w:rPr>
                <w:sz w:val="24"/>
              </w:rPr>
              <w:t>51.9</w:t>
            </w:r>
          </w:p>
        </w:tc>
      </w:tr>
      <w:tr w:rsidR="00F3177F">
        <w:trPr>
          <w:trHeight w:hRule="exact" w:val="562"/>
        </w:trPr>
        <w:tc>
          <w:tcPr>
            <w:tcW w:w="3781" w:type="dxa"/>
            <w:gridSpan w:val="2"/>
          </w:tcPr>
          <w:p w:rsidR="00F3177F" w:rsidRDefault="0089671D">
            <w:pPr>
              <w:pStyle w:val="TableParagraph"/>
              <w:ind w:left="669" w:right="47" w:hanging="197"/>
              <w:rPr>
                <w:sz w:val="24"/>
              </w:rPr>
            </w:pPr>
            <w:r>
              <w:rPr>
                <w:sz w:val="24"/>
              </w:rPr>
              <w:t>TOTAL AVERAGE (without including extra buildings)</w:t>
            </w:r>
          </w:p>
        </w:tc>
        <w:tc>
          <w:tcPr>
            <w:tcW w:w="1080" w:type="dxa"/>
          </w:tcPr>
          <w:p w:rsidR="00F3177F" w:rsidRDefault="0089671D">
            <w:pPr>
              <w:pStyle w:val="TableParagraph"/>
              <w:spacing w:before="128"/>
              <w:ind w:left="88" w:right="88"/>
              <w:jc w:val="center"/>
              <w:rPr>
                <w:sz w:val="24"/>
              </w:rPr>
            </w:pPr>
            <w:r>
              <w:rPr>
                <w:sz w:val="24"/>
              </w:rPr>
              <w:t>69.4</w:t>
            </w:r>
          </w:p>
        </w:tc>
        <w:tc>
          <w:tcPr>
            <w:tcW w:w="1260" w:type="dxa"/>
          </w:tcPr>
          <w:p w:rsidR="00F3177F" w:rsidRDefault="0089671D">
            <w:pPr>
              <w:pStyle w:val="TableParagraph"/>
              <w:spacing w:before="128"/>
              <w:ind w:left="72" w:right="74"/>
              <w:jc w:val="center"/>
              <w:rPr>
                <w:sz w:val="24"/>
              </w:rPr>
            </w:pPr>
            <w:r>
              <w:rPr>
                <w:sz w:val="24"/>
              </w:rPr>
              <w:t>13.7</w:t>
            </w:r>
          </w:p>
        </w:tc>
        <w:tc>
          <w:tcPr>
            <w:tcW w:w="1081" w:type="dxa"/>
          </w:tcPr>
          <w:p w:rsidR="00F3177F" w:rsidRDefault="0089671D">
            <w:pPr>
              <w:pStyle w:val="TableParagraph"/>
              <w:spacing w:before="128"/>
              <w:ind w:left="86" w:right="89"/>
              <w:jc w:val="center"/>
              <w:rPr>
                <w:sz w:val="24"/>
              </w:rPr>
            </w:pPr>
            <w:r>
              <w:rPr>
                <w:sz w:val="24"/>
              </w:rPr>
              <w:t>176.7</w:t>
            </w:r>
          </w:p>
        </w:tc>
        <w:tc>
          <w:tcPr>
            <w:tcW w:w="1260" w:type="dxa"/>
          </w:tcPr>
          <w:p w:rsidR="00F3177F" w:rsidRDefault="0089671D">
            <w:pPr>
              <w:pStyle w:val="TableParagraph"/>
              <w:spacing w:before="128"/>
              <w:ind w:left="72" w:right="74"/>
              <w:jc w:val="center"/>
              <w:rPr>
                <w:sz w:val="24"/>
              </w:rPr>
            </w:pPr>
            <w:r>
              <w:rPr>
                <w:sz w:val="24"/>
              </w:rPr>
              <w:t>48.4</w:t>
            </w:r>
          </w:p>
        </w:tc>
      </w:tr>
      <w:tr w:rsidR="00F3177F">
        <w:trPr>
          <w:trHeight w:hRule="exact" w:val="562"/>
        </w:trPr>
        <w:tc>
          <w:tcPr>
            <w:tcW w:w="3781" w:type="dxa"/>
            <w:gridSpan w:val="2"/>
          </w:tcPr>
          <w:p w:rsidR="00F3177F" w:rsidRDefault="0089671D">
            <w:pPr>
              <w:pStyle w:val="TableParagraph"/>
              <w:ind w:left="1408" w:right="47" w:hanging="1284"/>
              <w:rPr>
                <w:sz w:val="24"/>
              </w:rPr>
            </w:pPr>
            <w:r>
              <w:rPr>
                <w:sz w:val="24"/>
              </w:rPr>
              <w:t>TOTAL AVERAGE (including extra buildings)</w:t>
            </w:r>
          </w:p>
        </w:tc>
        <w:tc>
          <w:tcPr>
            <w:tcW w:w="1080" w:type="dxa"/>
          </w:tcPr>
          <w:p w:rsidR="00F3177F" w:rsidRDefault="0089671D">
            <w:pPr>
              <w:pStyle w:val="TableParagraph"/>
              <w:spacing w:before="131"/>
              <w:ind w:left="88" w:right="88"/>
              <w:jc w:val="center"/>
              <w:rPr>
                <w:sz w:val="24"/>
              </w:rPr>
            </w:pPr>
            <w:r>
              <w:rPr>
                <w:sz w:val="24"/>
              </w:rPr>
              <w:t>66.2</w:t>
            </w:r>
          </w:p>
        </w:tc>
        <w:tc>
          <w:tcPr>
            <w:tcW w:w="1260" w:type="dxa"/>
          </w:tcPr>
          <w:p w:rsidR="00F3177F" w:rsidRDefault="0089671D">
            <w:pPr>
              <w:pStyle w:val="TableParagraph"/>
              <w:spacing w:before="131"/>
              <w:ind w:left="72" w:right="74"/>
              <w:jc w:val="center"/>
              <w:rPr>
                <w:sz w:val="24"/>
              </w:rPr>
            </w:pPr>
            <w:r>
              <w:rPr>
                <w:sz w:val="24"/>
              </w:rPr>
              <w:t>13.2</w:t>
            </w:r>
          </w:p>
        </w:tc>
        <w:tc>
          <w:tcPr>
            <w:tcW w:w="1081" w:type="dxa"/>
          </w:tcPr>
          <w:p w:rsidR="00F3177F" w:rsidRDefault="0089671D">
            <w:pPr>
              <w:pStyle w:val="TableParagraph"/>
              <w:spacing w:before="131"/>
              <w:ind w:left="86" w:right="89"/>
              <w:jc w:val="center"/>
              <w:rPr>
                <w:sz w:val="24"/>
              </w:rPr>
            </w:pPr>
            <w:r>
              <w:rPr>
                <w:sz w:val="24"/>
              </w:rPr>
              <w:t>176.3</w:t>
            </w:r>
          </w:p>
        </w:tc>
        <w:tc>
          <w:tcPr>
            <w:tcW w:w="1260" w:type="dxa"/>
          </w:tcPr>
          <w:p w:rsidR="00F3177F" w:rsidRDefault="0089671D">
            <w:pPr>
              <w:pStyle w:val="TableParagraph"/>
              <w:spacing w:before="131"/>
              <w:ind w:left="72" w:right="74"/>
              <w:jc w:val="center"/>
              <w:rPr>
                <w:sz w:val="24"/>
              </w:rPr>
            </w:pPr>
            <w:r>
              <w:rPr>
                <w:sz w:val="24"/>
              </w:rPr>
              <w:t>48.4</w:t>
            </w:r>
          </w:p>
        </w:tc>
      </w:tr>
    </w:tbl>
    <w:p w:rsidR="00F3177F" w:rsidRDefault="00F3177F">
      <w:pPr>
        <w:pStyle w:val="BodyText"/>
        <w:spacing w:before="7"/>
        <w:rPr>
          <w:sz w:val="29"/>
        </w:rPr>
      </w:pPr>
    </w:p>
    <w:p w:rsidR="00F3177F" w:rsidRDefault="0089671D">
      <w:pPr>
        <w:pStyle w:val="BodyText"/>
        <w:spacing w:before="69" w:line="328" w:lineRule="auto"/>
        <w:ind w:left="584" w:right="114"/>
      </w:pPr>
      <w:r>
        <w:t>Finally, while the state primary and secondary schools in PCM consume 69.4 kWh/m2/yr energy and produce 13.7 kgCO</w:t>
      </w:r>
      <w:r>
        <w:rPr>
          <w:position w:val="-2"/>
          <w:sz w:val="16"/>
        </w:rPr>
        <w:t>2</w:t>
      </w:r>
      <w:r>
        <w:t>/m</w:t>
      </w:r>
      <w:r>
        <w:rPr>
          <w:position w:val="11"/>
          <w:sz w:val="16"/>
        </w:rPr>
        <w:t>2</w:t>
      </w:r>
      <w:r>
        <w:t xml:space="preserve">, the same figures are </w:t>
      </w:r>
      <w:proofErr w:type="gramStart"/>
      <w:r>
        <w:t>176.7  kWh</w:t>
      </w:r>
      <w:proofErr w:type="gramEnd"/>
      <w:r>
        <w:t>/m2/yr</w:t>
      </w:r>
    </w:p>
    <w:p w:rsidR="00F3177F" w:rsidRDefault="00F3177F">
      <w:pPr>
        <w:spacing w:line="328" w:lineRule="auto"/>
        <w:sectPr w:rsidR="00F3177F">
          <w:pgSz w:w="12240" w:h="15840"/>
          <w:pgMar w:top="1380" w:right="1320" w:bottom="2320" w:left="1720" w:header="0" w:footer="2095" w:gutter="0"/>
          <w:cols w:space="720"/>
        </w:sectPr>
      </w:pPr>
    </w:p>
    <w:p w:rsidR="00F3177F" w:rsidRDefault="0089671D">
      <w:pPr>
        <w:pStyle w:val="BodyText"/>
        <w:spacing w:before="59" w:line="326" w:lineRule="auto"/>
        <w:ind w:left="584" w:right="116"/>
        <w:jc w:val="both"/>
      </w:pPr>
      <w:proofErr w:type="gramStart"/>
      <w:r>
        <w:lastRenderedPageBreak/>
        <w:t>and</w:t>
      </w:r>
      <w:proofErr w:type="gramEnd"/>
      <w:r>
        <w:t xml:space="preserve"> 48.4 kgCO</w:t>
      </w:r>
      <w:r>
        <w:rPr>
          <w:position w:val="-2"/>
          <w:sz w:val="16"/>
        </w:rPr>
        <w:t>2</w:t>
      </w:r>
      <w:r>
        <w:t>/m</w:t>
      </w:r>
      <w:r>
        <w:rPr>
          <w:position w:val="11"/>
          <w:sz w:val="16"/>
        </w:rPr>
        <w:t xml:space="preserve">2 </w:t>
      </w:r>
      <w:r>
        <w:t>in Vushturi. These figures by adding extra buildings into calculation are 66.2 kWh/m</w:t>
      </w:r>
      <w:r>
        <w:rPr>
          <w:position w:val="11"/>
          <w:sz w:val="16"/>
        </w:rPr>
        <w:t>2</w:t>
      </w:r>
      <w:r>
        <w:t>/yr and 13.2 kgCO</w:t>
      </w:r>
      <w:r>
        <w:rPr>
          <w:position w:val="-2"/>
          <w:sz w:val="16"/>
        </w:rPr>
        <w:t>2</w:t>
      </w:r>
      <w:r>
        <w:t>/m</w:t>
      </w:r>
      <w:r>
        <w:rPr>
          <w:position w:val="11"/>
          <w:sz w:val="16"/>
        </w:rPr>
        <w:t xml:space="preserve">2 </w:t>
      </w:r>
      <w:r>
        <w:t>for Pristina and 176.3 kWh/m2/yr and 48.4 kgCO</w:t>
      </w:r>
      <w:r>
        <w:rPr>
          <w:position w:val="-2"/>
          <w:sz w:val="16"/>
        </w:rPr>
        <w:t>2</w:t>
      </w:r>
      <w:r>
        <w:t>/m</w:t>
      </w:r>
      <w:r>
        <w:rPr>
          <w:position w:val="11"/>
          <w:sz w:val="16"/>
        </w:rPr>
        <w:t xml:space="preserve">2 </w:t>
      </w:r>
      <w:r>
        <w:t>for Vushturi. For the state schools in PCM, the average differences between the calculations by including extra buildings and without including them are 3.2 kWh/m</w:t>
      </w:r>
      <w:r>
        <w:rPr>
          <w:position w:val="11"/>
          <w:sz w:val="16"/>
        </w:rPr>
        <w:t>2</w:t>
      </w:r>
      <w:r>
        <w:t>/yr for energy consumption and 0.5 kgCO</w:t>
      </w:r>
      <w:r>
        <w:rPr>
          <w:position w:val="-2"/>
          <w:sz w:val="16"/>
        </w:rPr>
        <w:t>2</w:t>
      </w:r>
      <w:r>
        <w:t>/m</w:t>
      </w:r>
      <w:r>
        <w:rPr>
          <w:position w:val="11"/>
          <w:sz w:val="16"/>
        </w:rPr>
        <w:t xml:space="preserve">2 </w:t>
      </w:r>
      <w:r>
        <w:t>CO</w:t>
      </w:r>
      <w:r>
        <w:rPr>
          <w:position w:val="-2"/>
          <w:sz w:val="16"/>
        </w:rPr>
        <w:t xml:space="preserve">2 </w:t>
      </w:r>
      <w:r>
        <w:t>emission. The same differences in Vushturi are 0.4 kWh/m</w:t>
      </w:r>
      <w:r>
        <w:rPr>
          <w:position w:val="11"/>
          <w:sz w:val="16"/>
        </w:rPr>
        <w:t>2</w:t>
      </w:r>
      <w:r>
        <w:t>/yr for energy consumption with no difference in</w:t>
      </w:r>
    </w:p>
    <w:p w:rsidR="00F3177F" w:rsidRDefault="0089671D">
      <w:pPr>
        <w:pStyle w:val="BodyText"/>
        <w:spacing w:before="29" w:line="326" w:lineRule="auto"/>
        <w:ind w:left="584" w:right="113"/>
        <w:jc w:val="both"/>
      </w:pPr>
      <w:r>
        <w:t>CO</w:t>
      </w:r>
      <w:r>
        <w:rPr>
          <w:position w:val="-2"/>
          <w:sz w:val="16"/>
        </w:rPr>
        <w:t xml:space="preserve">2 </w:t>
      </w:r>
      <w:r>
        <w:t>emission as there are more state schools with extra buildings in PCM and their average size is 610.3 m</w:t>
      </w:r>
      <w:r>
        <w:rPr>
          <w:position w:val="11"/>
          <w:sz w:val="16"/>
        </w:rPr>
        <w:t xml:space="preserve">2 </w:t>
      </w:r>
      <w:r>
        <w:t>while the average size of the state schools in Vushturi is 221.2 m</w:t>
      </w:r>
      <w:r>
        <w:rPr>
          <w:position w:val="11"/>
          <w:sz w:val="16"/>
        </w:rPr>
        <w:t>2</w:t>
      </w:r>
      <w:r>
        <w:t>. The average student density in the state schools of PCM is 0.15 st/m</w:t>
      </w:r>
      <w:r>
        <w:rPr>
          <w:position w:val="11"/>
          <w:sz w:val="16"/>
        </w:rPr>
        <w:t xml:space="preserve">2 </w:t>
      </w:r>
      <w:r>
        <w:t>and 0.213 st/m</w:t>
      </w:r>
      <w:r>
        <w:rPr>
          <w:position w:val="11"/>
          <w:sz w:val="16"/>
        </w:rPr>
        <w:t xml:space="preserve">2 </w:t>
      </w:r>
      <w:r>
        <w:t>in the state schools in Vushturi Central Municipality.</w:t>
      </w:r>
    </w:p>
    <w:p w:rsidR="00F3177F" w:rsidRDefault="00F3177F">
      <w:pPr>
        <w:pStyle w:val="BodyText"/>
        <w:spacing w:before="5"/>
        <w:rPr>
          <w:sz w:val="38"/>
        </w:rPr>
      </w:pPr>
    </w:p>
    <w:p w:rsidR="00F3177F" w:rsidRDefault="0089671D">
      <w:pPr>
        <w:pStyle w:val="BodyText"/>
        <w:spacing w:line="348" w:lineRule="auto"/>
        <w:ind w:left="584" w:right="113"/>
        <w:jc w:val="both"/>
      </w:pPr>
      <w:r>
        <w:t xml:space="preserve">Despite not being the concern of this dissertation, the averages of six state pre-primary schools were also calculated. There are totally 8 state pre-primary schools in the PCM. Six schools use only electricity and two schools use electricity and oil </w:t>
      </w:r>
      <w:proofErr w:type="gramStart"/>
      <w:r>
        <w:t>as  energy</w:t>
      </w:r>
      <w:proofErr w:type="gramEnd"/>
      <w:r>
        <w:t xml:space="preserve"> sources. On average, there are 225 students in 3888 m</w:t>
      </w:r>
      <w:r>
        <w:rPr>
          <w:position w:val="11"/>
          <w:sz w:val="16"/>
        </w:rPr>
        <w:t xml:space="preserve">2 </w:t>
      </w:r>
      <w:r>
        <w:t xml:space="preserve">with </w:t>
      </w:r>
      <w:proofErr w:type="gramStart"/>
      <w:r>
        <w:t>an</w:t>
      </w:r>
      <w:proofErr w:type="gramEnd"/>
      <w:r>
        <w:t xml:space="preserve"> 0.15 st/m</w:t>
      </w:r>
      <w:r>
        <w:rPr>
          <w:position w:val="11"/>
          <w:sz w:val="16"/>
        </w:rPr>
        <w:t xml:space="preserve">2 </w:t>
      </w:r>
      <w:r>
        <w:t>student density. The annual averages of 8 schools are 671.7 kWh per student, 107 kWh per meter square and 15.4 kgCO</w:t>
      </w:r>
      <w:r>
        <w:rPr>
          <w:position w:val="-2"/>
          <w:sz w:val="16"/>
        </w:rPr>
        <w:t>2</w:t>
      </w:r>
      <w:r>
        <w:t>/</w:t>
      </w:r>
      <w:proofErr w:type="gramStart"/>
      <w:r>
        <w:t>m</w:t>
      </w:r>
      <w:r>
        <w:rPr>
          <w:position w:val="11"/>
          <w:sz w:val="16"/>
        </w:rPr>
        <w:t xml:space="preserve">2  </w:t>
      </w:r>
      <w:r>
        <w:t>for</w:t>
      </w:r>
      <w:proofErr w:type="gramEnd"/>
      <w:r>
        <w:t xml:space="preserve"> carbon dioxide emission.</w:t>
      </w:r>
    </w:p>
    <w:p w:rsidR="00F3177F" w:rsidRDefault="00F3177F">
      <w:pPr>
        <w:pStyle w:val="BodyText"/>
        <w:rPr>
          <w:sz w:val="30"/>
        </w:rPr>
      </w:pPr>
    </w:p>
    <w:p w:rsidR="00F3177F" w:rsidRDefault="0089671D">
      <w:pPr>
        <w:pStyle w:val="Heading2"/>
        <w:numPr>
          <w:ilvl w:val="2"/>
          <w:numId w:val="21"/>
        </w:numPr>
        <w:tabs>
          <w:tab w:val="left" w:pos="1245"/>
        </w:tabs>
        <w:spacing w:before="193"/>
        <w:jc w:val="both"/>
      </w:pPr>
      <w:r>
        <w:t>The Second</w:t>
      </w:r>
      <w:r>
        <w:rPr>
          <w:spacing w:val="-8"/>
        </w:rPr>
        <w:t xml:space="preserve"> </w:t>
      </w:r>
      <w:r>
        <w:t>Stage</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9"/>
        <w:jc w:val="both"/>
      </w:pPr>
      <w:r>
        <w:t>The differences between students’ complaint levels in the maximum energy consuming state schools with higher building transparencies and compactness and minimum energy consuming state schools with lower building transparencies and compactness in PCM were investigated in details.</w:t>
      </w:r>
    </w:p>
    <w:p w:rsidR="00F3177F" w:rsidRDefault="00F3177F">
      <w:pPr>
        <w:pStyle w:val="BodyText"/>
      </w:pPr>
    </w:p>
    <w:p w:rsidR="00F3177F" w:rsidRDefault="0089671D" w:rsidP="001368A4">
      <w:pPr>
        <w:pStyle w:val="BodyText"/>
        <w:spacing w:before="143" w:line="360" w:lineRule="auto"/>
        <w:ind w:left="584" w:right="117"/>
        <w:jc w:val="both"/>
      </w:pPr>
      <w:r>
        <w:t>When doing the research in the differences between students’ comfort levels in the highest and the lowest energy consuming state schools per student with high and low building transparencies and compactness, respectively, in PCM, it should be kept in</w:t>
      </w:r>
      <w:r w:rsidR="001368A4">
        <w:t xml:space="preserve"> </w:t>
      </w:r>
      <w:r>
        <w:t>mind  that  nearly there  are  not  any differences  from  the  point  of  energy consuming</w:t>
      </w:r>
    </w:p>
    <w:p w:rsidR="00F3177F" w:rsidRDefault="00F3177F">
      <w:pPr>
        <w:jc w:val="both"/>
        <w:sectPr w:rsidR="00F3177F">
          <w:pgSz w:w="12240" w:h="15840"/>
          <w:pgMar w:top="1340" w:right="1320" w:bottom="2320" w:left="1720" w:header="0" w:footer="2095" w:gutter="0"/>
          <w:cols w:space="720"/>
        </w:sectPr>
      </w:pPr>
    </w:p>
    <w:p w:rsidR="00F3177F" w:rsidRDefault="0089671D">
      <w:pPr>
        <w:pStyle w:val="BodyText"/>
        <w:spacing w:before="54" w:line="360" w:lineRule="auto"/>
        <w:ind w:left="584" w:right="114"/>
        <w:jc w:val="both"/>
      </w:pPr>
      <w:proofErr w:type="gramStart"/>
      <w:r>
        <w:lastRenderedPageBreak/>
        <w:t>appliances</w:t>
      </w:r>
      <w:proofErr w:type="gramEnd"/>
      <w:r>
        <w:t xml:space="preserve"> between state schools in the Municipality as they are poorly equipped. Classrooms have not got any air conditioning systems, computers or projectors. Only few schools started equipping their laboratories with computers and smart boards. Higher-equipped classrooms are usually laboratories such as computer and physics laboratories. Thus, other factors such as the factors in the first stage of the research can play significant roles in school energy consumption and students’ comfort levels. It should also be kept in mind that the research covers only the state primary and secondary schools in PCM for the first stage.</w:t>
      </w:r>
    </w:p>
    <w:p w:rsidR="00F3177F" w:rsidRDefault="00F3177F">
      <w:pPr>
        <w:pStyle w:val="BodyText"/>
      </w:pPr>
    </w:p>
    <w:p w:rsidR="00F3177F" w:rsidRDefault="0089671D">
      <w:pPr>
        <w:pStyle w:val="BodyText"/>
        <w:spacing w:before="143" w:line="360" w:lineRule="auto"/>
        <w:ind w:left="584" w:right="114"/>
        <w:jc w:val="both"/>
      </w:pPr>
      <w:r>
        <w:t>The students’ comfort levels in the highest energy consuming state schools with high building transparencies and compactness and lowest energy consuming state schools with low building transparencies and compactness were compared with the help of Örebro Questionnaire by Örebro University Hospital in Sweden (Anderson, 1993). The complaint level averages for all the items are given in Appendix A. The results were presented in different subcategories. Firstly, the highest and lowest complaints in the schools with the highest and lowest energy consumptions per student were found out. Then the differences between those two categories of schools were compared. Table 9 below shows the highest and lowest levels of students’ complaints in the highest and lowest energy consuming state primary and secondary schools in PCM.</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201"/>
      </w:pPr>
      <w:r>
        <w:lastRenderedPageBreak/>
        <w:t>Table 9: The highest and lowest complaint items and their percentages in MAXECSs and MINECSs in PCM</w:t>
      </w:r>
    </w:p>
    <w:p w:rsidR="00F3177F" w:rsidRDefault="00F3177F">
      <w:pPr>
        <w:pStyle w:val="BodyText"/>
        <w:rPr>
          <w:sz w:val="25"/>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8"/>
        <w:gridCol w:w="2881"/>
        <w:gridCol w:w="960"/>
        <w:gridCol w:w="2881"/>
        <w:gridCol w:w="960"/>
      </w:tblGrid>
      <w:tr w:rsidR="00F3177F">
        <w:trPr>
          <w:trHeight w:hRule="exact" w:val="869"/>
        </w:trPr>
        <w:tc>
          <w:tcPr>
            <w:tcW w:w="698" w:type="dxa"/>
            <w:tcBorders>
              <w:bottom w:val="single" w:sz="4" w:space="0" w:color="000000"/>
              <w:right w:val="single" w:sz="4" w:space="0" w:color="000000"/>
            </w:tcBorders>
          </w:tcPr>
          <w:p w:rsidR="00F3177F" w:rsidRDefault="00F3177F"/>
        </w:tc>
        <w:tc>
          <w:tcPr>
            <w:tcW w:w="3841" w:type="dxa"/>
            <w:gridSpan w:val="2"/>
            <w:tcBorders>
              <w:left w:val="single" w:sz="4" w:space="0" w:color="000000"/>
            </w:tcBorders>
          </w:tcPr>
          <w:p w:rsidR="00F3177F" w:rsidRDefault="0089671D">
            <w:pPr>
              <w:pStyle w:val="TableParagraph"/>
              <w:spacing w:before="140"/>
              <w:ind w:left="1534" w:right="252" w:hanging="1259"/>
              <w:rPr>
                <w:sz w:val="24"/>
              </w:rPr>
            </w:pPr>
            <w:r>
              <w:rPr>
                <w:sz w:val="24"/>
              </w:rPr>
              <w:t>In the Highest Energy Consuming Schools</w:t>
            </w:r>
          </w:p>
        </w:tc>
        <w:tc>
          <w:tcPr>
            <w:tcW w:w="3841" w:type="dxa"/>
            <w:gridSpan w:val="2"/>
          </w:tcPr>
          <w:p w:rsidR="00F3177F" w:rsidRDefault="0089671D">
            <w:pPr>
              <w:pStyle w:val="TableParagraph"/>
              <w:spacing w:before="140"/>
              <w:ind w:left="1528" w:right="272" w:hanging="1239"/>
              <w:rPr>
                <w:sz w:val="24"/>
              </w:rPr>
            </w:pPr>
            <w:r>
              <w:rPr>
                <w:sz w:val="24"/>
              </w:rPr>
              <w:t>In the Lowest Energy Consuming Schools</w:t>
            </w:r>
          </w:p>
        </w:tc>
      </w:tr>
      <w:tr w:rsidR="00F3177F">
        <w:trPr>
          <w:trHeight w:hRule="exact" w:val="614"/>
        </w:trPr>
        <w:tc>
          <w:tcPr>
            <w:tcW w:w="698" w:type="dxa"/>
            <w:vMerge w:val="restart"/>
            <w:tcBorders>
              <w:top w:val="single" w:sz="4" w:space="0" w:color="000000"/>
            </w:tcBorders>
            <w:textDirection w:val="btLr"/>
          </w:tcPr>
          <w:p w:rsidR="00F3177F" w:rsidRDefault="0089671D">
            <w:pPr>
              <w:pStyle w:val="TableParagraph"/>
              <w:spacing w:before="205"/>
              <w:ind w:left="657"/>
              <w:rPr>
                <w:sz w:val="24"/>
              </w:rPr>
            </w:pPr>
            <w:r>
              <w:rPr>
                <w:sz w:val="24"/>
              </w:rPr>
              <w:t>The</w:t>
            </w:r>
            <w:r>
              <w:rPr>
                <w:spacing w:val="-2"/>
                <w:sz w:val="24"/>
              </w:rPr>
              <w:t xml:space="preserve"> </w:t>
            </w:r>
            <w:r>
              <w:rPr>
                <w:sz w:val="24"/>
              </w:rPr>
              <w:t>High</w:t>
            </w:r>
            <w:r>
              <w:rPr>
                <w:spacing w:val="-1"/>
                <w:sz w:val="24"/>
              </w:rPr>
              <w:t>e</w:t>
            </w:r>
            <w:r>
              <w:rPr>
                <w:w w:val="99"/>
                <w:sz w:val="24"/>
              </w:rPr>
              <w:t>st</w:t>
            </w:r>
            <w:r>
              <w:rPr>
                <w:sz w:val="24"/>
              </w:rPr>
              <w:t xml:space="preserve"> Lev</w:t>
            </w:r>
            <w:r>
              <w:rPr>
                <w:spacing w:val="-2"/>
                <w:sz w:val="24"/>
              </w:rPr>
              <w:t>e</w:t>
            </w:r>
            <w:r>
              <w:rPr>
                <w:w w:val="99"/>
                <w:sz w:val="24"/>
              </w:rPr>
              <w:t>ls</w:t>
            </w:r>
            <w:r>
              <w:rPr>
                <w:sz w:val="24"/>
              </w:rPr>
              <w:t xml:space="preserve"> of </w:t>
            </w:r>
            <w:r>
              <w:rPr>
                <w:spacing w:val="2"/>
                <w:sz w:val="24"/>
              </w:rPr>
              <w:t>C</w:t>
            </w:r>
            <w:r>
              <w:rPr>
                <w:sz w:val="24"/>
              </w:rPr>
              <w:t>ompl</w:t>
            </w:r>
            <w:r>
              <w:rPr>
                <w:spacing w:val="-1"/>
                <w:sz w:val="24"/>
              </w:rPr>
              <w:t>a</w:t>
            </w:r>
            <w:r>
              <w:rPr>
                <w:sz w:val="24"/>
              </w:rPr>
              <w:t>int</w:t>
            </w:r>
            <w:r>
              <w:rPr>
                <w:w w:val="99"/>
                <w:sz w:val="24"/>
              </w:rPr>
              <w:t>s</w:t>
            </w:r>
          </w:p>
        </w:tc>
        <w:tc>
          <w:tcPr>
            <w:tcW w:w="2881" w:type="dxa"/>
            <w:tcBorders>
              <w:bottom w:val="single" w:sz="4" w:space="0" w:color="000000"/>
              <w:right w:val="single" w:sz="4" w:space="0" w:color="000000"/>
            </w:tcBorders>
          </w:tcPr>
          <w:p w:rsidR="00F3177F" w:rsidRDefault="0089671D">
            <w:pPr>
              <w:pStyle w:val="TableParagraph"/>
              <w:spacing w:before="16"/>
              <w:ind w:left="271" w:right="157" w:firstLine="55"/>
              <w:rPr>
                <w:sz w:val="24"/>
              </w:rPr>
            </w:pPr>
            <w:r>
              <w:rPr>
                <w:sz w:val="24"/>
              </w:rPr>
              <w:t>Do you feel cold in the classroom in WINTER?</w:t>
            </w:r>
          </w:p>
        </w:tc>
        <w:tc>
          <w:tcPr>
            <w:tcW w:w="960" w:type="dxa"/>
            <w:tcBorders>
              <w:left w:val="single" w:sz="4" w:space="0" w:color="000000"/>
              <w:bottom w:val="single" w:sz="4" w:space="0" w:color="000000"/>
            </w:tcBorders>
          </w:tcPr>
          <w:p w:rsidR="00F3177F" w:rsidRDefault="0089671D">
            <w:pPr>
              <w:pStyle w:val="TableParagraph"/>
              <w:spacing w:before="152"/>
              <w:ind w:left="145" w:right="140"/>
              <w:jc w:val="center"/>
              <w:rPr>
                <w:sz w:val="24"/>
              </w:rPr>
            </w:pPr>
            <w:r>
              <w:rPr>
                <w:sz w:val="24"/>
              </w:rPr>
              <w:t>45.4%</w:t>
            </w:r>
          </w:p>
        </w:tc>
        <w:tc>
          <w:tcPr>
            <w:tcW w:w="2881" w:type="dxa"/>
            <w:tcBorders>
              <w:bottom w:val="single" w:sz="4" w:space="0" w:color="000000"/>
              <w:right w:val="single" w:sz="4" w:space="0" w:color="000000"/>
            </w:tcBorders>
          </w:tcPr>
          <w:p w:rsidR="00F3177F" w:rsidRDefault="0089671D">
            <w:pPr>
              <w:pStyle w:val="TableParagraph"/>
              <w:spacing w:before="16"/>
              <w:ind w:left="271" w:right="157" w:firstLine="55"/>
              <w:rPr>
                <w:sz w:val="24"/>
              </w:rPr>
            </w:pPr>
            <w:r>
              <w:rPr>
                <w:sz w:val="24"/>
              </w:rPr>
              <w:t>Do you feel cold in the classroom in WINTER?</w:t>
            </w:r>
          </w:p>
        </w:tc>
        <w:tc>
          <w:tcPr>
            <w:tcW w:w="960" w:type="dxa"/>
            <w:tcBorders>
              <w:left w:val="single" w:sz="4" w:space="0" w:color="000000"/>
              <w:bottom w:val="single" w:sz="4" w:space="0" w:color="000000"/>
            </w:tcBorders>
          </w:tcPr>
          <w:p w:rsidR="00F3177F" w:rsidRDefault="0089671D">
            <w:pPr>
              <w:pStyle w:val="TableParagraph"/>
              <w:spacing w:before="152"/>
              <w:ind w:left="143" w:right="140"/>
              <w:jc w:val="center"/>
              <w:rPr>
                <w:sz w:val="24"/>
              </w:rPr>
            </w:pPr>
            <w:r>
              <w:rPr>
                <w:sz w:val="24"/>
              </w:rPr>
              <w:t>75%</w:t>
            </w:r>
          </w:p>
        </w:tc>
      </w:tr>
      <w:tr w:rsidR="00F3177F">
        <w:trPr>
          <w:trHeight w:hRule="exact" w:val="619"/>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5"/>
              <w:ind w:left="386" w:right="157" w:hanging="216"/>
              <w:rPr>
                <w:sz w:val="24"/>
              </w:rPr>
            </w:pPr>
            <w:r>
              <w:rPr>
                <w:sz w:val="24"/>
              </w:rPr>
              <w:t>Does the heat/temperature from the Sun disturb?</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44.6%</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5"/>
              <w:ind w:left="873" w:right="181" w:hanging="680"/>
              <w:rPr>
                <w:sz w:val="24"/>
              </w:rPr>
            </w:pPr>
            <w:r>
              <w:rPr>
                <w:sz w:val="24"/>
              </w:rPr>
              <w:t>Does the air feel heavy or poor (bad)?</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65.9%</w:t>
            </w:r>
          </w:p>
        </w:tc>
      </w:tr>
      <w:tr w:rsidR="00F3177F">
        <w:trPr>
          <w:trHeight w:hRule="exact" w:val="922"/>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40"/>
              <w:ind w:left="420" w:right="109" w:hanging="296"/>
              <w:rPr>
                <w:sz w:val="24"/>
              </w:rPr>
            </w:pPr>
            <w:r>
              <w:rPr>
                <w:sz w:val="24"/>
              </w:rPr>
              <w:t>Is there distracting noise or disturbance from the students in the class?</w:t>
            </w:r>
          </w:p>
        </w:tc>
        <w:tc>
          <w:tcPr>
            <w:tcW w:w="960" w:type="dxa"/>
            <w:tcBorders>
              <w:top w:val="single" w:sz="4" w:space="0" w:color="000000"/>
              <w:left w:val="single" w:sz="4" w:space="0" w:color="000000"/>
              <w:bottom w:val="single" w:sz="4" w:space="0" w:color="000000"/>
            </w:tcBorders>
          </w:tcPr>
          <w:p w:rsidR="00F3177F" w:rsidRDefault="00F3177F">
            <w:pPr>
              <w:pStyle w:val="TableParagraph"/>
              <w:spacing w:before="6"/>
              <w:rPr>
                <w:sz w:val="27"/>
              </w:rPr>
            </w:pPr>
          </w:p>
          <w:p w:rsidR="00F3177F" w:rsidRDefault="0089671D">
            <w:pPr>
              <w:pStyle w:val="TableParagraph"/>
              <w:ind w:left="145" w:right="140"/>
              <w:jc w:val="center"/>
              <w:rPr>
                <w:sz w:val="24"/>
              </w:rPr>
            </w:pPr>
            <w:r>
              <w:rPr>
                <w:sz w:val="24"/>
              </w:rPr>
              <w:t>43.3%</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77"/>
              <w:ind w:left="386" w:right="157" w:hanging="216"/>
              <w:rPr>
                <w:sz w:val="24"/>
              </w:rPr>
            </w:pPr>
            <w:r>
              <w:rPr>
                <w:sz w:val="24"/>
              </w:rPr>
              <w:t>Does the heat/temperature from the Sun disturb?</w:t>
            </w:r>
          </w:p>
        </w:tc>
        <w:tc>
          <w:tcPr>
            <w:tcW w:w="960" w:type="dxa"/>
            <w:tcBorders>
              <w:top w:val="single" w:sz="4" w:space="0" w:color="000000"/>
              <w:left w:val="single" w:sz="4" w:space="0" w:color="000000"/>
              <w:bottom w:val="single" w:sz="4" w:space="0" w:color="000000"/>
            </w:tcBorders>
          </w:tcPr>
          <w:p w:rsidR="00F3177F" w:rsidRDefault="00F3177F">
            <w:pPr>
              <w:pStyle w:val="TableParagraph"/>
              <w:spacing w:before="6"/>
              <w:rPr>
                <w:sz w:val="27"/>
              </w:rPr>
            </w:pPr>
          </w:p>
          <w:p w:rsidR="00F3177F" w:rsidRDefault="0089671D">
            <w:pPr>
              <w:pStyle w:val="TableParagraph"/>
              <w:ind w:left="145" w:right="140"/>
              <w:jc w:val="center"/>
              <w:rPr>
                <w:sz w:val="24"/>
              </w:rPr>
            </w:pPr>
            <w:r>
              <w:rPr>
                <w:sz w:val="24"/>
              </w:rPr>
              <w:t>65.3%</w:t>
            </w:r>
          </w:p>
        </w:tc>
      </w:tr>
      <w:tr w:rsidR="00F3177F">
        <w:trPr>
          <w:trHeight w:hRule="exact" w:val="619"/>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2"/>
              <w:ind w:left="188" w:right="195"/>
              <w:jc w:val="center"/>
              <w:rPr>
                <w:sz w:val="24"/>
              </w:rPr>
            </w:pPr>
            <w:r>
              <w:rPr>
                <w:sz w:val="24"/>
              </w:rPr>
              <w:t>Are you tired?</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41.3%</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5"/>
              <w:ind w:left="748" w:right="333" w:hanging="401"/>
              <w:rPr>
                <w:sz w:val="24"/>
              </w:rPr>
            </w:pPr>
            <w:r>
              <w:rPr>
                <w:sz w:val="24"/>
              </w:rPr>
              <w:t>Is there annoying light from the Sun?</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57.4%</w:t>
            </w:r>
          </w:p>
        </w:tc>
      </w:tr>
      <w:tr w:rsidR="00F3177F">
        <w:trPr>
          <w:trHeight w:hRule="exact" w:val="619"/>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5"/>
              <w:ind w:left="748" w:right="333" w:hanging="401"/>
              <w:rPr>
                <w:sz w:val="24"/>
              </w:rPr>
            </w:pPr>
            <w:r>
              <w:rPr>
                <w:sz w:val="24"/>
              </w:rPr>
              <w:t>Is there annoying light from the Sun?</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2" w:right="140"/>
              <w:jc w:val="center"/>
              <w:rPr>
                <w:sz w:val="24"/>
              </w:rPr>
            </w:pPr>
            <w:r>
              <w:rPr>
                <w:sz w:val="24"/>
              </w:rPr>
              <w:t>40%</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4"/>
              <w:ind w:left="188" w:right="195"/>
              <w:jc w:val="center"/>
              <w:rPr>
                <w:sz w:val="24"/>
              </w:rPr>
            </w:pPr>
            <w:r>
              <w:rPr>
                <w:sz w:val="24"/>
              </w:rPr>
              <w:t>Are you tired?</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54.5%</w:t>
            </w:r>
          </w:p>
        </w:tc>
      </w:tr>
      <w:tr w:rsidR="00F3177F">
        <w:trPr>
          <w:trHeight w:hRule="exact" w:val="622"/>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8"/>
              <w:ind w:left="1090" w:right="453" w:hanging="623"/>
              <w:rPr>
                <w:sz w:val="24"/>
              </w:rPr>
            </w:pPr>
            <w:r>
              <w:rPr>
                <w:sz w:val="24"/>
              </w:rPr>
              <w:t>Does your head feel heavy?</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37.5%</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8"/>
              <w:ind w:left="1108" w:right="219" w:hanging="874"/>
              <w:rPr>
                <w:sz w:val="24"/>
              </w:rPr>
            </w:pPr>
            <w:r>
              <w:rPr>
                <w:sz w:val="24"/>
              </w:rPr>
              <w:t>Are there any unpleasant odors?</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52.3%</w:t>
            </w:r>
          </w:p>
        </w:tc>
      </w:tr>
      <w:tr w:rsidR="00F3177F">
        <w:trPr>
          <w:trHeight w:hRule="exact" w:val="624"/>
        </w:trPr>
        <w:tc>
          <w:tcPr>
            <w:tcW w:w="698" w:type="dxa"/>
            <w:vMerge/>
            <w:textDirection w:val="btLr"/>
          </w:tcPr>
          <w:p w:rsidR="00F3177F" w:rsidRDefault="00F3177F"/>
        </w:tc>
        <w:tc>
          <w:tcPr>
            <w:tcW w:w="2881" w:type="dxa"/>
            <w:tcBorders>
              <w:top w:val="single" w:sz="4" w:space="0" w:color="000000"/>
              <w:right w:val="single" w:sz="4" w:space="0" w:color="000000"/>
            </w:tcBorders>
          </w:tcPr>
          <w:p w:rsidR="00F3177F" w:rsidRDefault="0089671D">
            <w:pPr>
              <w:pStyle w:val="TableParagraph"/>
              <w:spacing w:before="25"/>
              <w:ind w:left="842" w:right="157" w:hanging="672"/>
              <w:rPr>
                <w:sz w:val="24"/>
              </w:rPr>
            </w:pPr>
            <w:r>
              <w:rPr>
                <w:sz w:val="24"/>
              </w:rPr>
              <w:t>Is there reflexion from the blackboard?</w:t>
            </w:r>
          </w:p>
        </w:tc>
        <w:tc>
          <w:tcPr>
            <w:tcW w:w="960" w:type="dxa"/>
            <w:tcBorders>
              <w:top w:val="single" w:sz="4" w:space="0" w:color="000000"/>
              <w:left w:val="single" w:sz="4" w:space="0" w:color="000000"/>
            </w:tcBorders>
          </w:tcPr>
          <w:p w:rsidR="00F3177F" w:rsidRDefault="0089671D">
            <w:pPr>
              <w:pStyle w:val="TableParagraph"/>
              <w:spacing w:before="162"/>
              <w:ind w:left="145" w:right="140"/>
              <w:jc w:val="center"/>
              <w:rPr>
                <w:sz w:val="24"/>
              </w:rPr>
            </w:pPr>
            <w:r>
              <w:rPr>
                <w:sz w:val="24"/>
              </w:rPr>
              <w:t>37.1%</w:t>
            </w:r>
          </w:p>
        </w:tc>
        <w:tc>
          <w:tcPr>
            <w:tcW w:w="2881" w:type="dxa"/>
            <w:tcBorders>
              <w:top w:val="single" w:sz="4" w:space="0" w:color="000000"/>
              <w:right w:val="single" w:sz="4" w:space="0" w:color="000000"/>
            </w:tcBorders>
          </w:tcPr>
          <w:p w:rsidR="00F3177F" w:rsidRDefault="0089671D">
            <w:pPr>
              <w:pStyle w:val="TableParagraph"/>
              <w:spacing w:before="25"/>
              <w:ind w:left="1005" w:right="140" w:hanging="852"/>
              <w:rPr>
                <w:sz w:val="24"/>
              </w:rPr>
            </w:pPr>
            <w:r>
              <w:rPr>
                <w:sz w:val="24"/>
              </w:rPr>
              <w:t>Is it too hot? / Does the air feel dry?</w:t>
            </w:r>
          </w:p>
        </w:tc>
        <w:tc>
          <w:tcPr>
            <w:tcW w:w="960" w:type="dxa"/>
            <w:tcBorders>
              <w:top w:val="single" w:sz="4" w:space="0" w:color="000000"/>
              <w:left w:val="single" w:sz="4" w:space="0" w:color="000000"/>
            </w:tcBorders>
          </w:tcPr>
          <w:p w:rsidR="00F3177F" w:rsidRDefault="0089671D">
            <w:pPr>
              <w:pStyle w:val="TableParagraph"/>
              <w:spacing w:before="162"/>
              <w:ind w:left="145" w:right="140"/>
              <w:jc w:val="center"/>
              <w:rPr>
                <w:sz w:val="24"/>
              </w:rPr>
            </w:pPr>
            <w:r>
              <w:rPr>
                <w:sz w:val="24"/>
              </w:rPr>
              <w:t>45.5%</w:t>
            </w:r>
          </w:p>
        </w:tc>
      </w:tr>
      <w:tr w:rsidR="00F3177F">
        <w:trPr>
          <w:trHeight w:hRule="exact" w:val="615"/>
        </w:trPr>
        <w:tc>
          <w:tcPr>
            <w:tcW w:w="698" w:type="dxa"/>
            <w:vMerge w:val="restart"/>
            <w:textDirection w:val="btLr"/>
          </w:tcPr>
          <w:p w:rsidR="00F3177F" w:rsidRDefault="0089671D">
            <w:pPr>
              <w:pStyle w:val="TableParagraph"/>
              <w:spacing w:before="203"/>
              <w:ind w:left="895"/>
              <w:rPr>
                <w:sz w:val="24"/>
              </w:rPr>
            </w:pPr>
            <w:r>
              <w:rPr>
                <w:sz w:val="24"/>
              </w:rPr>
              <w:t>The</w:t>
            </w:r>
            <w:r>
              <w:rPr>
                <w:spacing w:val="-2"/>
                <w:sz w:val="24"/>
              </w:rPr>
              <w:t xml:space="preserve"> </w:t>
            </w:r>
            <w:r>
              <w:rPr>
                <w:sz w:val="24"/>
              </w:rPr>
              <w:t>Lo</w:t>
            </w:r>
            <w:r>
              <w:rPr>
                <w:spacing w:val="-1"/>
                <w:sz w:val="24"/>
              </w:rPr>
              <w:t>we</w:t>
            </w:r>
            <w:r>
              <w:rPr>
                <w:w w:val="99"/>
                <w:sz w:val="24"/>
              </w:rPr>
              <w:t>st</w:t>
            </w:r>
            <w:r>
              <w:rPr>
                <w:sz w:val="24"/>
              </w:rPr>
              <w:t xml:space="preserve"> Le</w:t>
            </w:r>
            <w:r>
              <w:rPr>
                <w:spacing w:val="1"/>
                <w:sz w:val="24"/>
              </w:rPr>
              <w:t>v</w:t>
            </w:r>
            <w:r>
              <w:rPr>
                <w:spacing w:val="-1"/>
                <w:sz w:val="24"/>
              </w:rPr>
              <w:t>e</w:t>
            </w:r>
            <w:r>
              <w:rPr>
                <w:w w:val="99"/>
                <w:sz w:val="24"/>
              </w:rPr>
              <w:t>ls</w:t>
            </w:r>
            <w:r>
              <w:rPr>
                <w:sz w:val="24"/>
              </w:rPr>
              <w:t xml:space="preserve"> of Compl</w:t>
            </w:r>
            <w:r>
              <w:rPr>
                <w:spacing w:val="-1"/>
                <w:sz w:val="24"/>
              </w:rPr>
              <w:t>a</w:t>
            </w:r>
            <w:r>
              <w:rPr>
                <w:sz w:val="24"/>
              </w:rPr>
              <w:t>int</w:t>
            </w:r>
            <w:r>
              <w:rPr>
                <w:w w:val="99"/>
                <w:sz w:val="24"/>
              </w:rPr>
              <w:t>s</w:t>
            </w:r>
          </w:p>
        </w:tc>
        <w:tc>
          <w:tcPr>
            <w:tcW w:w="2881" w:type="dxa"/>
            <w:tcBorders>
              <w:bottom w:val="single" w:sz="4" w:space="0" w:color="000000"/>
              <w:right w:val="single" w:sz="4" w:space="0" w:color="000000"/>
            </w:tcBorders>
          </w:tcPr>
          <w:p w:rsidR="00F3177F" w:rsidRDefault="0089671D">
            <w:pPr>
              <w:pStyle w:val="TableParagraph"/>
              <w:spacing w:before="155"/>
              <w:ind w:left="186" w:right="195"/>
              <w:jc w:val="center"/>
              <w:rPr>
                <w:sz w:val="24"/>
              </w:rPr>
            </w:pPr>
            <w:r>
              <w:rPr>
                <w:sz w:val="24"/>
              </w:rPr>
              <w:t>Do you have asthma?</w:t>
            </w:r>
          </w:p>
        </w:tc>
        <w:tc>
          <w:tcPr>
            <w:tcW w:w="960" w:type="dxa"/>
            <w:tcBorders>
              <w:left w:val="single" w:sz="4" w:space="0" w:color="000000"/>
              <w:bottom w:val="single" w:sz="4" w:space="0" w:color="000000"/>
            </w:tcBorders>
          </w:tcPr>
          <w:p w:rsidR="00F3177F" w:rsidRDefault="0089671D">
            <w:pPr>
              <w:pStyle w:val="TableParagraph"/>
              <w:spacing w:before="155"/>
              <w:ind w:left="145" w:right="140"/>
              <w:jc w:val="center"/>
              <w:rPr>
                <w:sz w:val="24"/>
              </w:rPr>
            </w:pPr>
            <w:r>
              <w:rPr>
                <w:sz w:val="24"/>
              </w:rPr>
              <w:t>2.9%</w:t>
            </w:r>
          </w:p>
        </w:tc>
        <w:tc>
          <w:tcPr>
            <w:tcW w:w="2881" w:type="dxa"/>
            <w:tcBorders>
              <w:bottom w:val="single" w:sz="4" w:space="0" w:color="000000"/>
              <w:right w:val="single" w:sz="4" w:space="0" w:color="000000"/>
            </w:tcBorders>
          </w:tcPr>
          <w:p w:rsidR="00F3177F" w:rsidRDefault="0089671D">
            <w:pPr>
              <w:pStyle w:val="TableParagraph"/>
              <w:spacing w:before="155"/>
              <w:ind w:left="186" w:right="195"/>
              <w:jc w:val="center"/>
              <w:rPr>
                <w:sz w:val="24"/>
              </w:rPr>
            </w:pPr>
            <w:r>
              <w:rPr>
                <w:sz w:val="24"/>
              </w:rPr>
              <w:t>Do you have asthma?</w:t>
            </w:r>
          </w:p>
        </w:tc>
        <w:tc>
          <w:tcPr>
            <w:tcW w:w="960" w:type="dxa"/>
            <w:tcBorders>
              <w:left w:val="single" w:sz="4" w:space="0" w:color="000000"/>
              <w:bottom w:val="single" w:sz="4" w:space="0" w:color="000000"/>
            </w:tcBorders>
          </w:tcPr>
          <w:p w:rsidR="00F3177F" w:rsidRDefault="0089671D">
            <w:pPr>
              <w:pStyle w:val="TableParagraph"/>
              <w:spacing w:before="155"/>
              <w:ind w:left="143" w:right="140"/>
              <w:jc w:val="center"/>
              <w:rPr>
                <w:sz w:val="24"/>
              </w:rPr>
            </w:pPr>
            <w:r>
              <w:rPr>
                <w:sz w:val="24"/>
              </w:rPr>
              <w:t>4%</w:t>
            </w:r>
          </w:p>
        </w:tc>
      </w:tr>
      <w:tr w:rsidR="00F3177F">
        <w:trPr>
          <w:trHeight w:hRule="exact" w:val="850"/>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4"/>
              <w:ind w:left="225" w:right="232" w:firstLine="1"/>
              <w:jc w:val="center"/>
              <w:rPr>
                <w:sz w:val="24"/>
              </w:rPr>
            </w:pPr>
            <w:r>
              <w:rPr>
                <w:sz w:val="24"/>
              </w:rPr>
              <w:t>Do you use regular medication for asthma or allergies?</w:t>
            </w:r>
          </w:p>
        </w:tc>
        <w:tc>
          <w:tcPr>
            <w:tcW w:w="960" w:type="dxa"/>
            <w:tcBorders>
              <w:top w:val="single" w:sz="4" w:space="0" w:color="000000"/>
              <w:left w:val="single" w:sz="4" w:space="0" w:color="000000"/>
              <w:bottom w:val="single" w:sz="4" w:space="0" w:color="000000"/>
            </w:tcBorders>
          </w:tcPr>
          <w:p w:rsidR="00F3177F" w:rsidRDefault="00F3177F">
            <w:pPr>
              <w:pStyle w:val="TableParagraph"/>
              <w:spacing w:before="3"/>
              <w:rPr>
                <w:sz w:val="24"/>
              </w:rPr>
            </w:pPr>
          </w:p>
          <w:p w:rsidR="00F3177F" w:rsidRDefault="0089671D">
            <w:pPr>
              <w:pStyle w:val="TableParagraph"/>
              <w:spacing w:before="1"/>
              <w:ind w:left="145" w:right="140"/>
              <w:jc w:val="center"/>
              <w:rPr>
                <w:sz w:val="24"/>
              </w:rPr>
            </w:pPr>
            <w:r>
              <w:rPr>
                <w:sz w:val="24"/>
              </w:rPr>
              <w:t>5.8%</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4"/>
              <w:ind w:left="225" w:right="233" w:firstLine="2"/>
              <w:jc w:val="center"/>
              <w:rPr>
                <w:sz w:val="24"/>
              </w:rPr>
            </w:pPr>
            <w:r>
              <w:rPr>
                <w:sz w:val="24"/>
              </w:rPr>
              <w:t>Do you use regular medication for asthma or allergies?</w:t>
            </w:r>
          </w:p>
        </w:tc>
        <w:tc>
          <w:tcPr>
            <w:tcW w:w="960" w:type="dxa"/>
            <w:tcBorders>
              <w:top w:val="single" w:sz="4" w:space="0" w:color="000000"/>
              <w:left w:val="single" w:sz="4" w:space="0" w:color="000000"/>
              <w:bottom w:val="single" w:sz="4" w:space="0" w:color="000000"/>
            </w:tcBorders>
          </w:tcPr>
          <w:p w:rsidR="00F3177F" w:rsidRDefault="00F3177F">
            <w:pPr>
              <w:pStyle w:val="TableParagraph"/>
              <w:spacing w:before="3"/>
              <w:rPr>
                <w:sz w:val="24"/>
              </w:rPr>
            </w:pPr>
          </w:p>
          <w:p w:rsidR="00F3177F" w:rsidRDefault="0089671D">
            <w:pPr>
              <w:pStyle w:val="TableParagraph"/>
              <w:spacing w:before="1"/>
              <w:ind w:left="145" w:right="140"/>
              <w:jc w:val="center"/>
              <w:rPr>
                <w:sz w:val="24"/>
              </w:rPr>
            </w:pPr>
            <w:r>
              <w:rPr>
                <w:sz w:val="24"/>
              </w:rPr>
              <w:t>10.2%</w:t>
            </w:r>
          </w:p>
        </w:tc>
      </w:tr>
      <w:tr w:rsidR="00F3177F">
        <w:trPr>
          <w:trHeight w:hRule="exact" w:val="619"/>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2"/>
              <w:ind w:left="189" w:right="194"/>
              <w:jc w:val="center"/>
              <w:rPr>
                <w:sz w:val="24"/>
              </w:rPr>
            </w:pPr>
            <w:r>
              <w:rPr>
                <w:sz w:val="24"/>
              </w:rPr>
              <w:t>Do you have a cough?</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7.5%</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2"/>
              <w:ind w:left="189" w:right="195"/>
              <w:jc w:val="center"/>
              <w:rPr>
                <w:sz w:val="24"/>
              </w:rPr>
            </w:pPr>
            <w:r>
              <w:rPr>
                <w:sz w:val="24"/>
              </w:rPr>
              <w:t>Do you have a cold?</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11.4%</w:t>
            </w:r>
          </w:p>
        </w:tc>
      </w:tr>
      <w:tr w:rsidR="00F3177F">
        <w:trPr>
          <w:trHeight w:hRule="exact" w:val="1123"/>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
              <w:ind w:left="188" w:right="195"/>
              <w:jc w:val="center"/>
              <w:rPr>
                <w:sz w:val="24"/>
              </w:rPr>
            </w:pPr>
            <w:r>
              <w:rPr>
                <w:sz w:val="24"/>
              </w:rPr>
              <w:t>Is there distracting hiss or noise from ventilation or other things in the building?</w:t>
            </w:r>
          </w:p>
        </w:tc>
        <w:tc>
          <w:tcPr>
            <w:tcW w:w="960" w:type="dxa"/>
            <w:tcBorders>
              <w:top w:val="single" w:sz="4" w:space="0" w:color="000000"/>
              <w:left w:val="single" w:sz="4" w:space="0" w:color="000000"/>
              <w:bottom w:val="single" w:sz="4" w:space="0" w:color="000000"/>
            </w:tcBorders>
          </w:tcPr>
          <w:p w:rsidR="00F3177F" w:rsidRDefault="00F3177F">
            <w:pPr>
              <w:pStyle w:val="TableParagraph"/>
              <w:rPr>
                <w:sz w:val="24"/>
              </w:rPr>
            </w:pPr>
          </w:p>
          <w:p w:rsidR="00F3177F" w:rsidRDefault="0089671D">
            <w:pPr>
              <w:pStyle w:val="TableParagraph"/>
              <w:spacing w:before="140"/>
              <w:ind w:left="145" w:right="140"/>
              <w:jc w:val="center"/>
              <w:rPr>
                <w:sz w:val="24"/>
              </w:rPr>
            </w:pPr>
            <w:r>
              <w:rPr>
                <w:sz w:val="24"/>
              </w:rPr>
              <w:t>7.9%</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
              <w:ind w:left="189" w:right="195"/>
              <w:jc w:val="center"/>
              <w:rPr>
                <w:sz w:val="24"/>
              </w:rPr>
            </w:pPr>
            <w:r>
              <w:rPr>
                <w:sz w:val="24"/>
              </w:rPr>
              <w:t>Is there distracting hiss or noise from ventilation or other things in the building?</w:t>
            </w:r>
          </w:p>
        </w:tc>
        <w:tc>
          <w:tcPr>
            <w:tcW w:w="960" w:type="dxa"/>
            <w:tcBorders>
              <w:top w:val="single" w:sz="4" w:space="0" w:color="000000"/>
              <w:left w:val="single" w:sz="4" w:space="0" w:color="000000"/>
              <w:bottom w:val="single" w:sz="4" w:space="0" w:color="000000"/>
            </w:tcBorders>
          </w:tcPr>
          <w:p w:rsidR="00F3177F" w:rsidRDefault="00F3177F">
            <w:pPr>
              <w:pStyle w:val="TableParagraph"/>
              <w:rPr>
                <w:sz w:val="24"/>
              </w:rPr>
            </w:pPr>
          </w:p>
          <w:p w:rsidR="00F3177F" w:rsidRDefault="0089671D">
            <w:pPr>
              <w:pStyle w:val="TableParagraph"/>
              <w:spacing w:before="140"/>
              <w:ind w:left="145" w:right="140"/>
              <w:jc w:val="center"/>
              <w:rPr>
                <w:sz w:val="24"/>
              </w:rPr>
            </w:pPr>
            <w:r>
              <w:rPr>
                <w:sz w:val="24"/>
              </w:rPr>
              <w:t>11.9%</w:t>
            </w:r>
          </w:p>
        </w:tc>
      </w:tr>
      <w:tr w:rsidR="00F3177F">
        <w:trPr>
          <w:trHeight w:hRule="exact" w:val="622"/>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4"/>
              <w:ind w:left="189" w:right="195"/>
              <w:jc w:val="center"/>
              <w:rPr>
                <w:sz w:val="24"/>
              </w:rPr>
            </w:pPr>
            <w:r>
              <w:rPr>
                <w:sz w:val="24"/>
              </w:rPr>
              <w:t>Do you have a cold?</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2" w:right="140"/>
              <w:jc w:val="center"/>
              <w:rPr>
                <w:sz w:val="24"/>
              </w:rPr>
            </w:pPr>
            <w:r>
              <w:rPr>
                <w:sz w:val="24"/>
              </w:rPr>
              <w:t>10%</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28"/>
              <w:ind w:left="847" w:right="278" w:hanging="552"/>
              <w:rPr>
                <w:sz w:val="24"/>
              </w:rPr>
            </w:pPr>
            <w:r>
              <w:rPr>
                <w:sz w:val="24"/>
              </w:rPr>
              <w:t>Do you have a runny or stuffy nose?</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4"/>
              <w:ind w:left="145" w:right="140"/>
              <w:jc w:val="center"/>
              <w:rPr>
                <w:sz w:val="24"/>
              </w:rPr>
            </w:pPr>
            <w:r>
              <w:rPr>
                <w:sz w:val="24"/>
              </w:rPr>
              <w:t>11.9%</w:t>
            </w:r>
          </w:p>
        </w:tc>
      </w:tr>
      <w:tr w:rsidR="00F3177F">
        <w:trPr>
          <w:trHeight w:hRule="exact" w:val="619"/>
        </w:trPr>
        <w:tc>
          <w:tcPr>
            <w:tcW w:w="698" w:type="dxa"/>
            <w:vMerge/>
            <w:textDirection w:val="btLr"/>
          </w:tcPr>
          <w:p w:rsidR="00F3177F" w:rsidRDefault="00F3177F"/>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2"/>
              <w:ind w:left="80" w:right="86"/>
              <w:jc w:val="center"/>
              <w:rPr>
                <w:sz w:val="24"/>
              </w:rPr>
            </w:pPr>
            <w:r>
              <w:rPr>
                <w:sz w:val="24"/>
              </w:rPr>
              <w:t>Do your hands or face itch?</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10.8%</w:t>
            </w:r>
          </w:p>
        </w:tc>
        <w:tc>
          <w:tcPr>
            <w:tcW w:w="2881" w:type="dxa"/>
            <w:tcBorders>
              <w:top w:val="single" w:sz="4" w:space="0" w:color="000000"/>
              <w:bottom w:val="single" w:sz="4" w:space="0" w:color="000000"/>
              <w:right w:val="single" w:sz="4" w:space="0" w:color="000000"/>
            </w:tcBorders>
          </w:tcPr>
          <w:p w:rsidR="00F3177F" w:rsidRDefault="0089671D">
            <w:pPr>
              <w:pStyle w:val="TableParagraph"/>
              <w:spacing w:before="162"/>
              <w:ind w:left="80" w:right="86"/>
              <w:jc w:val="center"/>
              <w:rPr>
                <w:sz w:val="24"/>
              </w:rPr>
            </w:pPr>
            <w:r>
              <w:rPr>
                <w:sz w:val="24"/>
              </w:rPr>
              <w:t>Do your hands or face itch?</w:t>
            </w:r>
          </w:p>
        </w:tc>
        <w:tc>
          <w:tcPr>
            <w:tcW w:w="960" w:type="dxa"/>
            <w:tcBorders>
              <w:top w:val="single" w:sz="4" w:space="0" w:color="000000"/>
              <w:left w:val="single" w:sz="4" w:space="0" w:color="000000"/>
              <w:bottom w:val="single" w:sz="4" w:space="0" w:color="000000"/>
            </w:tcBorders>
          </w:tcPr>
          <w:p w:rsidR="00F3177F" w:rsidRDefault="0089671D">
            <w:pPr>
              <w:pStyle w:val="TableParagraph"/>
              <w:spacing w:before="162"/>
              <w:ind w:left="145" w:right="140"/>
              <w:jc w:val="center"/>
              <w:rPr>
                <w:sz w:val="24"/>
              </w:rPr>
            </w:pPr>
            <w:r>
              <w:rPr>
                <w:sz w:val="24"/>
              </w:rPr>
              <w:t>12.5%</w:t>
            </w:r>
          </w:p>
        </w:tc>
      </w:tr>
      <w:tr w:rsidR="00F3177F">
        <w:trPr>
          <w:trHeight w:hRule="exact" w:val="626"/>
        </w:trPr>
        <w:tc>
          <w:tcPr>
            <w:tcW w:w="698" w:type="dxa"/>
            <w:vMerge/>
            <w:textDirection w:val="btLr"/>
          </w:tcPr>
          <w:p w:rsidR="00F3177F" w:rsidRDefault="00F3177F"/>
        </w:tc>
        <w:tc>
          <w:tcPr>
            <w:tcW w:w="2881" w:type="dxa"/>
            <w:tcBorders>
              <w:top w:val="single" w:sz="4" w:space="0" w:color="000000"/>
              <w:right w:val="single" w:sz="4" w:space="0" w:color="000000"/>
            </w:tcBorders>
          </w:tcPr>
          <w:p w:rsidR="00F3177F" w:rsidRDefault="0089671D">
            <w:pPr>
              <w:pStyle w:val="TableParagraph"/>
              <w:spacing w:before="25"/>
              <w:ind w:left="847" w:right="278" w:hanging="552"/>
              <w:rPr>
                <w:sz w:val="24"/>
              </w:rPr>
            </w:pPr>
            <w:r>
              <w:rPr>
                <w:sz w:val="24"/>
              </w:rPr>
              <w:t>Do you have a runny or stuffy nose?</w:t>
            </w:r>
          </w:p>
        </w:tc>
        <w:tc>
          <w:tcPr>
            <w:tcW w:w="960" w:type="dxa"/>
            <w:tcBorders>
              <w:top w:val="single" w:sz="4" w:space="0" w:color="000000"/>
              <w:left w:val="single" w:sz="4" w:space="0" w:color="000000"/>
            </w:tcBorders>
          </w:tcPr>
          <w:p w:rsidR="00F3177F" w:rsidRDefault="0089671D">
            <w:pPr>
              <w:pStyle w:val="TableParagraph"/>
              <w:spacing w:before="164"/>
              <w:ind w:left="145" w:right="140"/>
              <w:jc w:val="center"/>
              <w:rPr>
                <w:sz w:val="24"/>
              </w:rPr>
            </w:pPr>
            <w:r>
              <w:rPr>
                <w:sz w:val="24"/>
              </w:rPr>
              <w:t>12.5%</w:t>
            </w:r>
          </w:p>
        </w:tc>
        <w:tc>
          <w:tcPr>
            <w:tcW w:w="2881" w:type="dxa"/>
            <w:tcBorders>
              <w:top w:val="single" w:sz="4" w:space="0" w:color="000000"/>
              <w:right w:val="single" w:sz="4" w:space="0" w:color="000000"/>
            </w:tcBorders>
          </w:tcPr>
          <w:p w:rsidR="00F3177F" w:rsidRDefault="0089671D">
            <w:pPr>
              <w:pStyle w:val="TableParagraph"/>
              <w:spacing w:before="25"/>
              <w:ind w:left="160" w:right="147" w:firstLine="120"/>
              <w:rPr>
                <w:sz w:val="24"/>
              </w:rPr>
            </w:pPr>
            <w:r>
              <w:rPr>
                <w:sz w:val="24"/>
              </w:rPr>
              <w:t>Do you feel the draft on your feet or on your neck?</w:t>
            </w:r>
          </w:p>
        </w:tc>
        <w:tc>
          <w:tcPr>
            <w:tcW w:w="960" w:type="dxa"/>
            <w:tcBorders>
              <w:top w:val="single" w:sz="4" w:space="0" w:color="000000"/>
              <w:left w:val="single" w:sz="4" w:space="0" w:color="000000"/>
            </w:tcBorders>
          </w:tcPr>
          <w:p w:rsidR="00F3177F" w:rsidRDefault="0089671D">
            <w:pPr>
              <w:pStyle w:val="TableParagraph"/>
              <w:spacing w:before="164"/>
              <w:ind w:left="145" w:right="140"/>
              <w:jc w:val="center"/>
              <w:rPr>
                <w:sz w:val="24"/>
              </w:rPr>
            </w:pPr>
            <w:r>
              <w:rPr>
                <w:sz w:val="24"/>
              </w:rPr>
              <w:t>13.6%</w:t>
            </w:r>
          </w:p>
        </w:tc>
      </w:tr>
    </w:tbl>
    <w:p w:rsidR="00F3177F" w:rsidRDefault="00F3177F">
      <w:pPr>
        <w:jc w:val="center"/>
        <w:rPr>
          <w:sz w:val="24"/>
        </w:rPr>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14"/>
        <w:jc w:val="both"/>
      </w:pPr>
      <w:r>
        <w:lastRenderedPageBreak/>
        <w:t>Although the complaint levels for none of the items was higher than 50% in the high energy consuming schools, for six items students’ complaint levels were higher than 50% in the low energy consuming schools. The most common complaints in both low and high energy consuming schools are ‘annoying light from the Sun’, ‘disturbing heat from the Sun’, ‘tiredness’ and ‘feeling cold in the classroom in winter’. The first two of them can be related to school or/and classroom design as the light and heat from the sun disturb students in both groups of the schools. Tiredness can be related to numerous factors although heavy sunlight exposure may cause it in hot weathers. However, the most striking result is that the highest level of complaint in average in both groups is that students feel cold in the classroom in winter. Even if 45.4% of the students in high energy consuming schools in PCM feel cold during winter, school energy consumption and students’ comfort practice in state primary and secondary schools in PCM need to be regulated and improved. Furthermore, the same problem in the low energy consuming schools where the complaint percentage was 75% can influence students’ comfort and consequently success levels</w:t>
      </w:r>
      <w:r>
        <w:rPr>
          <w:spacing w:val="-12"/>
        </w:rPr>
        <w:t xml:space="preserve"> </w:t>
      </w:r>
      <w:r>
        <w:t>considerably.</w:t>
      </w:r>
    </w:p>
    <w:p w:rsidR="00F3177F" w:rsidRDefault="00F3177F">
      <w:pPr>
        <w:pStyle w:val="BodyText"/>
      </w:pPr>
    </w:p>
    <w:p w:rsidR="00F3177F" w:rsidRDefault="0089671D">
      <w:pPr>
        <w:pStyle w:val="BodyText"/>
        <w:spacing w:before="143" w:line="360" w:lineRule="auto"/>
        <w:ind w:left="584" w:right="118"/>
        <w:jc w:val="both"/>
      </w:pPr>
      <w:r>
        <w:t xml:space="preserve">The most common low-level complaints are ‘having asthma’, ‘using regular medication for asthma or allergies’, ‘distracting hiss or noise from ventilation or other things in the building’, ‘having an itchy sense in hands and face’, ‘having a runny or stuffy nose’ and ‘having a cold’. The items related to asthma and itching sense can be explained as Pristina is a small and not heavily industrialized city with relatively less traffic in the city center. </w:t>
      </w:r>
      <w:r>
        <w:rPr>
          <w:spacing w:val="-3"/>
        </w:rPr>
        <w:t xml:space="preserve">It </w:t>
      </w:r>
      <w:r>
        <w:t xml:space="preserve">is also understandable that there is little distracting hiss or noise from ventilation or other things as none of the classroom as the author visited and surveyed has got a ventilator, even a computer or projector. </w:t>
      </w:r>
      <w:r>
        <w:rPr>
          <w:spacing w:val="-3"/>
        </w:rPr>
        <w:t xml:space="preserve">In </w:t>
      </w:r>
      <w:r>
        <w:t xml:space="preserve">fact, the classrooms have not got any energy consuming appliances except for lighting and heating, and natural ventilation is the only practice for IAQ along with cooling. Additionally, Örebro questionnaire was applied in April and it is natural that students complain little about being cold and having a runny noise. If the same questionnaire was applied in winter, the percentages could be different. Moreover, percentage of feeling cold in  </w:t>
      </w:r>
      <w:r>
        <w:rPr>
          <w:spacing w:val="52"/>
        </w:rPr>
        <w:t xml:space="preserve"> </w:t>
      </w:r>
      <w:r>
        <w:t>classrooms</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pPr>
        <w:pStyle w:val="BodyText"/>
        <w:spacing w:before="54" w:line="360" w:lineRule="auto"/>
        <w:ind w:left="584" w:right="176"/>
        <w:jc w:val="both"/>
      </w:pPr>
      <w:proofErr w:type="gramStart"/>
      <w:r>
        <w:lastRenderedPageBreak/>
        <w:t>in</w:t>
      </w:r>
      <w:proofErr w:type="gramEnd"/>
      <w:r>
        <w:t xml:space="preserve"> winter could be found higher as students may not remember how cold they were in cold seasons and even they would like to feel a bit cooler since chilly weather in the  past can seem pleasant in hot</w:t>
      </w:r>
      <w:r>
        <w:rPr>
          <w:spacing w:val="-7"/>
        </w:rPr>
        <w:t xml:space="preserve"> </w:t>
      </w:r>
      <w:r>
        <w:t>seasons.</w:t>
      </w:r>
    </w:p>
    <w:p w:rsidR="00F3177F" w:rsidRDefault="00F3177F">
      <w:pPr>
        <w:pStyle w:val="BodyText"/>
      </w:pPr>
    </w:p>
    <w:p w:rsidR="00F3177F" w:rsidRDefault="0089671D">
      <w:pPr>
        <w:pStyle w:val="BodyText"/>
        <w:spacing w:before="143" w:line="360" w:lineRule="auto"/>
        <w:ind w:left="584" w:right="175"/>
        <w:jc w:val="both"/>
      </w:pPr>
      <w:r>
        <w:t>As the main purpose of the second phase of the research is to find differences in</w:t>
      </w:r>
      <w:r w:rsidR="007D70AE">
        <w:t xml:space="preserve"> </w:t>
      </w:r>
      <w:r>
        <w:t>between the students’ comfort levels in high and low energy consuming schools, Table 10 below provides a list of biggest differences in which the complaint percentages are higher in low energy consuming</w:t>
      </w:r>
      <w:r>
        <w:rPr>
          <w:spacing w:val="-8"/>
        </w:rPr>
        <w:t xml:space="preserve"> </w:t>
      </w:r>
      <w:r>
        <w:t>schools.</w:t>
      </w:r>
    </w:p>
    <w:p w:rsidR="00F3177F" w:rsidRDefault="00F3177F">
      <w:pPr>
        <w:pStyle w:val="BodyText"/>
      </w:pPr>
    </w:p>
    <w:p w:rsidR="00F3177F" w:rsidRDefault="0089671D">
      <w:pPr>
        <w:pStyle w:val="BodyText"/>
        <w:spacing w:before="141"/>
        <w:ind w:left="584" w:right="172"/>
        <w:jc w:val="both"/>
      </w:pPr>
      <w:r>
        <w:t>Table 10: Items with the Highest Comfort Level Differences in Favor of High Energy Consuming Schools and Percentages of the Differences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7"/>
        <w:gridCol w:w="1440"/>
      </w:tblGrid>
      <w:tr w:rsidR="00F3177F">
        <w:trPr>
          <w:trHeight w:hRule="exact" w:val="838"/>
        </w:trPr>
        <w:tc>
          <w:tcPr>
            <w:tcW w:w="7127" w:type="dxa"/>
          </w:tcPr>
          <w:p w:rsidR="00F3177F" w:rsidRDefault="00F3177F">
            <w:pPr>
              <w:pStyle w:val="TableParagraph"/>
              <w:spacing w:before="3"/>
              <w:rPr>
                <w:sz w:val="23"/>
              </w:rPr>
            </w:pPr>
          </w:p>
          <w:p w:rsidR="00F3177F" w:rsidRDefault="0089671D">
            <w:pPr>
              <w:pStyle w:val="TableParagraph"/>
              <w:ind w:left="1341"/>
              <w:rPr>
                <w:sz w:val="24"/>
              </w:rPr>
            </w:pPr>
            <w:r>
              <w:rPr>
                <w:sz w:val="24"/>
              </w:rPr>
              <w:t>Items with the Highest Complaint Differences</w:t>
            </w:r>
          </w:p>
        </w:tc>
        <w:tc>
          <w:tcPr>
            <w:tcW w:w="1440" w:type="dxa"/>
          </w:tcPr>
          <w:p w:rsidR="00F3177F" w:rsidRDefault="0089671D">
            <w:pPr>
              <w:pStyle w:val="TableParagraph"/>
              <w:ind w:left="192" w:right="194"/>
              <w:jc w:val="center"/>
              <w:rPr>
                <w:sz w:val="24"/>
              </w:rPr>
            </w:pPr>
            <w:r>
              <w:rPr>
                <w:sz w:val="24"/>
              </w:rPr>
              <w:t>percentage of    difference</w:t>
            </w:r>
          </w:p>
        </w:tc>
      </w:tr>
      <w:tr w:rsidR="00F3177F">
        <w:trPr>
          <w:trHeight w:hRule="exact" w:val="451"/>
        </w:trPr>
        <w:tc>
          <w:tcPr>
            <w:tcW w:w="7127" w:type="dxa"/>
            <w:tcBorders>
              <w:left w:val="single" w:sz="8" w:space="0" w:color="000000"/>
            </w:tcBorders>
          </w:tcPr>
          <w:p w:rsidR="00F3177F" w:rsidRDefault="0089671D">
            <w:pPr>
              <w:pStyle w:val="TableParagraph"/>
              <w:spacing w:before="76"/>
              <w:ind w:left="98"/>
              <w:rPr>
                <w:sz w:val="24"/>
              </w:rPr>
            </w:pPr>
            <w:r>
              <w:rPr>
                <w:sz w:val="24"/>
              </w:rPr>
              <w:t>18. Do you feel cold in the classroom in WINTER?</w:t>
            </w:r>
          </w:p>
        </w:tc>
        <w:tc>
          <w:tcPr>
            <w:tcW w:w="1440" w:type="dxa"/>
          </w:tcPr>
          <w:p w:rsidR="00F3177F" w:rsidRDefault="0089671D">
            <w:pPr>
              <w:pStyle w:val="TableParagraph"/>
              <w:spacing w:before="76"/>
              <w:ind w:left="134" w:right="139"/>
              <w:jc w:val="center"/>
              <w:rPr>
                <w:sz w:val="24"/>
              </w:rPr>
            </w:pPr>
            <w:r>
              <w:rPr>
                <w:sz w:val="24"/>
              </w:rPr>
              <w:t>29.6</w:t>
            </w:r>
          </w:p>
        </w:tc>
      </w:tr>
      <w:tr w:rsidR="00F3177F">
        <w:trPr>
          <w:trHeight w:hRule="exact" w:val="449"/>
        </w:trPr>
        <w:tc>
          <w:tcPr>
            <w:tcW w:w="7127" w:type="dxa"/>
            <w:tcBorders>
              <w:left w:val="single" w:sz="8" w:space="0" w:color="000000"/>
            </w:tcBorders>
          </w:tcPr>
          <w:p w:rsidR="00F3177F" w:rsidRDefault="0089671D">
            <w:pPr>
              <w:pStyle w:val="TableParagraph"/>
              <w:spacing w:before="73"/>
              <w:ind w:left="98"/>
              <w:rPr>
                <w:sz w:val="24"/>
              </w:rPr>
            </w:pPr>
            <w:r>
              <w:rPr>
                <w:sz w:val="24"/>
              </w:rPr>
              <w:t>21. Does the air feel heavy or poor (bad)?</w:t>
            </w:r>
          </w:p>
        </w:tc>
        <w:tc>
          <w:tcPr>
            <w:tcW w:w="1440" w:type="dxa"/>
          </w:tcPr>
          <w:p w:rsidR="00F3177F" w:rsidRDefault="0089671D">
            <w:pPr>
              <w:pStyle w:val="TableParagraph"/>
              <w:spacing w:before="73"/>
              <w:ind w:left="134" w:right="139"/>
              <w:jc w:val="center"/>
              <w:rPr>
                <w:sz w:val="24"/>
              </w:rPr>
            </w:pPr>
            <w:r>
              <w:rPr>
                <w:sz w:val="24"/>
              </w:rPr>
              <w:t>26.7</w:t>
            </w:r>
          </w:p>
        </w:tc>
      </w:tr>
      <w:tr w:rsidR="00F3177F">
        <w:trPr>
          <w:trHeight w:hRule="exact" w:val="562"/>
        </w:trPr>
        <w:tc>
          <w:tcPr>
            <w:tcW w:w="7127" w:type="dxa"/>
            <w:tcBorders>
              <w:left w:val="single" w:sz="8" w:space="0" w:color="000000"/>
            </w:tcBorders>
          </w:tcPr>
          <w:p w:rsidR="00F3177F" w:rsidRDefault="0089671D">
            <w:pPr>
              <w:pStyle w:val="TableParagraph"/>
              <w:ind w:left="458" w:right="2396" w:hanging="360"/>
              <w:rPr>
                <w:sz w:val="24"/>
              </w:rPr>
            </w:pPr>
            <w:r>
              <w:rPr>
                <w:sz w:val="24"/>
              </w:rPr>
              <w:t>17. Is there distracting noise outdoors (from the traffic/schoolyard/construction, or the like)?</w:t>
            </w:r>
          </w:p>
        </w:tc>
        <w:tc>
          <w:tcPr>
            <w:tcW w:w="1440" w:type="dxa"/>
          </w:tcPr>
          <w:p w:rsidR="00F3177F" w:rsidRDefault="0089671D">
            <w:pPr>
              <w:pStyle w:val="TableParagraph"/>
              <w:spacing w:before="128"/>
              <w:ind w:left="134" w:right="139"/>
              <w:jc w:val="center"/>
              <w:rPr>
                <w:sz w:val="24"/>
              </w:rPr>
            </w:pPr>
            <w:r>
              <w:rPr>
                <w:sz w:val="24"/>
              </w:rPr>
              <w:t>20.7</w:t>
            </w:r>
          </w:p>
        </w:tc>
      </w:tr>
      <w:tr w:rsidR="00F3177F">
        <w:trPr>
          <w:trHeight w:hRule="exact" w:val="449"/>
        </w:trPr>
        <w:tc>
          <w:tcPr>
            <w:tcW w:w="7127" w:type="dxa"/>
          </w:tcPr>
          <w:p w:rsidR="00F3177F" w:rsidRDefault="0089671D">
            <w:pPr>
              <w:pStyle w:val="TableParagraph"/>
              <w:spacing w:before="74"/>
              <w:ind w:left="103"/>
              <w:rPr>
                <w:sz w:val="24"/>
              </w:rPr>
            </w:pPr>
            <w:r>
              <w:rPr>
                <w:sz w:val="24"/>
              </w:rPr>
              <w:t>27. Does the heat/temperature from the Sun disturb?</w:t>
            </w:r>
          </w:p>
        </w:tc>
        <w:tc>
          <w:tcPr>
            <w:tcW w:w="1440" w:type="dxa"/>
          </w:tcPr>
          <w:p w:rsidR="00F3177F" w:rsidRDefault="0089671D">
            <w:pPr>
              <w:pStyle w:val="TableParagraph"/>
              <w:spacing w:before="74"/>
              <w:ind w:left="134" w:right="139"/>
              <w:jc w:val="center"/>
              <w:rPr>
                <w:sz w:val="24"/>
              </w:rPr>
            </w:pPr>
            <w:r>
              <w:rPr>
                <w:sz w:val="24"/>
              </w:rPr>
              <w:t>20.7</w:t>
            </w:r>
          </w:p>
        </w:tc>
      </w:tr>
      <w:tr w:rsidR="00F3177F">
        <w:trPr>
          <w:trHeight w:hRule="exact" w:val="449"/>
        </w:trPr>
        <w:tc>
          <w:tcPr>
            <w:tcW w:w="7127" w:type="dxa"/>
          </w:tcPr>
          <w:p w:rsidR="00F3177F" w:rsidRDefault="0089671D">
            <w:pPr>
              <w:pStyle w:val="TableParagraph"/>
              <w:spacing w:before="73"/>
              <w:ind w:left="103"/>
              <w:rPr>
                <w:sz w:val="24"/>
              </w:rPr>
            </w:pPr>
            <w:r>
              <w:rPr>
                <w:sz w:val="24"/>
              </w:rPr>
              <w:t>23. Are there any unpleasant odors (smell)?</w:t>
            </w:r>
          </w:p>
        </w:tc>
        <w:tc>
          <w:tcPr>
            <w:tcW w:w="1440" w:type="dxa"/>
          </w:tcPr>
          <w:p w:rsidR="00F3177F" w:rsidRDefault="0089671D">
            <w:pPr>
              <w:pStyle w:val="TableParagraph"/>
              <w:spacing w:before="73"/>
              <w:ind w:left="134" w:right="139"/>
              <w:jc w:val="center"/>
              <w:rPr>
                <w:sz w:val="24"/>
              </w:rPr>
            </w:pPr>
            <w:r>
              <w:rPr>
                <w:sz w:val="24"/>
              </w:rPr>
              <w:t>20.6</w:t>
            </w:r>
          </w:p>
        </w:tc>
      </w:tr>
      <w:tr w:rsidR="00F3177F">
        <w:trPr>
          <w:trHeight w:hRule="exact" w:val="449"/>
        </w:trPr>
        <w:tc>
          <w:tcPr>
            <w:tcW w:w="7127" w:type="dxa"/>
          </w:tcPr>
          <w:p w:rsidR="00F3177F" w:rsidRDefault="0089671D">
            <w:pPr>
              <w:pStyle w:val="TableParagraph"/>
              <w:spacing w:before="73"/>
              <w:ind w:left="103"/>
              <w:rPr>
                <w:sz w:val="24"/>
              </w:rPr>
            </w:pPr>
            <w:r>
              <w:rPr>
                <w:sz w:val="24"/>
              </w:rPr>
              <w:t>22. Does the air feel dry?</w:t>
            </w:r>
          </w:p>
        </w:tc>
        <w:tc>
          <w:tcPr>
            <w:tcW w:w="1440" w:type="dxa"/>
          </w:tcPr>
          <w:p w:rsidR="00F3177F" w:rsidRDefault="0089671D">
            <w:pPr>
              <w:pStyle w:val="TableParagraph"/>
              <w:spacing w:before="73"/>
              <w:ind w:left="137" w:right="139"/>
              <w:jc w:val="center"/>
              <w:rPr>
                <w:sz w:val="24"/>
              </w:rPr>
            </w:pPr>
            <w:r>
              <w:rPr>
                <w:sz w:val="24"/>
              </w:rPr>
              <w:t>18</w:t>
            </w:r>
          </w:p>
        </w:tc>
      </w:tr>
      <w:tr w:rsidR="00F3177F">
        <w:trPr>
          <w:trHeight w:hRule="exact" w:val="449"/>
        </w:trPr>
        <w:tc>
          <w:tcPr>
            <w:tcW w:w="7127" w:type="dxa"/>
          </w:tcPr>
          <w:p w:rsidR="00F3177F" w:rsidRDefault="0089671D">
            <w:pPr>
              <w:pStyle w:val="TableParagraph"/>
              <w:spacing w:before="73"/>
              <w:ind w:left="103"/>
              <w:rPr>
                <w:sz w:val="24"/>
              </w:rPr>
            </w:pPr>
            <w:r>
              <w:rPr>
                <w:sz w:val="24"/>
              </w:rPr>
              <w:t>31. Is there annoying light from the Sun?</w:t>
            </w:r>
          </w:p>
        </w:tc>
        <w:tc>
          <w:tcPr>
            <w:tcW w:w="1440" w:type="dxa"/>
          </w:tcPr>
          <w:p w:rsidR="00F3177F" w:rsidRDefault="0089671D">
            <w:pPr>
              <w:pStyle w:val="TableParagraph"/>
              <w:spacing w:before="73"/>
              <w:ind w:left="134" w:right="139"/>
              <w:jc w:val="center"/>
              <w:rPr>
                <w:sz w:val="24"/>
              </w:rPr>
            </w:pPr>
            <w:r>
              <w:rPr>
                <w:sz w:val="24"/>
              </w:rPr>
              <w:t>17.4</w:t>
            </w:r>
          </w:p>
        </w:tc>
      </w:tr>
      <w:tr w:rsidR="00F3177F">
        <w:trPr>
          <w:trHeight w:hRule="exact" w:val="449"/>
        </w:trPr>
        <w:tc>
          <w:tcPr>
            <w:tcW w:w="7127" w:type="dxa"/>
          </w:tcPr>
          <w:p w:rsidR="00F3177F" w:rsidRDefault="0089671D">
            <w:pPr>
              <w:pStyle w:val="TableParagraph"/>
              <w:spacing w:before="73"/>
              <w:ind w:left="103"/>
              <w:rPr>
                <w:sz w:val="24"/>
              </w:rPr>
            </w:pPr>
            <w:r>
              <w:rPr>
                <w:sz w:val="24"/>
              </w:rPr>
              <w:t>16. Is it too hot?</w:t>
            </w:r>
          </w:p>
        </w:tc>
        <w:tc>
          <w:tcPr>
            <w:tcW w:w="1440" w:type="dxa"/>
          </w:tcPr>
          <w:p w:rsidR="00F3177F" w:rsidRDefault="0089671D">
            <w:pPr>
              <w:pStyle w:val="TableParagraph"/>
              <w:spacing w:before="73"/>
              <w:ind w:left="134" w:right="139"/>
              <w:jc w:val="center"/>
              <w:rPr>
                <w:sz w:val="24"/>
              </w:rPr>
            </w:pPr>
            <w:r>
              <w:rPr>
                <w:sz w:val="24"/>
              </w:rPr>
              <w:t>16.7</w:t>
            </w:r>
          </w:p>
        </w:tc>
      </w:tr>
    </w:tbl>
    <w:p w:rsidR="00F3177F" w:rsidRDefault="00F3177F">
      <w:pPr>
        <w:pStyle w:val="BodyText"/>
        <w:spacing w:before="7"/>
        <w:rPr>
          <w:sz w:val="29"/>
        </w:rPr>
      </w:pPr>
    </w:p>
    <w:p w:rsidR="00F3177F" w:rsidRDefault="0089671D">
      <w:pPr>
        <w:pStyle w:val="BodyText"/>
        <w:spacing w:before="69" w:line="360" w:lineRule="auto"/>
        <w:ind w:left="584" w:right="175"/>
        <w:jc w:val="both"/>
      </w:pPr>
      <w:r>
        <w:t xml:space="preserve">As seen in Table 10 above, the biggest difference occurs in feeling cold in winter although students in both groups of schools expressed the same item as their biggest complaint issue. </w:t>
      </w:r>
      <w:r>
        <w:rPr>
          <w:spacing w:val="-3"/>
        </w:rPr>
        <w:t xml:space="preserve">It </w:t>
      </w:r>
      <w:r>
        <w:t>shows that even the highest energy consuming schools in PCM have a significant heating problem as 45.4% of students in even highest energy consuming schools suffer from insufficient heating. Items 21 (Does the air feel heavy or poor?), 23 (Are there any unpleasant odors?), 22 (Does the air feel dry?) and 16 (Is it too hot?) also</w:t>
      </w:r>
    </w:p>
    <w:p w:rsidR="00F3177F" w:rsidRDefault="00F3177F">
      <w:pPr>
        <w:spacing w:line="360" w:lineRule="auto"/>
        <w:jc w:val="both"/>
        <w:sectPr w:rsidR="00F3177F">
          <w:pgSz w:w="12240" w:h="15840"/>
          <w:pgMar w:top="1380" w:right="1260" w:bottom="2320" w:left="1720" w:header="0" w:footer="2095" w:gutter="0"/>
          <w:cols w:space="720"/>
        </w:sectPr>
      </w:pPr>
    </w:p>
    <w:p w:rsidR="00F3177F" w:rsidRDefault="0089671D">
      <w:pPr>
        <w:pStyle w:val="BodyText"/>
        <w:spacing w:before="54" w:line="360" w:lineRule="auto"/>
        <w:ind w:left="584" w:right="119"/>
        <w:jc w:val="both"/>
      </w:pPr>
      <w:proofErr w:type="gramStart"/>
      <w:r>
        <w:lastRenderedPageBreak/>
        <w:t>present</w:t>
      </w:r>
      <w:proofErr w:type="gramEnd"/>
      <w:r>
        <w:t xml:space="preserve"> the highest differences and they are related to air conditioning in classrooms. These items indicate that students in low energy consuming schools suffer more from indoor air quality and they are more in need of air conditioning systems other than natural ventilation. The other items in the list, items 17 (Is there distracting noise outdoors (from the traffic/schoolyard/construction, or the like)?), 27 (Does the heat/temperature from the Sun disturb?) and 31 (Is there annoying light from the Sun?), are related to schools structure and location, and they can be compensated with the use of electrical appliances since it can be more costly to change the structures and locations of those schools that already exist.</w:t>
      </w:r>
    </w:p>
    <w:p w:rsidR="00F3177F" w:rsidRDefault="00F3177F">
      <w:pPr>
        <w:pStyle w:val="BodyText"/>
      </w:pPr>
    </w:p>
    <w:p w:rsidR="00F3177F" w:rsidRDefault="0089671D">
      <w:pPr>
        <w:pStyle w:val="BodyText"/>
        <w:spacing w:before="143" w:line="360" w:lineRule="auto"/>
        <w:ind w:left="584" w:right="113"/>
        <w:jc w:val="both"/>
      </w:pPr>
      <w:r>
        <w:rPr>
          <w:b/>
        </w:rPr>
        <w:t xml:space="preserve">Number of Lessons: </w:t>
      </w:r>
      <w:r>
        <w:t xml:space="preserve">Average calculations show that complaint levels raise by 6.7% from the first three lessons to the last ones in MAXECSs while the same average fall down by 1.5% in MINECSs. </w:t>
      </w:r>
      <w:r>
        <w:rPr>
          <w:spacing w:val="-3"/>
        </w:rPr>
        <w:t xml:space="preserve">It </w:t>
      </w:r>
      <w:r>
        <w:t>shows that complaints in MAXECSs are increasing while they are decreasing in MINECSs when the lessons go on. The reason behind these surprising results can be that energy consumption is so insufficient in MINECSs that they notice little difference between the last and the first three lessons or even they may feel better during the last lessons as rooms may get warmer because of breathing. For instance, they complain 27.5% less about having a runny or stuffy nose at the end of the school day. Table 22 below shows the highest students’ complaint differences between the last three and first three lessons in MAXECSs. The negative results in Table 11 and Table 12 show that the complaint levels are higher in the first three</w:t>
      </w:r>
      <w:r>
        <w:rPr>
          <w:spacing w:val="-11"/>
        </w:rPr>
        <w:t xml:space="preserve"> </w:t>
      </w:r>
      <w:r>
        <w:t>lessons.</w:t>
      </w:r>
    </w:p>
    <w:p w:rsidR="00F3177F" w:rsidRDefault="00F3177F">
      <w:pPr>
        <w:spacing w:line="360" w:lineRule="auto"/>
        <w:jc w:val="both"/>
        <w:sectPr w:rsidR="00F3177F">
          <w:pgSz w:w="12240" w:h="15840"/>
          <w:pgMar w:top="1380" w:right="1320" w:bottom="2320" w:left="1720" w:header="0" w:footer="2095" w:gutter="0"/>
          <w:cols w:space="720"/>
        </w:sectPr>
      </w:pPr>
    </w:p>
    <w:p w:rsidR="00F3177F" w:rsidRDefault="0089671D" w:rsidP="007D70AE">
      <w:pPr>
        <w:pStyle w:val="BodyText"/>
        <w:spacing w:before="52"/>
        <w:ind w:left="584" w:right="65"/>
        <w:jc w:val="both"/>
      </w:pPr>
      <w:r>
        <w:lastRenderedPageBreak/>
        <w:t>Table 11: The highest students’ complaint differences between the last and first three lessons in MAXECSs</w:t>
      </w:r>
    </w:p>
    <w:p w:rsidR="00F3177F" w:rsidRDefault="00F3177F">
      <w:pPr>
        <w:pStyle w:val="BodyText"/>
        <w:spacing w:before="8"/>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2"/>
        <w:gridCol w:w="1529"/>
      </w:tblGrid>
      <w:tr w:rsidR="00F3177F">
        <w:trPr>
          <w:trHeight w:hRule="exact" w:val="775"/>
        </w:trPr>
        <w:tc>
          <w:tcPr>
            <w:tcW w:w="6842" w:type="dxa"/>
          </w:tcPr>
          <w:p w:rsidR="00F3177F" w:rsidRDefault="00F3177F">
            <w:pPr>
              <w:pStyle w:val="TableParagraph"/>
              <w:spacing w:before="6"/>
              <w:rPr>
                <w:sz w:val="20"/>
              </w:rPr>
            </w:pPr>
          </w:p>
          <w:p w:rsidR="00F3177F" w:rsidRDefault="0089671D">
            <w:pPr>
              <w:pStyle w:val="TableParagraph"/>
              <w:ind w:left="1195" w:right="1107"/>
              <w:rPr>
                <w:sz w:val="24"/>
              </w:rPr>
            </w:pPr>
            <w:r>
              <w:rPr>
                <w:sz w:val="24"/>
              </w:rPr>
              <w:t>Items with the Highest Complaint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5. Does your head feel heavy?</w:t>
            </w:r>
          </w:p>
        </w:tc>
        <w:tc>
          <w:tcPr>
            <w:tcW w:w="1529" w:type="dxa"/>
          </w:tcPr>
          <w:p w:rsidR="00F3177F" w:rsidRDefault="0089671D">
            <w:pPr>
              <w:pStyle w:val="TableParagraph"/>
              <w:spacing w:before="73"/>
              <w:ind w:right="551"/>
              <w:jc w:val="right"/>
              <w:rPr>
                <w:sz w:val="24"/>
              </w:rPr>
            </w:pPr>
            <w:r>
              <w:rPr>
                <w:sz w:val="24"/>
              </w:rPr>
              <w:t>26.2</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4. Are you tired?</w:t>
            </w:r>
          </w:p>
        </w:tc>
        <w:tc>
          <w:tcPr>
            <w:tcW w:w="1529" w:type="dxa"/>
          </w:tcPr>
          <w:p w:rsidR="00F3177F" w:rsidRDefault="0089671D">
            <w:pPr>
              <w:pStyle w:val="TableParagraph"/>
              <w:spacing w:before="73"/>
              <w:ind w:right="551"/>
              <w:jc w:val="right"/>
              <w:rPr>
                <w:sz w:val="24"/>
              </w:rPr>
            </w:pPr>
            <w:r>
              <w:rPr>
                <w:sz w:val="24"/>
              </w:rPr>
              <w:t>24.8</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30. Is there reflection from the blackboard?</w:t>
            </w:r>
          </w:p>
        </w:tc>
        <w:tc>
          <w:tcPr>
            <w:tcW w:w="1529" w:type="dxa"/>
          </w:tcPr>
          <w:p w:rsidR="00F3177F" w:rsidRDefault="0089671D">
            <w:pPr>
              <w:pStyle w:val="TableParagraph"/>
              <w:spacing w:before="73"/>
              <w:ind w:right="551"/>
              <w:jc w:val="right"/>
              <w:rPr>
                <w:sz w:val="24"/>
              </w:rPr>
            </w:pPr>
            <w:r>
              <w:rPr>
                <w:sz w:val="24"/>
              </w:rPr>
              <w:t>20.4</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23. Are there any unpleasant odors?</w:t>
            </w:r>
          </w:p>
        </w:tc>
        <w:tc>
          <w:tcPr>
            <w:tcW w:w="1529" w:type="dxa"/>
          </w:tcPr>
          <w:p w:rsidR="00F3177F" w:rsidRDefault="0089671D">
            <w:pPr>
              <w:pStyle w:val="TableParagraph"/>
              <w:spacing w:before="73"/>
              <w:ind w:right="551"/>
              <w:jc w:val="right"/>
              <w:rPr>
                <w:sz w:val="24"/>
              </w:rPr>
            </w:pPr>
            <w:r>
              <w:rPr>
                <w:sz w:val="24"/>
              </w:rPr>
              <w:t>18.7</w:t>
            </w:r>
          </w:p>
        </w:tc>
      </w:tr>
      <w:tr w:rsidR="00F3177F">
        <w:trPr>
          <w:trHeight w:hRule="exact" w:val="449"/>
        </w:trPr>
        <w:tc>
          <w:tcPr>
            <w:tcW w:w="6842" w:type="dxa"/>
          </w:tcPr>
          <w:p w:rsidR="00F3177F" w:rsidRDefault="0089671D">
            <w:pPr>
              <w:pStyle w:val="TableParagraph"/>
              <w:spacing w:before="74"/>
              <w:ind w:left="100" w:right="1107"/>
              <w:rPr>
                <w:sz w:val="24"/>
              </w:rPr>
            </w:pPr>
            <w:r>
              <w:rPr>
                <w:sz w:val="24"/>
              </w:rPr>
              <w:t>15. Are you sick or unwell in any other way?</w:t>
            </w:r>
          </w:p>
        </w:tc>
        <w:tc>
          <w:tcPr>
            <w:tcW w:w="1529" w:type="dxa"/>
          </w:tcPr>
          <w:p w:rsidR="00F3177F" w:rsidRDefault="0089671D">
            <w:pPr>
              <w:pStyle w:val="TableParagraph"/>
              <w:spacing w:before="74"/>
              <w:ind w:right="551"/>
              <w:jc w:val="right"/>
              <w:rPr>
                <w:sz w:val="24"/>
              </w:rPr>
            </w:pPr>
            <w:r>
              <w:rPr>
                <w:sz w:val="24"/>
              </w:rPr>
              <w:t>15.9</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10. Are you hoarse or dry in the throat?</w:t>
            </w:r>
          </w:p>
        </w:tc>
        <w:tc>
          <w:tcPr>
            <w:tcW w:w="1529" w:type="dxa"/>
          </w:tcPr>
          <w:p w:rsidR="00F3177F" w:rsidRDefault="0089671D">
            <w:pPr>
              <w:pStyle w:val="TableParagraph"/>
              <w:spacing w:before="73"/>
              <w:ind w:right="551"/>
              <w:jc w:val="right"/>
              <w:rPr>
                <w:sz w:val="24"/>
              </w:rPr>
            </w:pPr>
            <w:r>
              <w:rPr>
                <w:sz w:val="24"/>
              </w:rPr>
              <w:t>15.8</w:t>
            </w:r>
          </w:p>
        </w:tc>
      </w:tr>
      <w:tr w:rsidR="00F3177F">
        <w:trPr>
          <w:trHeight w:hRule="exact" w:val="449"/>
        </w:trPr>
        <w:tc>
          <w:tcPr>
            <w:tcW w:w="6842" w:type="dxa"/>
          </w:tcPr>
          <w:p w:rsidR="00F3177F" w:rsidRDefault="0089671D">
            <w:pPr>
              <w:pStyle w:val="TableParagraph"/>
              <w:spacing w:before="76"/>
              <w:ind w:left="100" w:right="1107"/>
              <w:rPr>
                <w:sz w:val="24"/>
              </w:rPr>
            </w:pPr>
            <w:r>
              <w:rPr>
                <w:sz w:val="24"/>
              </w:rPr>
              <w:t>6. Do you have a headache?</w:t>
            </w:r>
          </w:p>
        </w:tc>
        <w:tc>
          <w:tcPr>
            <w:tcW w:w="1529" w:type="dxa"/>
          </w:tcPr>
          <w:p w:rsidR="00F3177F" w:rsidRDefault="0089671D">
            <w:pPr>
              <w:pStyle w:val="TableParagraph"/>
              <w:spacing w:before="76"/>
              <w:ind w:right="551"/>
              <w:jc w:val="right"/>
              <w:rPr>
                <w:sz w:val="24"/>
              </w:rPr>
            </w:pPr>
            <w:r>
              <w:rPr>
                <w:sz w:val="24"/>
              </w:rPr>
              <w:t>15.0</w:t>
            </w:r>
          </w:p>
        </w:tc>
      </w:tr>
      <w:tr w:rsidR="00F3177F">
        <w:trPr>
          <w:trHeight w:hRule="exact" w:val="451"/>
        </w:trPr>
        <w:tc>
          <w:tcPr>
            <w:tcW w:w="6842" w:type="dxa"/>
          </w:tcPr>
          <w:p w:rsidR="00F3177F" w:rsidRDefault="0089671D">
            <w:pPr>
              <w:pStyle w:val="TableParagraph"/>
              <w:spacing w:before="76"/>
              <w:ind w:left="100" w:right="1107"/>
              <w:rPr>
                <w:sz w:val="24"/>
              </w:rPr>
            </w:pPr>
            <w:r>
              <w:rPr>
                <w:sz w:val="24"/>
              </w:rPr>
              <w:t>8. Do you have trouble concentrating?</w:t>
            </w:r>
          </w:p>
        </w:tc>
        <w:tc>
          <w:tcPr>
            <w:tcW w:w="1529" w:type="dxa"/>
          </w:tcPr>
          <w:p w:rsidR="00F3177F" w:rsidRDefault="0089671D">
            <w:pPr>
              <w:pStyle w:val="TableParagraph"/>
              <w:spacing w:before="76"/>
              <w:ind w:right="551"/>
              <w:jc w:val="right"/>
              <w:rPr>
                <w:sz w:val="24"/>
              </w:rPr>
            </w:pPr>
            <w:r>
              <w:rPr>
                <w:sz w:val="24"/>
              </w:rPr>
              <w:t>13.4</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31. Is there annoying light from the Sun?</w:t>
            </w:r>
          </w:p>
        </w:tc>
        <w:tc>
          <w:tcPr>
            <w:tcW w:w="1529" w:type="dxa"/>
          </w:tcPr>
          <w:p w:rsidR="00F3177F" w:rsidRDefault="0089671D">
            <w:pPr>
              <w:pStyle w:val="TableParagraph"/>
              <w:spacing w:before="73"/>
              <w:ind w:right="480"/>
              <w:jc w:val="right"/>
              <w:rPr>
                <w:sz w:val="24"/>
              </w:rPr>
            </w:pPr>
            <w:r>
              <w:rPr>
                <w:sz w:val="24"/>
              </w:rPr>
              <w:t>- 12.7</w:t>
            </w:r>
          </w:p>
        </w:tc>
      </w:tr>
    </w:tbl>
    <w:p w:rsidR="00F3177F" w:rsidRDefault="00F3177F">
      <w:pPr>
        <w:pStyle w:val="BodyText"/>
        <w:spacing w:before="4"/>
        <w:rPr>
          <w:sz w:val="29"/>
        </w:rPr>
      </w:pPr>
    </w:p>
    <w:p w:rsidR="00F3177F" w:rsidRDefault="0089671D">
      <w:pPr>
        <w:pStyle w:val="BodyText"/>
        <w:spacing w:before="69" w:line="360" w:lineRule="auto"/>
        <w:ind w:left="584" w:right="113"/>
        <w:jc w:val="both"/>
      </w:pPr>
      <w:r>
        <w:t xml:space="preserve">The differences in complaints do not seem to be related to the total energy consumption but tiredness and collection of heavy air in the classrooms. However, the raise in most of the above mentioned complaints shown in Table 11 could be compensated with environment comfort appliances, such as air conditioners, and proper lighting and heating/cooling systems. The conditions related to the complaints in items 30, 23 and 10 could be directly improved while the others could be significantly compensated with the help of some appliances. </w:t>
      </w:r>
      <w:r>
        <w:rPr>
          <w:spacing w:val="-3"/>
        </w:rPr>
        <w:t xml:space="preserve">In </w:t>
      </w:r>
      <w:r>
        <w:t>addition, the students in MAXECSs complain 12.7% less from annoying light from the Sun at the beginning of the school day since they may feel less need of sunlight for lighting and heating. Table 12 below shows the highest complaint percentage differences between the last three and first three lessons in MINECSs.</w:t>
      </w:r>
    </w:p>
    <w:p w:rsidR="00F3177F" w:rsidRDefault="00F3177F">
      <w:pPr>
        <w:spacing w:line="360" w:lineRule="auto"/>
        <w:jc w:val="both"/>
        <w:sectPr w:rsidR="00F3177F">
          <w:footerReference w:type="default" r:id="rId59"/>
          <w:pgSz w:w="12240" w:h="15840"/>
          <w:pgMar w:top="1380" w:right="1320" w:bottom="2320" w:left="1720" w:header="0" w:footer="2132" w:gutter="0"/>
          <w:cols w:space="720"/>
        </w:sectPr>
      </w:pPr>
    </w:p>
    <w:p w:rsidR="00F3177F" w:rsidRDefault="0089671D" w:rsidP="007D70AE">
      <w:pPr>
        <w:pStyle w:val="BodyText"/>
        <w:spacing w:before="52"/>
        <w:ind w:left="584" w:right="65"/>
        <w:jc w:val="both"/>
      </w:pPr>
      <w:r>
        <w:lastRenderedPageBreak/>
        <w:t>Table 12: The highest students’ complaint differences between the last and first three lessons in MINECSs</w:t>
      </w:r>
    </w:p>
    <w:p w:rsidR="00F3177F" w:rsidRDefault="00F3177F">
      <w:pPr>
        <w:pStyle w:val="BodyText"/>
        <w:spacing w:before="8"/>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2"/>
        <w:gridCol w:w="1529"/>
      </w:tblGrid>
      <w:tr w:rsidR="00F3177F">
        <w:trPr>
          <w:trHeight w:hRule="exact" w:val="775"/>
        </w:trPr>
        <w:tc>
          <w:tcPr>
            <w:tcW w:w="6842" w:type="dxa"/>
          </w:tcPr>
          <w:p w:rsidR="00F3177F" w:rsidRDefault="00F3177F">
            <w:pPr>
              <w:pStyle w:val="TableParagraph"/>
              <w:spacing w:before="6"/>
              <w:rPr>
                <w:sz w:val="20"/>
              </w:rPr>
            </w:pPr>
          </w:p>
          <w:p w:rsidR="00F3177F" w:rsidRDefault="0089671D">
            <w:pPr>
              <w:pStyle w:val="TableParagraph"/>
              <w:ind w:left="1195" w:right="1107"/>
              <w:rPr>
                <w:sz w:val="24"/>
              </w:rPr>
            </w:pPr>
            <w:r>
              <w:rPr>
                <w:sz w:val="24"/>
              </w:rPr>
              <w:t>Items with the Highest Complaint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23. Are there any unpleasant odors?</w:t>
            </w:r>
          </w:p>
        </w:tc>
        <w:tc>
          <w:tcPr>
            <w:tcW w:w="1529" w:type="dxa"/>
          </w:tcPr>
          <w:p w:rsidR="00F3177F" w:rsidRDefault="0089671D">
            <w:pPr>
              <w:pStyle w:val="TableParagraph"/>
              <w:spacing w:before="73"/>
              <w:ind w:right="551"/>
              <w:jc w:val="right"/>
              <w:rPr>
                <w:sz w:val="24"/>
              </w:rPr>
            </w:pPr>
            <w:r>
              <w:rPr>
                <w:sz w:val="24"/>
              </w:rPr>
              <w:t>36.1</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5. Does your head feel heavy?</w:t>
            </w:r>
          </w:p>
        </w:tc>
        <w:tc>
          <w:tcPr>
            <w:tcW w:w="1529" w:type="dxa"/>
          </w:tcPr>
          <w:p w:rsidR="00F3177F" w:rsidRDefault="0089671D">
            <w:pPr>
              <w:pStyle w:val="TableParagraph"/>
              <w:spacing w:before="73"/>
              <w:ind w:right="551"/>
              <w:jc w:val="right"/>
              <w:rPr>
                <w:sz w:val="24"/>
              </w:rPr>
            </w:pPr>
            <w:r>
              <w:rPr>
                <w:sz w:val="24"/>
              </w:rPr>
              <w:t>33.6</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11. Do you have a runny or stuffy nose?</w:t>
            </w:r>
          </w:p>
        </w:tc>
        <w:tc>
          <w:tcPr>
            <w:tcW w:w="1529" w:type="dxa"/>
          </w:tcPr>
          <w:p w:rsidR="00F3177F" w:rsidRDefault="0089671D">
            <w:pPr>
              <w:pStyle w:val="TableParagraph"/>
              <w:spacing w:before="73"/>
              <w:ind w:right="480"/>
              <w:jc w:val="right"/>
              <w:rPr>
                <w:sz w:val="24"/>
              </w:rPr>
            </w:pPr>
            <w:r>
              <w:rPr>
                <w:sz w:val="24"/>
              </w:rPr>
              <w:t>- 27.5</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18. Do you feel cold in the classroom in WINTER?</w:t>
            </w:r>
          </w:p>
        </w:tc>
        <w:tc>
          <w:tcPr>
            <w:tcW w:w="1529" w:type="dxa"/>
          </w:tcPr>
          <w:p w:rsidR="00F3177F" w:rsidRDefault="0089671D">
            <w:pPr>
              <w:pStyle w:val="TableParagraph"/>
              <w:spacing w:before="73"/>
              <w:ind w:right="551"/>
              <w:jc w:val="right"/>
              <w:rPr>
                <w:sz w:val="24"/>
              </w:rPr>
            </w:pPr>
            <w:r>
              <w:rPr>
                <w:sz w:val="24"/>
              </w:rPr>
              <w:t>20.4</w:t>
            </w:r>
          </w:p>
        </w:tc>
      </w:tr>
      <w:tr w:rsidR="00F3177F">
        <w:trPr>
          <w:trHeight w:hRule="exact" w:val="449"/>
        </w:trPr>
        <w:tc>
          <w:tcPr>
            <w:tcW w:w="6842" w:type="dxa"/>
          </w:tcPr>
          <w:p w:rsidR="00F3177F" w:rsidRDefault="0089671D">
            <w:pPr>
              <w:pStyle w:val="TableParagraph"/>
              <w:spacing w:before="74"/>
              <w:ind w:left="100" w:right="1107"/>
              <w:rPr>
                <w:sz w:val="24"/>
              </w:rPr>
            </w:pPr>
            <w:r>
              <w:rPr>
                <w:sz w:val="24"/>
              </w:rPr>
              <w:t>6. Do you have a headache?</w:t>
            </w:r>
          </w:p>
        </w:tc>
        <w:tc>
          <w:tcPr>
            <w:tcW w:w="1529" w:type="dxa"/>
          </w:tcPr>
          <w:p w:rsidR="00F3177F" w:rsidRDefault="0089671D">
            <w:pPr>
              <w:pStyle w:val="TableParagraph"/>
              <w:spacing w:before="74"/>
              <w:ind w:right="551"/>
              <w:jc w:val="right"/>
              <w:rPr>
                <w:sz w:val="24"/>
              </w:rPr>
            </w:pPr>
            <w:r>
              <w:rPr>
                <w:sz w:val="24"/>
              </w:rPr>
              <w:t>19.7</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15"/>
        <w:jc w:val="both"/>
      </w:pPr>
      <w:r>
        <w:t>Again, complaints in items 23 and 18 could be directly lessened with proper air conditioning and heating systems while complaints in items 5 and 6 could be reduced  by enhanced classroom environment compensated with the help of indoor environment quality appliances and practices. When the first three lessons are concerned, the average of the complaints in the MINECSs is 18.1% higher than that in the MAXECSs and the average complaint level is 10.1% higher in the last three lessons in the MINECSs than that in the last three lessons in the MAXECSs. The difference in the percentages is 8% and it is significant enough showing that complaint level gap between high and low energy consuming schools from the first lessons to the last ones students’ complaint get higher in the high energy consuming schools than low energy consuming</w:t>
      </w:r>
      <w:r>
        <w:rPr>
          <w:spacing w:val="-8"/>
        </w:rPr>
        <w:t xml:space="preserve"> </w:t>
      </w:r>
      <w:r>
        <w:t>schools.</w:t>
      </w:r>
    </w:p>
    <w:p w:rsidR="00F3177F" w:rsidRDefault="00F3177F">
      <w:pPr>
        <w:pStyle w:val="BodyText"/>
      </w:pPr>
    </w:p>
    <w:p w:rsidR="00F3177F" w:rsidRDefault="00F3177F">
      <w:pPr>
        <w:pStyle w:val="BodyText"/>
        <w:spacing w:before="3"/>
      </w:pPr>
    </w:p>
    <w:p w:rsidR="00F3177F" w:rsidRDefault="0089671D">
      <w:pPr>
        <w:pStyle w:val="BodyText"/>
        <w:spacing w:before="1" w:line="360" w:lineRule="auto"/>
        <w:ind w:left="584" w:right="118"/>
        <w:jc w:val="both"/>
      </w:pPr>
      <w:r>
        <w:rPr>
          <w:b/>
        </w:rPr>
        <w:t xml:space="preserve">Window or wall seat: </w:t>
      </w:r>
      <w:r>
        <w:t xml:space="preserve">When the differences are analyzed between the students located near windows and the wall, the averages show that the location from the point of windows and the wall affect students more in the MINECSs than ones in the MAXECSs. While the students near windows in the MAXECSs complain 2.1% </w:t>
      </w:r>
      <w:proofErr w:type="gramStart"/>
      <w:r>
        <w:t>more  on</w:t>
      </w:r>
      <w:proofErr w:type="gramEnd"/>
      <w:r>
        <w:t xml:space="preserve"> average, the same difference in the MINECSs is 6.8%. The highest complaint differences between the students near windows and the wall in the maximum and MINECSs are given in Table 13 and Table 14,</w:t>
      </w:r>
      <w:r>
        <w:rPr>
          <w:spacing w:val="-14"/>
        </w:rPr>
        <w:t xml:space="preserve"> </w:t>
      </w:r>
      <w:r>
        <w:t>respectively.</w:t>
      </w:r>
    </w:p>
    <w:p w:rsidR="00F3177F" w:rsidRDefault="00F3177F">
      <w:pPr>
        <w:spacing w:line="360" w:lineRule="auto"/>
        <w:jc w:val="both"/>
        <w:sectPr w:rsidR="00F3177F">
          <w:footerReference w:type="default" r:id="rId60"/>
          <w:pgSz w:w="12240" w:h="15840"/>
          <w:pgMar w:top="1380" w:right="1320" w:bottom="2260" w:left="1720" w:header="0" w:footer="2072" w:gutter="0"/>
          <w:pgNumType w:start="101"/>
          <w:cols w:space="720"/>
        </w:sectPr>
      </w:pPr>
    </w:p>
    <w:p w:rsidR="00F3177F" w:rsidRDefault="0089671D" w:rsidP="00DE6B88">
      <w:pPr>
        <w:pStyle w:val="BodyText"/>
        <w:spacing w:before="52"/>
        <w:ind w:left="584" w:right="65"/>
        <w:jc w:val="both"/>
      </w:pPr>
      <w:r>
        <w:lastRenderedPageBreak/>
        <w:t>Table 13: The highest students’ complaint differences between the students near windows and the wall in MAXECSs</w:t>
      </w:r>
    </w:p>
    <w:p w:rsidR="00F3177F" w:rsidRDefault="00F3177F">
      <w:pPr>
        <w:pStyle w:val="BodyText"/>
        <w:spacing w:before="8"/>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2"/>
        <w:gridCol w:w="1529"/>
      </w:tblGrid>
      <w:tr w:rsidR="00F3177F">
        <w:trPr>
          <w:trHeight w:hRule="exact" w:val="775"/>
        </w:trPr>
        <w:tc>
          <w:tcPr>
            <w:tcW w:w="6842" w:type="dxa"/>
          </w:tcPr>
          <w:p w:rsidR="00F3177F" w:rsidRDefault="00F3177F">
            <w:pPr>
              <w:pStyle w:val="TableParagraph"/>
              <w:spacing w:before="6"/>
              <w:rPr>
                <w:sz w:val="20"/>
              </w:rPr>
            </w:pPr>
          </w:p>
          <w:p w:rsidR="00F3177F" w:rsidRDefault="0089671D">
            <w:pPr>
              <w:pStyle w:val="TableParagraph"/>
              <w:ind w:left="1195" w:right="1107"/>
              <w:rPr>
                <w:sz w:val="24"/>
              </w:rPr>
            </w:pPr>
            <w:r>
              <w:rPr>
                <w:sz w:val="24"/>
              </w:rPr>
              <w:t>Items with the Highest Complaint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30. Is there reflection from the blackboard?</w:t>
            </w:r>
          </w:p>
        </w:tc>
        <w:tc>
          <w:tcPr>
            <w:tcW w:w="1529" w:type="dxa"/>
          </w:tcPr>
          <w:p w:rsidR="00F3177F" w:rsidRDefault="0089671D">
            <w:pPr>
              <w:pStyle w:val="TableParagraph"/>
              <w:spacing w:before="73"/>
              <w:ind w:right="480"/>
              <w:jc w:val="right"/>
              <w:rPr>
                <w:sz w:val="24"/>
              </w:rPr>
            </w:pPr>
            <w:r>
              <w:rPr>
                <w:sz w:val="24"/>
              </w:rPr>
              <w:t>- 18.0</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23. Are there any unpleasant odors?</w:t>
            </w:r>
          </w:p>
        </w:tc>
        <w:tc>
          <w:tcPr>
            <w:tcW w:w="1529" w:type="dxa"/>
          </w:tcPr>
          <w:p w:rsidR="00F3177F" w:rsidRDefault="0089671D">
            <w:pPr>
              <w:pStyle w:val="TableParagraph"/>
              <w:spacing w:before="73"/>
              <w:ind w:right="540"/>
              <w:jc w:val="right"/>
              <w:rPr>
                <w:sz w:val="24"/>
              </w:rPr>
            </w:pPr>
            <w:r>
              <w:rPr>
                <w:sz w:val="24"/>
              </w:rPr>
              <w:t>- 9.9</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5. Does your head feel heavy?</w:t>
            </w:r>
          </w:p>
        </w:tc>
        <w:tc>
          <w:tcPr>
            <w:tcW w:w="1529" w:type="dxa"/>
          </w:tcPr>
          <w:p w:rsidR="00F3177F" w:rsidRDefault="0089671D">
            <w:pPr>
              <w:pStyle w:val="TableParagraph"/>
              <w:spacing w:before="73"/>
              <w:ind w:left="101" w:right="103"/>
              <w:jc w:val="center"/>
              <w:rPr>
                <w:sz w:val="24"/>
              </w:rPr>
            </w:pPr>
            <w:r>
              <w:rPr>
                <w:sz w:val="24"/>
              </w:rPr>
              <w:t>9.9</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11. Do you have a runny or stuffy nose?</w:t>
            </w:r>
          </w:p>
        </w:tc>
        <w:tc>
          <w:tcPr>
            <w:tcW w:w="1529" w:type="dxa"/>
          </w:tcPr>
          <w:p w:rsidR="00F3177F" w:rsidRDefault="0089671D">
            <w:pPr>
              <w:pStyle w:val="TableParagraph"/>
              <w:spacing w:before="73"/>
              <w:ind w:left="101" w:right="103"/>
              <w:jc w:val="center"/>
              <w:rPr>
                <w:sz w:val="24"/>
              </w:rPr>
            </w:pPr>
            <w:r>
              <w:rPr>
                <w:sz w:val="24"/>
              </w:rPr>
              <w:t>9.5</w:t>
            </w:r>
          </w:p>
        </w:tc>
      </w:tr>
      <w:tr w:rsidR="00F3177F">
        <w:trPr>
          <w:trHeight w:hRule="exact" w:val="562"/>
        </w:trPr>
        <w:tc>
          <w:tcPr>
            <w:tcW w:w="6842" w:type="dxa"/>
          </w:tcPr>
          <w:p w:rsidR="00F3177F" w:rsidRDefault="0089671D">
            <w:pPr>
              <w:pStyle w:val="TableParagraph"/>
              <w:ind w:left="100" w:right="1107"/>
              <w:rPr>
                <w:sz w:val="24"/>
              </w:rPr>
            </w:pPr>
            <w:r>
              <w:rPr>
                <w:sz w:val="24"/>
              </w:rPr>
              <w:t>20. Are you plagued (affected negatively) by changing the temperature in the room?</w:t>
            </w:r>
          </w:p>
        </w:tc>
        <w:tc>
          <w:tcPr>
            <w:tcW w:w="1529" w:type="dxa"/>
          </w:tcPr>
          <w:p w:rsidR="00F3177F" w:rsidRDefault="0089671D">
            <w:pPr>
              <w:pStyle w:val="TableParagraph"/>
              <w:spacing w:before="131"/>
              <w:ind w:left="101" w:right="103"/>
              <w:jc w:val="center"/>
              <w:rPr>
                <w:sz w:val="24"/>
              </w:rPr>
            </w:pPr>
            <w:r>
              <w:rPr>
                <w:sz w:val="24"/>
              </w:rPr>
              <w:t>9.3</w:t>
            </w:r>
          </w:p>
        </w:tc>
      </w:tr>
      <w:tr w:rsidR="00F3177F">
        <w:trPr>
          <w:trHeight w:hRule="exact" w:val="451"/>
        </w:trPr>
        <w:tc>
          <w:tcPr>
            <w:tcW w:w="6842" w:type="dxa"/>
          </w:tcPr>
          <w:p w:rsidR="00F3177F" w:rsidRDefault="0089671D">
            <w:pPr>
              <w:pStyle w:val="TableParagraph"/>
              <w:spacing w:before="73"/>
              <w:ind w:left="100" w:right="1107"/>
              <w:rPr>
                <w:sz w:val="24"/>
              </w:rPr>
            </w:pPr>
            <w:r>
              <w:rPr>
                <w:sz w:val="24"/>
              </w:rPr>
              <w:t>16. Is it too hot?</w:t>
            </w:r>
          </w:p>
        </w:tc>
        <w:tc>
          <w:tcPr>
            <w:tcW w:w="1529" w:type="dxa"/>
          </w:tcPr>
          <w:p w:rsidR="00F3177F" w:rsidRDefault="0089671D">
            <w:pPr>
              <w:pStyle w:val="TableParagraph"/>
              <w:spacing w:before="73"/>
              <w:ind w:left="101" w:right="103"/>
              <w:jc w:val="center"/>
              <w:rPr>
                <w:sz w:val="24"/>
              </w:rPr>
            </w:pPr>
            <w:r>
              <w:rPr>
                <w:sz w:val="24"/>
              </w:rPr>
              <w:t>8.8</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15"/>
        <w:jc w:val="both"/>
      </w:pPr>
      <w:r>
        <w:t>The negative percentages in Table 13 indicate higher complaint levels from the wall side than the window side. For instance, students sitting near the wall-sides in the MAXECSs complain about the reflection from the the board 18% more than students sitting near windows. On the other side, students sitting near windows complain more about having a runny or stuffy nose by</w:t>
      </w:r>
      <w:r>
        <w:rPr>
          <w:spacing w:val="-10"/>
        </w:rPr>
        <w:t xml:space="preserve"> </w:t>
      </w:r>
      <w:r>
        <w:t>9.5%.</w:t>
      </w:r>
    </w:p>
    <w:p w:rsidR="00F3177F" w:rsidRDefault="00F3177F">
      <w:pPr>
        <w:pStyle w:val="BodyText"/>
      </w:pPr>
    </w:p>
    <w:p w:rsidR="00F3177F" w:rsidRDefault="00F3177F">
      <w:pPr>
        <w:pStyle w:val="BodyText"/>
        <w:spacing w:before="1"/>
      </w:pPr>
    </w:p>
    <w:p w:rsidR="00F3177F" w:rsidRDefault="0089671D">
      <w:pPr>
        <w:pStyle w:val="BodyText"/>
        <w:spacing w:before="1"/>
        <w:ind w:left="584" w:right="120"/>
        <w:jc w:val="both"/>
      </w:pPr>
      <w:r>
        <w:t>Table 14: The highest students’ complaint differences between the students near windows and the wall in MINECSs</w:t>
      </w:r>
    </w:p>
    <w:p w:rsidR="00F3177F" w:rsidRDefault="00F3177F">
      <w:pPr>
        <w:pStyle w:val="BodyText"/>
        <w:spacing w:before="8"/>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2"/>
        <w:gridCol w:w="1529"/>
      </w:tblGrid>
      <w:tr w:rsidR="00F3177F">
        <w:trPr>
          <w:trHeight w:hRule="exact" w:val="775"/>
        </w:trPr>
        <w:tc>
          <w:tcPr>
            <w:tcW w:w="6842" w:type="dxa"/>
          </w:tcPr>
          <w:p w:rsidR="00F3177F" w:rsidRDefault="00F3177F">
            <w:pPr>
              <w:pStyle w:val="TableParagraph"/>
              <w:spacing w:before="6"/>
              <w:rPr>
                <w:sz w:val="20"/>
              </w:rPr>
            </w:pPr>
          </w:p>
          <w:p w:rsidR="00F3177F" w:rsidRDefault="0089671D">
            <w:pPr>
              <w:pStyle w:val="TableParagraph"/>
              <w:ind w:left="1195" w:right="1107"/>
              <w:rPr>
                <w:sz w:val="24"/>
              </w:rPr>
            </w:pPr>
            <w:r>
              <w:rPr>
                <w:sz w:val="24"/>
              </w:rPr>
              <w:t>Items with the Highest Complaint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23. Are there any unpleasant odors?</w:t>
            </w:r>
          </w:p>
        </w:tc>
        <w:tc>
          <w:tcPr>
            <w:tcW w:w="1529" w:type="dxa"/>
          </w:tcPr>
          <w:p w:rsidR="00F3177F" w:rsidRDefault="0089671D">
            <w:pPr>
              <w:pStyle w:val="TableParagraph"/>
              <w:spacing w:before="73"/>
              <w:ind w:left="101" w:right="103"/>
              <w:jc w:val="center"/>
              <w:rPr>
                <w:sz w:val="24"/>
              </w:rPr>
            </w:pPr>
            <w:r>
              <w:rPr>
                <w:sz w:val="24"/>
              </w:rPr>
              <w:t>19.7</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24. Is it hard to hear what is being said in the classroom?</w:t>
            </w:r>
          </w:p>
        </w:tc>
        <w:tc>
          <w:tcPr>
            <w:tcW w:w="1529" w:type="dxa"/>
          </w:tcPr>
          <w:p w:rsidR="00F3177F" w:rsidRDefault="0089671D">
            <w:pPr>
              <w:pStyle w:val="TableParagraph"/>
              <w:spacing w:before="73"/>
              <w:ind w:left="101" w:right="103"/>
              <w:jc w:val="center"/>
              <w:rPr>
                <w:sz w:val="24"/>
              </w:rPr>
            </w:pPr>
            <w:r>
              <w:rPr>
                <w:sz w:val="24"/>
              </w:rPr>
              <w:t>19.6</w:t>
            </w:r>
          </w:p>
        </w:tc>
      </w:tr>
      <w:tr w:rsidR="00F3177F">
        <w:trPr>
          <w:trHeight w:hRule="exact" w:val="562"/>
        </w:trPr>
        <w:tc>
          <w:tcPr>
            <w:tcW w:w="6842" w:type="dxa"/>
            <w:tcBorders>
              <w:left w:val="single" w:sz="8" w:space="0" w:color="000000"/>
            </w:tcBorders>
          </w:tcPr>
          <w:p w:rsidR="00F3177F" w:rsidRDefault="0089671D">
            <w:pPr>
              <w:pStyle w:val="TableParagraph"/>
              <w:ind w:left="96" w:right="246"/>
              <w:rPr>
                <w:sz w:val="24"/>
              </w:rPr>
            </w:pPr>
            <w:r>
              <w:rPr>
                <w:sz w:val="24"/>
              </w:rPr>
              <w:t>25. Is there distracting noise or disturbance from the students in the class?</w:t>
            </w:r>
          </w:p>
        </w:tc>
        <w:tc>
          <w:tcPr>
            <w:tcW w:w="1529" w:type="dxa"/>
          </w:tcPr>
          <w:p w:rsidR="00F3177F" w:rsidRDefault="0089671D">
            <w:pPr>
              <w:pStyle w:val="TableParagraph"/>
              <w:spacing w:before="131"/>
              <w:ind w:left="101" w:right="103"/>
              <w:jc w:val="center"/>
              <w:rPr>
                <w:sz w:val="24"/>
              </w:rPr>
            </w:pPr>
            <w:r>
              <w:rPr>
                <w:sz w:val="24"/>
              </w:rPr>
              <w:t>18.1</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8. Do you have trouble concentrating?</w:t>
            </w:r>
          </w:p>
        </w:tc>
        <w:tc>
          <w:tcPr>
            <w:tcW w:w="1529" w:type="dxa"/>
          </w:tcPr>
          <w:p w:rsidR="00F3177F" w:rsidRDefault="0089671D">
            <w:pPr>
              <w:pStyle w:val="TableParagraph"/>
              <w:spacing w:before="73"/>
              <w:ind w:left="101" w:right="103"/>
              <w:jc w:val="center"/>
              <w:rPr>
                <w:sz w:val="24"/>
              </w:rPr>
            </w:pPr>
            <w:r>
              <w:rPr>
                <w:sz w:val="24"/>
              </w:rPr>
              <w:t>18.1</w:t>
            </w:r>
          </w:p>
        </w:tc>
      </w:tr>
      <w:tr w:rsidR="00F3177F">
        <w:trPr>
          <w:trHeight w:hRule="exact" w:val="449"/>
        </w:trPr>
        <w:tc>
          <w:tcPr>
            <w:tcW w:w="6842" w:type="dxa"/>
          </w:tcPr>
          <w:p w:rsidR="00F3177F" w:rsidRDefault="0089671D">
            <w:pPr>
              <w:pStyle w:val="TableParagraph"/>
              <w:spacing w:before="73"/>
              <w:ind w:left="100" w:right="1107"/>
              <w:rPr>
                <w:sz w:val="24"/>
              </w:rPr>
            </w:pPr>
            <w:r>
              <w:rPr>
                <w:sz w:val="24"/>
              </w:rPr>
              <w:t>16. Is it too hot?</w:t>
            </w:r>
          </w:p>
        </w:tc>
        <w:tc>
          <w:tcPr>
            <w:tcW w:w="1529" w:type="dxa"/>
          </w:tcPr>
          <w:p w:rsidR="00F3177F" w:rsidRDefault="0089671D">
            <w:pPr>
              <w:pStyle w:val="TableParagraph"/>
              <w:spacing w:before="73"/>
              <w:ind w:left="101" w:right="103"/>
              <w:jc w:val="center"/>
              <w:rPr>
                <w:sz w:val="24"/>
              </w:rPr>
            </w:pPr>
            <w:r>
              <w:rPr>
                <w:sz w:val="24"/>
              </w:rPr>
              <w:t>16.6</w:t>
            </w:r>
          </w:p>
        </w:tc>
      </w:tr>
      <w:tr w:rsidR="00F3177F">
        <w:trPr>
          <w:trHeight w:hRule="exact" w:val="451"/>
        </w:trPr>
        <w:tc>
          <w:tcPr>
            <w:tcW w:w="6842" w:type="dxa"/>
          </w:tcPr>
          <w:p w:rsidR="00F3177F" w:rsidRDefault="0089671D">
            <w:pPr>
              <w:pStyle w:val="TableParagraph"/>
              <w:spacing w:before="73"/>
              <w:ind w:left="100" w:right="1107"/>
              <w:rPr>
                <w:sz w:val="24"/>
              </w:rPr>
            </w:pPr>
            <w:r>
              <w:rPr>
                <w:sz w:val="24"/>
              </w:rPr>
              <w:t>22. Does the air feel dry?</w:t>
            </w:r>
          </w:p>
        </w:tc>
        <w:tc>
          <w:tcPr>
            <w:tcW w:w="1529" w:type="dxa"/>
          </w:tcPr>
          <w:p w:rsidR="00F3177F" w:rsidRDefault="0089671D">
            <w:pPr>
              <w:pStyle w:val="TableParagraph"/>
              <w:spacing w:before="73"/>
              <w:ind w:left="101" w:right="103"/>
              <w:jc w:val="center"/>
              <w:rPr>
                <w:sz w:val="24"/>
              </w:rPr>
            </w:pPr>
            <w:r>
              <w:rPr>
                <w:sz w:val="24"/>
              </w:rPr>
              <w:t>16.6</w:t>
            </w:r>
          </w:p>
        </w:tc>
      </w:tr>
    </w:tbl>
    <w:p w:rsidR="00F3177F" w:rsidRDefault="00F3177F">
      <w:pPr>
        <w:jc w:val="center"/>
        <w:rPr>
          <w:sz w:val="24"/>
        </w:rPr>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4"/>
        <w:jc w:val="both"/>
      </w:pPr>
      <w:r>
        <w:lastRenderedPageBreak/>
        <w:t>When students’ locations in the classroom as near windows and the wall are concerned, the average of the complaints from the students near windows in the MINECSs is 11.9% higher than that in the MAXECSs. Furthermore, on average students near the wall in MINECSs complain 7.2% more than the ones in the MAXECSs about their health and well-being. As a common item in Table 13 and Table 14, the students sitting near windows in the MAXECSs complain 8.8% more than the students sitting near the wall about the classroom atmosphere being too hot. The same difference in the percentage is 16.6% in the MINECSs. However, none of the classrooms in both types of the schools have air conditioning and it is difficult to relate the consequence to energy consumption difference. Yet, for those specific schools, it is vivid that students in the MINECSs need more air</w:t>
      </w:r>
      <w:r>
        <w:rPr>
          <w:spacing w:val="-9"/>
        </w:rPr>
        <w:t xml:space="preserve"> </w:t>
      </w:r>
      <w:r>
        <w:t>conditioning.</w:t>
      </w:r>
    </w:p>
    <w:p w:rsidR="00F3177F" w:rsidRDefault="00F3177F">
      <w:pPr>
        <w:pStyle w:val="BodyText"/>
      </w:pPr>
    </w:p>
    <w:p w:rsidR="00F3177F" w:rsidRDefault="00F3177F">
      <w:pPr>
        <w:pStyle w:val="BodyText"/>
        <w:spacing w:before="3"/>
      </w:pPr>
    </w:p>
    <w:p w:rsidR="00F3177F" w:rsidRDefault="0089671D">
      <w:pPr>
        <w:pStyle w:val="BodyText"/>
        <w:spacing w:before="1" w:line="360" w:lineRule="auto"/>
        <w:ind w:left="584" w:right="114"/>
        <w:jc w:val="both"/>
      </w:pPr>
      <w:r>
        <w:rPr>
          <w:b/>
        </w:rPr>
        <w:t xml:space="preserve">Back or front seat: </w:t>
      </w:r>
      <w:r>
        <w:t xml:space="preserve">The average differences in complaint levels between the students sitting at the back and in front of the classrooms in the MAXECSs and MINECSs are almost the same. The percentage difference in the MAXECSs is 4.1%, it is 3.8% in the MINECSs. However, the students sitting at the back of their classrooms in MINECSs complain 9.2% more about their health and well-being conditions in classrooms </w:t>
      </w:r>
      <w:proofErr w:type="gramStart"/>
      <w:r>
        <w:t>than  the</w:t>
      </w:r>
      <w:proofErr w:type="gramEnd"/>
      <w:r>
        <w:t xml:space="preserve"> ones with the same location in their classrooms in the MAXECSs. Similarly, the students sitting in front of their classrooms in MINECSs complain 9.4% more about their health and well-being conditions in classrooms that the ones with the same  location in their classrooms in the MAXECSs. </w:t>
      </w:r>
      <w:r>
        <w:rPr>
          <w:spacing w:val="-3"/>
        </w:rPr>
        <w:t xml:space="preserve">It </w:t>
      </w:r>
      <w:r>
        <w:t xml:space="preserve">means that the percentage differences between the back and front seats are almost the same within both MINECSs and MAXECSs, and in general students sitting at the back of their classrooms complain around 4% more about their health and well-being. Nevertheless, the students’ complaint levels in the MINECSs are between 9.2% and 9.4% higher than the ones’ in the MAXECSs when their locations as the back and front of the classroom are </w:t>
      </w:r>
      <w:proofErr w:type="gramStart"/>
      <w:r>
        <w:t>taken  into</w:t>
      </w:r>
      <w:proofErr w:type="gramEnd"/>
      <w:r>
        <w:t xml:space="preserve"> consideration. Moreover, the items with the highest percentage differences that are higher  than  10%  between  the  back  and  front  seat  students  in  the  MAXECSs </w:t>
      </w:r>
      <w:r>
        <w:rPr>
          <w:spacing w:val="22"/>
        </w:rPr>
        <w:t xml:space="preserve"> </w:t>
      </w:r>
      <w:r>
        <w:t>and</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65"/>
      </w:pPr>
      <w:r>
        <w:lastRenderedPageBreak/>
        <w:t>MINECSs are totally different. Table 15 and Table 16 below show the items with the highest complaint differences in both types of the schools.</w:t>
      </w:r>
    </w:p>
    <w:p w:rsidR="00F3177F" w:rsidRDefault="00F3177F">
      <w:pPr>
        <w:pStyle w:val="BodyText"/>
      </w:pPr>
    </w:p>
    <w:p w:rsidR="00F3177F" w:rsidRDefault="00F3177F">
      <w:pPr>
        <w:pStyle w:val="BodyText"/>
        <w:spacing w:before="3"/>
      </w:pPr>
    </w:p>
    <w:p w:rsidR="00F3177F" w:rsidRDefault="0089671D">
      <w:pPr>
        <w:pStyle w:val="BodyText"/>
        <w:spacing w:before="1"/>
        <w:ind w:left="584" w:right="118"/>
      </w:pPr>
      <w:r>
        <w:t>Table 15: The highest students’ complaint differences between the students sitting at the back and in the front of classrooms in MAXECSs</w:t>
      </w:r>
    </w:p>
    <w:p w:rsidR="00F3177F" w:rsidRDefault="00F3177F">
      <w:pPr>
        <w:pStyle w:val="BodyText"/>
        <w:spacing w:before="8"/>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3"/>
        <w:gridCol w:w="1529"/>
      </w:tblGrid>
      <w:tr w:rsidR="00F3177F">
        <w:trPr>
          <w:trHeight w:hRule="exact" w:val="854"/>
        </w:trPr>
        <w:tc>
          <w:tcPr>
            <w:tcW w:w="6933" w:type="dxa"/>
          </w:tcPr>
          <w:p w:rsidR="00F3177F" w:rsidRDefault="00F3177F">
            <w:pPr>
              <w:pStyle w:val="TableParagraph"/>
              <w:spacing w:before="1"/>
              <w:rPr>
                <w:sz w:val="24"/>
              </w:rPr>
            </w:pPr>
          </w:p>
          <w:p w:rsidR="00F3177F" w:rsidRDefault="0089671D">
            <w:pPr>
              <w:pStyle w:val="TableParagraph"/>
              <w:ind w:left="1243"/>
              <w:rPr>
                <w:sz w:val="24"/>
              </w:rPr>
            </w:pPr>
            <w:r>
              <w:rPr>
                <w:sz w:val="24"/>
              </w:rPr>
              <w:t>Items with the Highest Complaint Differences</w:t>
            </w:r>
          </w:p>
        </w:tc>
        <w:tc>
          <w:tcPr>
            <w:tcW w:w="1529" w:type="dxa"/>
          </w:tcPr>
          <w:p w:rsidR="00F3177F" w:rsidRDefault="0089671D">
            <w:pPr>
              <w:pStyle w:val="TableParagraph"/>
              <w:spacing w:before="138"/>
              <w:ind w:left="271" w:right="93" w:hanging="164"/>
              <w:rPr>
                <w:sz w:val="24"/>
              </w:rPr>
            </w:pPr>
            <w:r>
              <w:rPr>
                <w:sz w:val="24"/>
              </w:rPr>
              <w:t>percentage of difference</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4. Are you tired?</w:t>
            </w:r>
          </w:p>
        </w:tc>
        <w:tc>
          <w:tcPr>
            <w:tcW w:w="1529" w:type="dxa"/>
          </w:tcPr>
          <w:p w:rsidR="00F3177F" w:rsidRDefault="0089671D">
            <w:pPr>
              <w:pStyle w:val="TableParagraph"/>
              <w:spacing w:before="73"/>
              <w:ind w:left="101" w:right="103"/>
              <w:jc w:val="center"/>
              <w:rPr>
                <w:sz w:val="24"/>
              </w:rPr>
            </w:pPr>
            <w:r>
              <w:rPr>
                <w:sz w:val="24"/>
              </w:rPr>
              <w:t>21.4</w:t>
            </w:r>
          </w:p>
        </w:tc>
      </w:tr>
      <w:tr w:rsidR="00F3177F">
        <w:trPr>
          <w:trHeight w:hRule="exact" w:val="449"/>
        </w:trPr>
        <w:tc>
          <w:tcPr>
            <w:tcW w:w="6933" w:type="dxa"/>
            <w:tcBorders>
              <w:left w:val="single" w:sz="8" w:space="0" w:color="000000"/>
            </w:tcBorders>
          </w:tcPr>
          <w:p w:rsidR="00F3177F" w:rsidRDefault="0089671D">
            <w:pPr>
              <w:pStyle w:val="TableParagraph"/>
              <w:spacing w:before="74"/>
              <w:ind w:left="98" w:right="174"/>
              <w:rPr>
                <w:sz w:val="24"/>
              </w:rPr>
            </w:pPr>
            <w:r>
              <w:rPr>
                <w:sz w:val="24"/>
              </w:rPr>
              <w:t>6. Do you have a headache?</w:t>
            </w:r>
          </w:p>
        </w:tc>
        <w:tc>
          <w:tcPr>
            <w:tcW w:w="1529" w:type="dxa"/>
          </w:tcPr>
          <w:p w:rsidR="00F3177F" w:rsidRDefault="0089671D">
            <w:pPr>
              <w:pStyle w:val="TableParagraph"/>
              <w:spacing w:before="74"/>
              <w:ind w:left="101" w:right="103"/>
              <w:jc w:val="center"/>
              <w:rPr>
                <w:sz w:val="24"/>
              </w:rPr>
            </w:pPr>
            <w:r>
              <w:rPr>
                <w:sz w:val="24"/>
              </w:rPr>
              <w:t>13.1</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17. Does the heat/temperature from the Sun disturb?</w:t>
            </w:r>
          </w:p>
        </w:tc>
        <w:tc>
          <w:tcPr>
            <w:tcW w:w="1529" w:type="dxa"/>
          </w:tcPr>
          <w:p w:rsidR="00F3177F" w:rsidRDefault="0089671D">
            <w:pPr>
              <w:pStyle w:val="TableParagraph"/>
              <w:spacing w:before="73"/>
              <w:ind w:left="101" w:right="103"/>
              <w:jc w:val="center"/>
              <w:rPr>
                <w:sz w:val="24"/>
              </w:rPr>
            </w:pPr>
            <w:r>
              <w:rPr>
                <w:sz w:val="24"/>
              </w:rPr>
              <w:t>12.7</w:t>
            </w:r>
          </w:p>
        </w:tc>
      </w:tr>
      <w:tr w:rsidR="00F3177F">
        <w:trPr>
          <w:trHeight w:hRule="exact" w:val="451"/>
        </w:trPr>
        <w:tc>
          <w:tcPr>
            <w:tcW w:w="6933" w:type="dxa"/>
          </w:tcPr>
          <w:p w:rsidR="00F3177F" w:rsidRDefault="0089671D">
            <w:pPr>
              <w:pStyle w:val="TableParagraph"/>
              <w:spacing w:before="76"/>
              <w:ind w:left="103"/>
              <w:rPr>
                <w:sz w:val="24"/>
              </w:rPr>
            </w:pPr>
            <w:r>
              <w:rPr>
                <w:sz w:val="24"/>
              </w:rPr>
              <w:t>18. Do you feel cold in the classroom in WINTER?</w:t>
            </w:r>
          </w:p>
        </w:tc>
        <w:tc>
          <w:tcPr>
            <w:tcW w:w="1529" w:type="dxa"/>
          </w:tcPr>
          <w:p w:rsidR="00F3177F" w:rsidRDefault="0089671D">
            <w:pPr>
              <w:pStyle w:val="TableParagraph"/>
              <w:spacing w:before="76"/>
              <w:ind w:left="101" w:right="103"/>
              <w:jc w:val="center"/>
              <w:rPr>
                <w:sz w:val="24"/>
              </w:rPr>
            </w:pPr>
            <w:r>
              <w:rPr>
                <w:sz w:val="24"/>
              </w:rPr>
              <w:t>11.5</w:t>
            </w:r>
          </w:p>
        </w:tc>
      </w:tr>
      <w:tr w:rsidR="00F3177F">
        <w:trPr>
          <w:trHeight w:hRule="exact" w:val="449"/>
        </w:trPr>
        <w:tc>
          <w:tcPr>
            <w:tcW w:w="6933" w:type="dxa"/>
          </w:tcPr>
          <w:p w:rsidR="00F3177F" w:rsidRDefault="0089671D">
            <w:pPr>
              <w:pStyle w:val="TableParagraph"/>
              <w:spacing w:before="73"/>
              <w:ind w:left="103"/>
              <w:rPr>
                <w:sz w:val="24"/>
              </w:rPr>
            </w:pPr>
            <w:r>
              <w:rPr>
                <w:sz w:val="24"/>
              </w:rPr>
              <w:t>19. Do you feel the draft on your feet or on your neck?</w:t>
            </w:r>
          </w:p>
        </w:tc>
        <w:tc>
          <w:tcPr>
            <w:tcW w:w="1529" w:type="dxa"/>
          </w:tcPr>
          <w:p w:rsidR="00F3177F" w:rsidRDefault="0089671D">
            <w:pPr>
              <w:pStyle w:val="TableParagraph"/>
              <w:spacing w:before="73"/>
              <w:ind w:left="101" w:right="103"/>
              <w:jc w:val="center"/>
              <w:rPr>
                <w:sz w:val="24"/>
              </w:rPr>
            </w:pPr>
            <w:r>
              <w:rPr>
                <w:sz w:val="24"/>
              </w:rPr>
              <w:t>10.4</w:t>
            </w:r>
          </w:p>
        </w:tc>
      </w:tr>
      <w:tr w:rsidR="00F3177F">
        <w:trPr>
          <w:trHeight w:hRule="exact" w:val="449"/>
        </w:trPr>
        <w:tc>
          <w:tcPr>
            <w:tcW w:w="6933" w:type="dxa"/>
          </w:tcPr>
          <w:p w:rsidR="00F3177F" w:rsidRDefault="0089671D">
            <w:pPr>
              <w:pStyle w:val="TableParagraph"/>
              <w:spacing w:before="73"/>
              <w:ind w:left="103"/>
              <w:rPr>
                <w:sz w:val="24"/>
              </w:rPr>
            </w:pPr>
            <w:r>
              <w:rPr>
                <w:sz w:val="24"/>
              </w:rPr>
              <w:t>9. Do your eyes itch or sting?</w:t>
            </w:r>
          </w:p>
        </w:tc>
        <w:tc>
          <w:tcPr>
            <w:tcW w:w="1529" w:type="dxa"/>
          </w:tcPr>
          <w:p w:rsidR="00F3177F" w:rsidRDefault="0089671D">
            <w:pPr>
              <w:pStyle w:val="TableParagraph"/>
              <w:spacing w:before="73"/>
              <w:ind w:left="101" w:right="103"/>
              <w:jc w:val="center"/>
              <w:rPr>
                <w:sz w:val="24"/>
              </w:rPr>
            </w:pPr>
            <w:r>
              <w:rPr>
                <w:sz w:val="24"/>
              </w:rPr>
              <w:t>10.3</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18"/>
        <w:jc w:val="both"/>
      </w:pPr>
      <w:r>
        <w:t>According to Table 15, the students sitting at the back of their classrooms in the MAXECSs 24% feel by more tired than the ones in the same location in their classrooms in the</w:t>
      </w:r>
      <w:r>
        <w:rPr>
          <w:spacing w:val="-4"/>
        </w:rPr>
        <w:t xml:space="preserve"> </w:t>
      </w:r>
      <w:r>
        <w:t>MINECSs.</w:t>
      </w:r>
    </w:p>
    <w:p w:rsidR="00F3177F" w:rsidRDefault="00F3177F">
      <w:pPr>
        <w:pStyle w:val="BodyText"/>
      </w:pPr>
    </w:p>
    <w:p w:rsidR="00F3177F" w:rsidRDefault="0089671D">
      <w:pPr>
        <w:pStyle w:val="BodyText"/>
        <w:spacing w:before="140"/>
        <w:ind w:left="584" w:right="120"/>
        <w:jc w:val="both"/>
      </w:pPr>
      <w:r>
        <w:t>Table 16: The highest students’ complaint differences between the students sitting at the back and in the front of classrooms in MINECSs</w:t>
      </w:r>
    </w:p>
    <w:p w:rsidR="00F3177F" w:rsidRDefault="00F3177F">
      <w:pPr>
        <w:pStyle w:val="BodyText"/>
        <w:spacing w:before="8"/>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3"/>
        <w:gridCol w:w="1529"/>
      </w:tblGrid>
      <w:tr w:rsidR="00F3177F">
        <w:trPr>
          <w:trHeight w:hRule="exact" w:val="648"/>
        </w:trPr>
        <w:tc>
          <w:tcPr>
            <w:tcW w:w="6933" w:type="dxa"/>
          </w:tcPr>
          <w:p w:rsidR="00F3177F" w:rsidRDefault="0089671D">
            <w:pPr>
              <w:pStyle w:val="TableParagraph"/>
              <w:spacing w:before="172"/>
              <w:ind w:left="1243"/>
              <w:rPr>
                <w:sz w:val="24"/>
              </w:rPr>
            </w:pPr>
            <w:r>
              <w:rPr>
                <w:sz w:val="24"/>
              </w:rPr>
              <w:t>Items with the Highest Complaint Differences</w:t>
            </w:r>
          </w:p>
        </w:tc>
        <w:tc>
          <w:tcPr>
            <w:tcW w:w="1529" w:type="dxa"/>
          </w:tcPr>
          <w:p w:rsidR="00F3177F" w:rsidRDefault="0089671D">
            <w:pPr>
              <w:pStyle w:val="TableParagraph"/>
              <w:spacing w:before="35"/>
              <w:ind w:left="271" w:right="93" w:hanging="164"/>
              <w:rPr>
                <w:sz w:val="24"/>
              </w:rPr>
            </w:pPr>
            <w:r>
              <w:rPr>
                <w:sz w:val="24"/>
              </w:rPr>
              <w:t>percentage of difference</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8. Do you have trouble concentrating?</w:t>
            </w:r>
          </w:p>
        </w:tc>
        <w:tc>
          <w:tcPr>
            <w:tcW w:w="1529" w:type="dxa"/>
          </w:tcPr>
          <w:p w:rsidR="00F3177F" w:rsidRDefault="0089671D">
            <w:pPr>
              <w:pStyle w:val="TableParagraph"/>
              <w:spacing w:before="73"/>
              <w:ind w:left="101" w:right="103"/>
              <w:jc w:val="center"/>
              <w:rPr>
                <w:sz w:val="24"/>
              </w:rPr>
            </w:pPr>
            <w:r>
              <w:rPr>
                <w:sz w:val="24"/>
              </w:rPr>
              <w:t>16.4</w:t>
            </w:r>
          </w:p>
        </w:tc>
      </w:tr>
      <w:tr w:rsidR="00F3177F">
        <w:trPr>
          <w:trHeight w:hRule="exact" w:val="562"/>
        </w:trPr>
        <w:tc>
          <w:tcPr>
            <w:tcW w:w="6933" w:type="dxa"/>
            <w:tcBorders>
              <w:left w:val="single" w:sz="8" w:space="0" w:color="000000"/>
            </w:tcBorders>
          </w:tcPr>
          <w:p w:rsidR="00F3177F" w:rsidRDefault="0089671D">
            <w:pPr>
              <w:pStyle w:val="TableParagraph"/>
              <w:ind w:left="98" w:right="174"/>
              <w:rPr>
                <w:sz w:val="24"/>
              </w:rPr>
            </w:pPr>
            <w:r>
              <w:rPr>
                <w:sz w:val="24"/>
              </w:rPr>
              <w:t>28. Is there distracting hiss or noise from ventilation or other things in the building?</w:t>
            </w:r>
          </w:p>
        </w:tc>
        <w:tc>
          <w:tcPr>
            <w:tcW w:w="1529" w:type="dxa"/>
          </w:tcPr>
          <w:p w:rsidR="00F3177F" w:rsidRDefault="0089671D">
            <w:pPr>
              <w:pStyle w:val="TableParagraph"/>
              <w:spacing w:before="131"/>
              <w:ind w:left="101" w:right="103"/>
              <w:jc w:val="center"/>
              <w:rPr>
                <w:sz w:val="24"/>
              </w:rPr>
            </w:pPr>
            <w:r>
              <w:rPr>
                <w:sz w:val="24"/>
              </w:rPr>
              <w:t>14.8</w:t>
            </w:r>
          </w:p>
        </w:tc>
      </w:tr>
      <w:tr w:rsidR="00F3177F">
        <w:trPr>
          <w:trHeight w:hRule="exact" w:val="415"/>
        </w:trPr>
        <w:tc>
          <w:tcPr>
            <w:tcW w:w="6933" w:type="dxa"/>
            <w:tcBorders>
              <w:left w:val="single" w:sz="8" w:space="0" w:color="000000"/>
            </w:tcBorders>
          </w:tcPr>
          <w:p w:rsidR="00F3177F" w:rsidRDefault="0089671D">
            <w:pPr>
              <w:pStyle w:val="TableParagraph"/>
              <w:spacing w:before="56"/>
              <w:ind w:left="98" w:right="174"/>
              <w:rPr>
                <w:sz w:val="24"/>
              </w:rPr>
            </w:pPr>
            <w:r>
              <w:rPr>
                <w:sz w:val="24"/>
              </w:rPr>
              <w:t>22. Does the air feel dry?</w:t>
            </w:r>
          </w:p>
        </w:tc>
        <w:tc>
          <w:tcPr>
            <w:tcW w:w="1529" w:type="dxa"/>
          </w:tcPr>
          <w:p w:rsidR="00F3177F" w:rsidRDefault="0089671D">
            <w:pPr>
              <w:pStyle w:val="TableParagraph"/>
              <w:spacing w:before="56"/>
              <w:ind w:left="101" w:right="103"/>
              <w:jc w:val="center"/>
              <w:rPr>
                <w:sz w:val="24"/>
              </w:rPr>
            </w:pPr>
            <w:r>
              <w:rPr>
                <w:sz w:val="24"/>
              </w:rPr>
              <w:t>14.6</w:t>
            </w:r>
          </w:p>
        </w:tc>
      </w:tr>
      <w:tr w:rsidR="00F3177F">
        <w:trPr>
          <w:trHeight w:hRule="exact" w:val="442"/>
        </w:trPr>
        <w:tc>
          <w:tcPr>
            <w:tcW w:w="6933" w:type="dxa"/>
          </w:tcPr>
          <w:p w:rsidR="00F3177F" w:rsidRDefault="0089671D">
            <w:pPr>
              <w:pStyle w:val="TableParagraph"/>
              <w:spacing w:before="68"/>
              <w:ind w:left="103"/>
              <w:rPr>
                <w:sz w:val="24"/>
              </w:rPr>
            </w:pPr>
            <w:r>
              <w:rPr>
                <w:sz w:val="24"/>
              </w:rPr>
              <w:t>5. Does your head feel heavy?</w:t>
            </w:r>
          </w:p>
        </w:tc>
        <w:tc>
          <w:tcPr>
            <w:tcW w:w="1529" w:type="dxa"/>
          </w:tcPr>
          <w:p w:rsidR="00F3177F" w:rsidRDefault="0089671D">
            <w:pPr>
              <w:pStyle w:val="TableParagraph"/>
              <w:spacing w:before="68"/>
              <w:ind w:left="101" w:right="103"/>
              <w:jc w:val="center"/>
              <w:rPr>
                <w:sz w:val="24"/>
              </w:rPr>
            </w:pPr>
            <w:r>
              <w:rPr>
                <w:sz w:val="24"/>
              </w:rPr>
              <w:t>11.7</w:t>
            </w:r>
          </w:p>
        </w:tc>
      </w:tr>
      <w:tr w:rsidR="00F3177F">
        <w:trPr>
          <w:trHeight w:hRule="exact" w:val="449"/>
        </w:trPr>
        <w:tc>
          <w:tcPr>
            <w:tcW w:w="6933" w:type="dxa"/>
          </w:tcPr>
          <w:p w:rsidR="00F3177F" w:rsidRDefault="0089671D">
            <w:pPr>
              <w:pStyle w:val="TableParagraph"/>
              <w:spacing w:before="73"/>
              <w:ind w:left="103"/>
              <w:rPr>
                <w:sz w:val="24"/>
              </w:rPr>
            </w:pPr>
            <w:r>
              <w:rPr>
                <w:sz w:val="24"/>
              </w:rPr>
              <w:t>24. Is it hard to hear what is being said in the classroom?</w:t>
            </w:r>
          </w:p>
        </w:tc>
        <w:tc>
          <w:tcPr>
            <w:tcW w:w="1529" w:type="dxa"/>
          </w:tcPr>
          <w:p w:rsidR="00F3177F" w:rsidRDefault="0089671D">
            <w:pPr>
              <w:pStyle w:val="TableParagraph"/>
              <w:spacing w:before="73"/>
              <w:ind w:left="101" w:right="103"/>
              <w:jc w:val="center"/>
              <w:rPr>
                <w:sz w:val="24"/>
              </w:rPr>
            </w:pPr>
            <w:r>
              <w:rPr>
                <w:sz w:val="24"/>
              </w:rPr>
              <w:t>10.2</w:t>
            </w:r>
          </w:p>
        </w:tc>
      </w:tr>
    </w:tbl>
    <w:p w:rsidR="00F3177F" w:rsidRDefault="00F3177F">
      <w:pPr>
        <w:jc w:val="center"/>
        <w:rPr>
          <w:sz w:val="24"/>
        </w:rPr>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3"/>
        <w:jc w:val="both"/>
      </w:pPr>
      <w:r>
        <w:lastRenderedPageBreak/>
        <w:t>If it is necessary to compare students’ complaint levels in the MAXESCs and MINECSs for the three categories as the last-first three lessons, window-wall seats and back-front seats, it can be summarized that in all categories the students in the MINECSs complain more about their health and well-being in their classrooms. Table 17 below summarizes the differences as percentages.</w:t>
      </w:r>
    </w:p>
    <w:p w:rsidR="00F3177F" w:rsidRDefault="00F3177F">
      <w:pPr>
        <w:pStyle w:val="BodyText"/>
      </w:pPr>
    </w:p>
    <w:p w:rsidR="00F3177F" w:rsidRDefault="0089671D">
      <w:pPr>
        <w:pStyle w:val="BodyText"/>
        <w:spacing w:before="140"/>
        <w:ind w:left="584" w:right="122"/>
        <w:jc w:val="both"/>
      </w:pPr>
      <w:r>
        <w:t>Table 17: Students’ complaint level differences as percentage between the schools with MAXECSs and MINECSs</w:t>
      </w:r>
    </w:p>
    <w:p w:rsidR="00F3177F" w:rsidRDefault="00F3177F">
      <w:pPr>
        <w:pStyle w:val="BodyText"/>
        <w:spacing w:before="8"/>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2"/>
        <w:gridCol w:w="1529"/>
      </w:tblGrid>
      <w:tr w:rsidR="00F3177F">
        <w:trPr>
          <w:trHeight w:hRule="exact" w:val="658"/>
        </w:trPr>
        <w:tc>
          <w:tcPr>
            <w:tcW w:w="6842" w:type="dxa"/>
          </w:tcPr>
          <w:p w:rsidR="00F3177F" w:rsidRDefault="0089671D">
            <w:pPr>
              <w:pStyle w:val="TableParagraph"/>
              <w:spacing w:before="177"/>
              <w:ind w:left="1005"/>
              <w:rPr>
                <w:sz w:val="24"/>
              </w:rPr>
            </w:pPr>
            <w:r>
              <w:rPr>
                <w:sz w:val="24"/>
              </w:rPr>
              <w:t>Comparison Categories (MINECSs – MAXECSs)</w:t>
            </w:r>
          </w:p>
        </w:tc>
        <w:tc>
          <w:tcPr>
            <w:tcW w:w="1529" w:type="dxa"/>
          </w:tcPr>
          <w:p w:rsidR="00F3177F" w:rsidRDefault="0089671D">
            <w:pPr>
              <w:pStyle w:val="TableParagraph"/>
              <w:spacing w:before="40"/>
              <w:ind w:left="271" w:right="93" w:hanging="164"/>
              <w:rPr>
                <w:sz w:val="24"/>
              </w:rPr>
            </w:pPr>
            <w:r>
              <w:rPr>
                <w:sz w:val="24"/>
              </w:rPr>
              <w:t>percentage of difference</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The last three lessons</w:t>
            </w:r>
          </w:p>
        </w:tc>
        <w:tc>
          <w:tcPr>
            <w:tcW w:w="1529" w:type="dxa"/>
          </w:tcPr>
          <w:p w:rsidR="00F3177F" w:rsidRDefault="0089671D">
            <w:pPr>
              <w:pStyle w:val="TableParagraph"/>
              <w:spacing w:before="73"/>
              <w:ind w:left="101" w:right="103"/>
              <w:jc w:val="center"/>
              <w:rPr>
                <w:sz w:val="24"/>
              </w:rPr>
            </w:pPr>
            <w:r>
              <w:rPr>
                <w:sz w:val="24"/>
              </w:rPr>
              <w:t>10.1</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The first three lessons</w:t>
            </w:r>
          </w:p>
        </w:tc>
        <w:tc>
          <w:tcPr>
            <w:tcW w:w="1529" w:type="dxa"/>
          </w:tcPr>
          <w:p w:rsidR="00F3177F" w:rsidRDefault="0089671D">
            <w:pPr>
              <w:pStyle w:val="TableParagraph"/>
              <w:spacing w:before="73"/>
              <w:ind w:left="101" w:right="103"/>
              <w:jc w:val="center"/>
              <w:rPr>
                <w:sz w:val="24"/>
              </w:rPr>
            </w:pPr>
            <w:r>
              <w:rPr>
                <w:sz w:val="24"/>
              </w:rPr>
              <w:t>18.1</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Window seats</w:t>
            </w:r>
          </w:p>
        </w:tc>
        <w:tc>
          <w:tcPr>
            <w:tcW w:w="1529" w:type="dxa"/>
          </w:tcPr>
          <w:p w:rsidR="00F3177F" w:rsidRDefault="0089671D">
            <w:pPr>
              <w:pStyle w:val="TableParagraph"/>
              <w:spacing w:before="73"/>
              <w:ind w:left="101" w:right="103"/>
              <w:jc w:val="center"/>
              <w:rPr>
                <w:sz w:val="24"/>
              </w:rPr>
            </w:pPr>
            <w:r>
              <w:rPr>
                <w:sz w:val="24"/>
              </w:rPr>
              <w:t>11.9</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Wall seats</w:t>
            </w:r>
          </w:p>
        </w:tc>
        <w:tc>
          <w:tcPr>
            <w:tcW w:w="1529" w:type="dxa"/>
          </w:tcPr>
          <w:p w:rsidR="00F3177F" w:rsidRDefault="0089671D">
            <w:pPr>
              <w:pStyle w:val="TableParagraph"/>
              <w:spacing w:before="73"/>
              <w:ind w:left="101" w:right="103"/>
              <w:jc w:val="center"/>
              <w:rPr>
                <w:sz w:val="24"/>
              </w:rPr>
            </w:pPr>
            <w:r>
              <w:rPr>
                <w:sz w:val="24"/>
              </w:rPr>
              <w:t>7.2</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Back seats</w:t>
            </w:r>
          </w:p>
        </w:tc>
        <w:tc>
          <w:tcPr>
            <w:tcW w:w="1529" w:type="dxa"/>
          </w:tcPr>
          <w:p w:rsidR="00F3177F" w:rsidRDefault="0089671D">
            <w:pPr>
              <w:pStyle w:val="TableParagraph"/>
              <w:spacing w:before="73"/>
              <w:ind w:left="101" w:right="103"/>
              <w:jc w:val="center"/>
              <w:rPr>
                <w:sz w:val="24"/>
              </w:rPr>
            </w:pPr>
            <w:r>
              <w:rPr>
                <w:sz w:val="24"/>
              </w:rPr>
              <w:t>9.2</w:t>
            </w:r>
          </w:p>
        </w:tc>
      </w:tr>
      <w:tr w:rsidR="00F3177F">
        <w:trPr>
          <w:trHeight w:hRule="exact" w:val="449"/>
        </w:trPr>
        <w:tc>
          <w:tcPr>
            <w:tcW w:w="6842" w:type="dxa"/>
            <w:tcBorders>
              <w:left w:val="single" w:sz="8" w:space="0" w:color="000000"/>
            </w:tcBorders>
          </w:tcPr>
          <w:p w:rsidR="00F3177F" w:rsidRDefault="0089671D">
            <w:pPr>
              <w:pStyle w:val="TableParagraph"/>
              <w:spacing w:before="73"/>
              <w:ind w:left="96" w:right="246"/>
              <w:rPr>
                <w:sz w:val="24"/>
              </w:rPr>
            </w:pPr>
            <w:r>
              <w:rPr>
                <w:sz w:val="24"/>
              </w:rPr>
              <w:t>Front seats</w:t>
            </w:r>
          </w:p>
        </w:tc>
        <w:tc>
          <w:tcPr>
            <w:tcW w:w="1529" w:type="dxa"/>
          </w:tcPr>
          <w:p w:rsidR="00F3177F" w:rsidRDefault="0089671D">
            <w:pPr>
              <w:pStyle w:val="TableParagraph"/>
              <w:spacing w:before="73"/>
              <w:ind w:left="101" w:right="103"/>
              <w:jc w:val="center"/>
              <w:rPr>
                <w:sz w:val="24"/>
              </w:rPr>
            </w:pPr>
            <w:r>
              <w:rPr>
                <w:sz w:val="24"/>
              </w:rPr>
              <w:t>9.4</w:t>
            </w:r>
          </w:p>
        </w:tc>
      </w:tr>
    </w:tbl>
    <w:p w:rsidR="00F3177F" w:rsidRDefault="00F3177F">
      <w:pPr>
        <w:pStyle w:val="BodyText"/>
        <w:rPr>
          <w:sz w:val="20"/>
        </w:rPr>
      </w:pPr>
    </w:p>
    <w:p w:rsidR="00F3177F" w:rsidRDefault="00F3177F">
      <w:pPr>
        <w:pStyle w:val="BodyText"/>
        <w:spacing w:before="6"/>
        <w:rPr>
          <w:sz w:val="21"/>
        </w:rPr>
      </w:pPr>
    </w:p>
    <w:p w:rsidR="00F3177F" w:rsidRDefault="0089671D">
      <w:pPr>
        <w:pStyle w:val="BodyText"/>
        <w:spacing w:before="69" w:line="360" w:lineRule="auto"/>
        <w:ind w:left="584" w:right="114"/>
        <w:jc w:val="both"/>
      </w:pPr>
      <w:r>
        <w:t>The items with the higher than 20% complaint differences between the MAXECSs and MINECSs from the points of the last three lessons, the first three lessons, window seats, wall seats, back seats and front seats are given Tables 20, 21, 22, 23, 24 and 25, respectively. Positive percentages of differences show higher complaint levels in the MINECSs.</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rsidP="00526025">
      <w:pPr>
        <w:pStyle w:val="BodyText"/>
        <w:spacing w:before="52"/>
        <w:ind w:left="584"/>
        <w:jc w:val="both"/>
      </w:pPr>
      <w:r>
        <w:lastRenderedPageBreak/>
        <w:t>Table 18: Items with the highest students’ complaint level differences and their percentages of differences for the last three lessons between MAXECSs and MINECSs</w:t>
      </w:r>
    </w:p>
    <w:p w:rsidR="00F3177F" w:rsidRDefault="00F3177F">
      <w:pPr>
        <w:pStyle w:val="BodyText"/>
        <w:spacing w:before="8"/>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3"/>
        <w:gridCol w:w="1620"/>
      </w:tblGrid>
      <w:tr w:rsidR="00F3177F">
        <w:trPr>
          <w:trHeight w:hRule="exact" w:val="622"/>
        </w:trPr>
        <w:tc>
          <w:tcPr>
            <w:tcW w:w="6933" w:type="dxa"/>
          </w:tcPr>
          <w:p w:rsidR="00F3177F" w:rsidRDefault="0089671D">
            <w:pPr>
              <w:pStyle w:val="TableParagraph"/>
              <w:spacing w:before="20"/>
              <w:ind w:left="2213" w:right="1320" w:hanging="882"/>
              <w:rPr>
                <w:sz w:val="24"/>
              </w:rPr>
            </w:pPr>
            <w:r>
              <w:rPr>
                <w:sz w:val="24"/>
              </w:rPr>
              <w:t>Items with the Higher than 20% Differences (MINECSs – MAXECSs)</w:t>
            </w:r>
          </w:p>
        </w:tc>
        <w:tc>
          <w:tcPr>
            <w:tcW w:w="1620" w:type="dxa"/>
          </w:tcPr>
          <w:p w:rsidR="00F3177F" w:rsidRDefault="0089671D">
            <w:pPr>
              <w:pStyle w:val="TableParagraph"/>
              <w:spacing w:before="20"/>
              <w:ind w:left="316" w:right="139" w:hanging="164"/>
              <w:rPr>
                <w:sz w:val="24"/>
              </w:rPr>
            </w:pPr>
            <w:r>
              <w:rPr>
                <w:sz w:val="24"/>
              </w:rPr>
              <w:t>percentage of difference</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18. Do you feel cold in the classroom in WINTER?</w:t>
            </w:r>
          </w:p>
        </w:tc>
        <w:tc>
          <w:tcPr>
            <w:tcW w:w="1620" w:type="dxa"/>
          </w:tcPr>
          <w:p w:rsidR="00F3177F" w:rsidRDefault="0089671D">
            <w:pPr>
              <w:pStyle w:val="TableParagraph"/>
              <w:spacing w:before="73"/>
              <w:ind w:left="574" w:right="576"/>
              <w:jc w:val="center"/>
              <w:rPr>
                <w:sz w:val="24"/>
              </w:rPr>
            </w:pPr>
            <w:r>
              <w:rPr>
                <w:sz w:val="24"/>
              </w:rPr>
              <w:t>42.2</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21. Does the air feel heavy or poor?</w:t>
            </w:r>
          </w:p>
        </w:tc>
        <w:tc>
          <w:tcPr>
            <w:tcW w:w="1620" w:type="dxa"/>
          </w:tcPr>
          <w:p w:rsidR="00F3177F" w:rsidRDefault="0089671D">
            <w:pPr>
              <w:pStyle w:val="TableParagraph"/>
              <w:spacing w:before="73"/>
              <w:ind w:left="574" w:right="576"/>
              <w:jc w:val="center"/>
              <w:rPr>
                <w:sz w:val="24"/>
              </w:rPr>
            </w:pPr>
            <w:r>
              <w:rPr>
                <w:sz w:val="24"/>
              </w:rPr>
              <w:t>32.5</w:t>
            </w:r>
          </w:p>
        </w:tc>
      </w:tr>
      <w:tr w:rsidR="00F3177F">
        <w:trPr>
          <w:trHeight w:hRule="exact" w:val="449"/>
        </w:trPr>
        <w:tc>
          <w:tcPr>
            <w:tcW w:w="6933" w:type="dxa"/>
            <w:tcBorders>
              <w:left w:val="single" w:sz="8" w:space="0" w:color="000000"/>
            </w:tcBorders>
          </w:tcPr>
          <w:p w:rsidR="00F3177F" w:rsidRDefault="0089671D">
            <w:pPr>
              <w:pStyle w:val="TableParagraph"/>
              <w:spacing w:before="73"/>
              <w:ind w:left="98" w:right="174"/>
              <w:rPr>
                <w:sz w:val="24"/>
              </w:rPr>
            </w:pPr>
            <w:r>
              <w:rPr>
                <w:sz w:val="24"/>
              </w:rPr>
              <w:t>17. Does the heat/temperature from the Sun disturb?</w:t>
            </w:r>
          </w:p>
        </w:tc>
        <w:tc>
          <w:tcPr>
            <w:tcW w:w="1620" w:type="dxa"/>
          </w:tcPr>
          <w:p w:rsidR="00F3177F" w:rsidRDefault="0089671D">
            <w:pPr>
              <w:pStyle w:val="TableParagraph"/>
              <w:spacing w:before="73"/>
              <w:ind w:left="574" w:right="576"/>
              <w:jc w:val="center"/>
              <w:rPr>
                <w:sz w:val="24"/>
              </w:rPr>
            </w:pPr>
            <w:r>
              <w:rPr>
                <w:sz w:val="24"/>
              </w:rPr>
              <w:t>23.9</w:t>
            </w:r>
          </w:p>
        </w:tc>
      </w:tr>
      <w:tr w:rsidR="00F3177F">
        <w:trPr>
          <w:trHeight w:hRule="exact" w:val="562"/>
        </w:trPr>
        <w:tc>
          <w:tcPr>
            <w:tcW w:w="6933" w:type="dxa"/>
            <w:tcBorders>
              <w:left w:val="single" w:sz="8" w:space="0" w:color="000000"/>
            </w:tcBorders>
          </w:tcPr>
          <w:p w:rsidR="00F3177F" w:rsidRDefault="0089671D">
            <w:pPr>
              <w:pStyle w:val="TableParagraph"/>
              <w:ind w:left="98" w:right="174"/>
              <w:rPr>
                <w:sz w:val="24"/>
              </w:rPr>
            </w:pPr>
            <w:r>
              <w:rPr>
                <w:sz w:val="24"/>
              </w:rPr>
              <w:t>27. Is there distracting noise outdoors (from the traffic/schoolyard/construction, or the like)?</w:t>
            </w:r>
          </w:p>
        </w:tc>
        <w:tc>
          <w:tcPr>
            <w:tcW w:w="1620" w:type="dxa"/>
          </w:tcPr>
          <w:p w:rsidR="00F3177F" w:rsidRDefault="0089671D">
            <w:pPr>
              <w:pStyle w:val="TableParagraph"/>
              <w:spacing w:before="131"/>
              <w:ind w:left="574" w:right="576"/>
              <w:jc w:val="center"/>
              <w:rPr>
                <w:sz w:val="24"/>
              </w:rPr>
            </w:pPr>
            <w:r>
              <w:rPr>
                <w:sz w:val="24"/>
              </w:rPr>
              <w:t>25.0</w:t>
            </w:r>
          </w:p>
        </w:tc>
      </w:tr>
      <w:tr w:rsidR="00F3177F">
        <w:trPr>
          <w:trHeight w:hRule="exact" w:val="449"/>
        </w:trPr>
        <w:tc>
          <w:tcPr>
            <w:tcW w:w="6933" w:type="dxa"/>
            <w:tcBorders>
              <w:left w:val="single" w:sz="8" w:space="0" w:color="000000"/>
            </w:tcBorders>
          </w:tcPr>
          <w:p w:rsidR="00F3177F" w:rsidRDefault="0089671D">
            <w:pPr>
              <w:pStyle w:val="TableParagraph"/>
              <w:spacing w:before="74"/>
              <w:ind w:left="98" w:right="174"/>
              <w:rPr>
                <w:sz w:val="24"/>
              </w:rPr>
            </w:pPr>
            <w:r>
              <w:rPr>
                <w:sz w:val="24"/>
              </w:rPr>
              <w:t>31. Is there annoying light from the Sun?</w:t>
            </w:r>
          </w:p>
        </w:tc>
        <w:tc>
          <w:tcPr>
            <w:tcW w:w="1620" w:type="dxa"/>
          </w:tcPr>
          <w:p w:rsidR="00F3177F" w:rsidRDefault="0089671D">
            <w:pPr>
              <w:pStyle w:val="TableParagraph"/>
              <w:spacing w:before="74"/>
              <w:ind w:left="574" w:right="576"/>
              <w:jc w:val="center"/>
              <w:rPr>
                <w:sz w:val="24"/>
              </w:rPr>
            </w:pPr>
            <w:r>
              <w:rPr>
                <w:sz w:val="24"/>
              </w:rPr>
              <w:t>23.4</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78"/>
        <w:jc w:val="both"/>
      </w:pPr>
      <w:r>
        <w:t>Students’ comfort in schools does not depend on only energy consumption as there are several other factors affecting it. However, as seen from the Table 18 above two of the highest differences for the last three lessons are strongly related to energy consumption in schools.</w:t>
      </w:r>
    </w:p>
    <w:p w:rsidR="00F3177F" w:rsidRDefault="00F3177F">
      <w:pPr>
        <w:pStyle w:val="BodyText"/>
      </w:pPr>
    </w:p>
    <w:p w:rsidR="00F3177F" w:rsidRDefault="0089671D">
      <w:pPr>
        <w:pStyle w:val="BodyText"/>
        <w:spacing w:before="140"/>
        <w:ind w:left="584" w:right="180"/>
        <w:jc w:val="both"/>
      </w:pPr>
      <w:r>
        <w:t>Table 19: Items with the highest students’ complaint level differences for the first three lessons between MAXECSs and MINECSs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6"/>
        <w:gridCol w:w="1711"/>
      </w:tblGrid>
      <w:tr w:rsidR="00F3177F">
        <w:trPr>
          <w:trHeight w:hRule="exact" w:val="775"/>
        </w:trPr>
        <w:tc>
          <w:tcPr>
            <w:tcW w:w="6856" w:type="dxa"/>
          </w:tcPr>
          <w:p w:rsidR="00F3177F" w:rsidRDefault="00F3177F">
            <w:pPr>
              <w:pStyle w:val="TableParagraph"/>
              <w:spacing w:before="6"/>
              <w:rPr>
                <w:sz w:val="20"/>
              </w:rPr>
            </w:pPr>
          </w:p>
          <w:p w:rsidR="00F3177F" w:rsidRDefault="0089671D">
            <w:pPr>
              <w:pStyle w:val="TableParagraph"/>
              <w:ind w:left="1295"/>
              <w:rPr>
                <w:sz w:val="24"/>
              </w:rPr>
            </w:pPr>
            <w:r>
              <w:rPr>
                <w:sz w:val="24"/>
              </w:rPr>
              <w:t>Items with the Higher than 20% Differences</w:t>
            </w:r>
          </w:p>
        </w:tc>
        <w:tc>
          <w:tcPr>
            <w:tcW w:w="1711" w:type="dxa"/>
          </w:tcPr>
          <w:p w:rsidR="00F3177F" w:rsidRDefault="0089671D">
            <w:pPr>
              <w:pStyle w:val="TableParagraph"/>
              <w:spacing w:before="97"/>
              <w:ind w:left="362" w:right="181" w:hanging="161"/>
              <w:rPr>
                <w:sz w:val="24"/>
              </w:rPr>
            </w:pPr>
            <w:r>
              <w:rPr>
                <w:sz w:val="24"/>
              </w:rPr>
              <w:t>percentage of difference</w:t>
            </w:r>
          </w:p>
        </w:tc>
      </w:tr>
      <w:tr w:rsidR="00F3177F">
        <w:trPr>
          <w:trHeight w:hRule="exact" w:val="643"/>
        </w:trPr>
        <w:tc>
          <w:tcPr>
            <w:tcW w:w="6856" w:type="dxa"/>
            <w:tcBorders>
              <w:left w:val="single" w:sz="8" w:space="0" w:color="000000"/>
            </w:tcBorders>
          </w:tcPr>
          <w:p w:rsidR="00F3177F" w:rsidRDefault="0089671D">
            <w:pPr>
              <w:pStyle w:val="TableParagraph"/>
              <w:spacing w:line="276" w:lineRule="auto"/>
              <w:ind w:left="98" w:right="405"/>
              <w:rPr>
                <w:sz w:val="24"/>
              </w:rPr>
            </w:pPr>
            <w:r>
              <w:rPr>
                <w:sz w:val="24"/>
              </w:rPr>
              <w:t>27. Is there distracting noise outdoors (from the traffic/schoolyard/construction, or the like)?</w:t>
            </w:r>
          </w:p>
        </w:tc>
        <w:tc>
          <w:tcPr>
            <w:tcW w:w="1711" w:type="dxa"/>
          </w:tcPr>
          <w:p w:rsidR="00F3177F" w:rsidRDefault="0089671D">
            <w:pPr>
              <w:pStyle w:val="TableParagraph"/>
              <w:spacing w:before="172"/>
              <w:ind w:left="619" w:right="621"/>
              <w:jc w:val="center"/>
              <w:rPr>
                <w:sz w:val="24"/>
              </w:rPr>
            </w:pPr>
            <w:r>
              <w:rPr>
                <w:sz w:val="24"/>
              </w:rPr>
              <w:t>47.2</w:t>
            </w:r>
          </w:p>
        </w:tc>
      </w:tr>
      <w:tr w:rsidR="00F3177F">
        <w:trPr>
          <w:trHeight w:hRule="exact" w:val="449"/>
        </w:trPr>
        <w:tc>
          <w:tcPr>
            <w:tcW w:w="6856" w:type="dxa"/>
            <w:tcBorders>
              <w:left w:val="single" w:sz="8" w:space="0" w:color="000000"/>
            </w:tcBorders>
          </w:tcPr>
          <w:p w:rsidR="00F3177F" w:rsidRDefault="0089671D">
            <w:pPr>
              <w:pStyle w:val="TableParagraph"/>
              <w:spacing w:before="73"/>
              <w:ind w:left="98" w:right="405"/>
              <w:rPr>
                <w:sz w:val="24"/>
              </w:rPr>
            </w:pPr>
            <w:r>
              <w:rPr>
                <w:sz w:val="24"/>
              </w:rPr>
              <w:t>21. Does the air feel heavy or poor?</w:t>
            </w:r>
          </w:p>
        </w:tc>
        <w:tc>
          <w:tcPr>
            <w:tcW w:w="1711" w:type="dxa"/>
          </w:tcPr>
          <w:p w:rsidR="00F3177F" w:rsidRDefault="0089671D">
            <w:pPr>
              <w:pStyle w:val="TableParagraph"/>
              <w:spacing w:before="73"/>
              <w:ind w:left="619" w:right="621"/>
              <w:jc w:val="center"/>
              <w:rPr>
                <w:sz w:val="24"/>
              </w:rPr>
            </w:pPr>
            <w:r>
              <w:rPr>
                <w:sz w:val="24"/>
              </w:rPr>
              <w:t>38.1</w:t>
            </w:r>
          </w:p>
        </w:tc>
      </w:tr>
      <w:tr w:rsidR="00F3177F">
        <w:trPr>
          <w:trHeight w:hRule="exact" w:val="646"/>
        </w:trPr>
        <w:tc>
          <w:tcPr>
            <w:tcW w:w="6856" w:type="dxa"/>
            <w:tcBorders>
              <w:left w:val="single" w:sz="8" w:space="0" w:color="000000"/>
            </w:tcBorders>
          </w:tcPr>
          <w:p w:rsidR="00F3177F" w:rsidRDefault="0089671D">
            <w:pPr>
              <w:pStyle w:val="TableParagraph"/>
              <w:spacing w:line="276" w:lineRule="auto"/>
              <w:ind w:left="98" w:right="405"/>
              <w:rPr>
                <w:sz w:val="24"/>
              </w:rPr>
            </w:pPr>
            <w:r>
              <w:rPr>
                <w:sz w:val="24"/>
              </w:rPr>
              <w:t>26. Is there disturbing noise from the students or teachers of other classes or classrooms?</w:t>
            </w:r>
          </w:p>
        </w:tc>
        <w:tc>
          <w:tcPr>
            <w:tcW w:w="1711" w:type="dxa"/>
          </w:tcPr>
          <w:p w:rsidR="00F3177F" w:rsidRDefault="0089671D">
            <w:pPr>
              <w:pStyle w:val="TableParagraph"/>
              <w:spacing w:before="172"/>
              <w:ind w:left="619" w:right="621"/>
              <w:jc w:val="center"/>
              <w:rPr>
                <w:sz w:val="24"/>
              </w:rPr>
            </w:pPr>
            <w:r>
              <w:rPr>
                <w:sz w:val="24"/>
              </w:rPr>
              <w:t>36.5</w:t>
            </w:r>
          </w:p>
        </w:tc>
      </w:tr>
      <w:tr w:rsidR="00F3177F">
        <w:trPr>
          <w:trHeight w:hRule="exact" w:val="449"/>
        </w:trPr>
        <w:tc>
          <w:tcPr>
            <w:tcW w:w="6856" w:type="dxa"/>
            <w:tcBorders>
              <w:left w:val="single" w:sz="8" w:space="0" w:color="000000"/>
            </w:tcBorders>
          </w:tcPr>
          <w:p w:rsidR="00F3177F" w:rsidRDefault="0089671D">
            <w:pPr>
              <w:pStyle w:val="TableParagraph"/>
              <w:spacing w:before="73"/>
              <w:ind w:left="98" w:right="405"/>
              <w:rPr>
                <w:sz w:val="24"/>
              </w:rPr>
            </w:pPr>
            <w:r>
              <w:rPr>
                <w:sz w:val="24"/>
              </w:rPr>
              <w:t>4. Are you tired?</w:t>
            </w:r>
          </w:p>
        </w:tc>
        <w:tc>
          <w:tcPr>
            <w:tcW w:w="1711" w:type="dxa"/>
          </w:tcPr>
          <w:p w:rsidR="00F3177F" w:rsidRDefault="0089671D">
            <w:pPr>
              <w:pStyle w:val="TableParagraph"/>
              <w:spacing w:before="73"/>
              <w:ind w:left="619" w:right="621"/>
              <w:jc w:val="center"/>
              <w:rPr>
                <w:sz w:val="24"/>
              </w:rPr>
            </w:pPr>
            <w:r>
              <w:rPr>
                <w:sz w:val="24"/>
              </w:rPr>
              <w:t>36.4</w:t>
            </w:r>
          </w:p>
        </w:tc>
      </w:tr>
      <w:tr w:rsidR="00F3177F">
        <w:trPr>
          <w:trHeight w:hRule="exact" w:val="449"/>
        </w:trPr>
        <w:tc>
          <w:tcPr>
            <w:tcW w:w="6856" w:type="dxa"/>
            <w:tcBorders>
              <w:left w:val="single" w:sz="8" w:space="0" w:color="000000"/>
            </w:tcBorders>
          </w:tcPr>
          <w:p w:rsidR="00F3177F" w:rsidRDefault="0089671D">
            <w:pPr>
              <w:pStyle w:val="TableParagraph"/>
              <w:spacing w:before="74"/>
              <w:ind w:left="98" w:right="405"/>
              <w:rPr>
                <w:sz w:val="24"/>
              </w:rPr>
            </w:pPr>
            <w:r>
              <w:rPr>
                <w:sz w:val="24"/>
              </w:rPr>
              <w:t>22. Does the air feel dry?</w:t>
            </w:r>
          </w:p>
        </w:tc>
        <w:tc>
          <w:tcPr>
            <w:tcW w:w="1711" w:type="dxa"/>
          </w:tcPr>
          <w:p w:rsidR="00F3177F" w:rsidRDefault="0089671D">
            <w:pPr>
              <w:pStyle w:val="TableParagraph"/>
              <w:spacing w:before="74"/>
              <w:ind w:left="619" w:right="621"/>
              <w:jc w:val="center"/>
              <w:rPr>
                <w:sz w:val="24"/>
              </w:rPr>
            </w:pPr>
            <w:r>
              <w:rPr>
                <w:sz w:val="24"/>
              </w:rPr>
              <w:t>32.8</w:t>
            </w:r>
          </w:p>
        </w:tc>
      </w:tr>
      <w:tr w:rsidR="00F3177F">
        <w:trPr>
          <w:trHeight w:hRule="exact" w:val="449"/>
        </w:trPr>
        <w:tc>
          <w:tcPr>
            <w:tcW w:w="6856" w:type="dxa"/>
            <w:tcBorders>
              <w:left w:val="single" w:sz="8" w:space="0" w:color="000000"/>
            </w:tcBorders>
          </w:tcPr>
          <w:p w:rsidR="00F3177F" w:rsidRDefault="0089671D">
            <w:pPr>
              <w:pStyle w:val="TableParagraph"/>
              <w:spacing w:before="73"/>
              <w:ind w:left="98" w:right="405"/>
              <w:rPr>
                <w:sz w:val="24"/>
              </w:rPr>
            </w:pPr>
            <w:r>
              <w:rPr>
                <w:sz w:val="24"/>
              </w:rPr>
              <w:t>17. Does the heat/temperature from the Sun disturb?</w:t>
            </w:r>
          </w:p>
        </w:tc>
        <w:tc>
          <w:tcPr>
            <w:tcW w:w="1711" w:type="dxa"/>
          </w:tcPr>
          <w:p w:rsidR="00F3177F" w:rsidRDefault="0089671D">
            <w:pPr>
              <w:pStyle w:val="TableParagraph"/>
              <w:spacing w:before="73"/>
              <w:ind w:left="619" w:right="621"/>
              <w:jc w:val="center"/>
              <w:rPr>
                <w:sz w:val="24"/>
              </w:rPr>
            </w:pPr>
            <w:r>
              <w:rPr>
                <w:sz w:val="24"/>
              </w:rPr>
              <w:t>30.9</w:t>
            </w:r>
          </w:p>
        </w:tc>
      </w:tr>
      <w:tr w:rsidR="00F3177F">
        <w:trPr>
          <w:trHeight w:hRule="exact" w:val="451"/>
        </w:trPr>
        <w:tc>
          <w:tcPr>
            <w:tcW w:w="6856" w:type="dxa"/>
            <w:tcBorders>
              <w:left w:val="single" w:sz="8" w:space="0" w:color="000000"/>
            </w:tcBorders>
          </w:tcPr>
          <w:p w:rsidR="00F3177F" w:rsidRDefault="0089671D">
            <w:pPr>
              <w:pStyle w:val="TableParagraph"/>
              <w:spacing w:before="73"/>
              <w:ind w:left="98" w:right="405"/>
              <w:rPr>
                <w:sz w:val="24"/>
              </w:rPr>
            </w:pPr>
            <w:r>
              <w:rPr>
                <w:sz w:val="24"/>
              </w:rPr>
              <w:t>18. Do you feel cold in the classroom in WINTER?</w:t>
            </w:r>
          </w:p>
        </w:tc>
        <w:tc>
          <w:tcPr>
            <w:tcW w:w="1711" w:type="dxa"/>
          </w:tcPr>
          <w:p w:rsidR="00F3177F" w:rsidRDefault="0089671D">
            <w:pPr>
              <w:pStyle w:val="TableParagraph"/>
              <w:spacing w:before="73"/>
              <w:ind w:left="619" w:right="621"/>
              <w:jc w:val="center"/>
              <w:rPr>
                <w:sz w:val="24"/>
              </w:rPr>
            </w:pPr>
            <w:r>
              <w:rPr>
                <w:sz w:val="24"/>
              </w:rPr>
              <w:t>30.9</w:t>
            </w:r>
          </w:p>
        </w:tc>
      </w:tr>
    </w:tbl>
    <w:p w:rsidR="00F3177F" w:rsidRDefault="00F3177F">
      <w:pPr>
        <w:jc w:val="center"/>
        <w:rPr>
          <w:sz w:val="24"/>
        </w:rPr>
        <w:sectPr w:rsidR="00F3177F">
          <w:pgSz w:w="12240" w:h="15840"/>
          <w:pgMar w:top="1380" w:right="1260" w:bottom="2320" w:left="1720" w:header="0" w:footer="2072" w:gutter="0"/>
          <w:cols w:space="720"/>
        </w:sectPr>
      </w:pPr>
    </w:p>
    <w:p w:rsidR="00F3177F" w:rsidRDefault="0089671D">
      <w:pPr>
        <w:pStyle w:val="BodyText"/>
        <w:spacing w:before="54" w:line="360" w:lineRule="auto"/>
        <w:ind w:left="584" w:right="176"/>
        <w:jc w:val="both"/>
      </w:pPr>
      <w:r>
        <w:lastRenderedPageBreak/>
        <w:t>Three of the highest differences between the MAXECSs and MINECSs for the first three lessons as poor or heavy air, and dry indoor air, and feeling cold in winter can be compensated by using proper air ventilation systems along with well-functioning heating</w:t>
      </w:r>
      <w:r>
        <w:rPr>
          <w:spacing w:val="-7"/>
        </w:rPr>
        <w:t xml:space="preserve"> </w:t>
      </w:r>
      <w:r>
        <w:t>system.</w:t>
      </w:r>
    </w:p>
    <w:p w:rsidR="00F3177F" w:rsidRDefault="00F3177F">
      <w:pPr>
        <w:pStyle w:val="BodyText"/>
      </w:pPr>
    </w:p>
    <w:p w:rsidR="00F3177F" w:rsidRDefault="0089671D">
      <w:pPr>
        <w:pStyle w:val="BodyText"/>
        <w:spacing w:before="140"/>
        <w:ind w:left="584" w:right="184"/>
        <w:jc w:val="both"/>
      </w:pPr>
      <w:r>
        <w:t>Table 20: Items with the highest students’ complaint level differences for the window seats between MAXECSs and MINECSs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7"/>
        <w:gridCol w:w="1620"/>
      </w:tblGrid>
      <w:tr w:rsidR="00F3177F">
        <w:trPr>
          <w:trHeight w:hRule="exact" w:val="776"/>
        </w:trPr>
        <w:tc>
          <w:tcPr>
            <w:tcW w:w="6947" w:type="dxa"/>
          </w:tcPr>
          <w:p w:rsidR="00F3177F" w:rsidRDefault="00F3177F">
            <w:pPr>
              <w:pStyle w:val="TableParagraph"/>
              <w:spacing w:before="6"/>
              <w:rPr>
                <w:sz w:val="20"/>
              </w:rPr>
            </w:pPr>
          </w:p>
          <w:p w:rsidR="00F3177F" w:rsidRDefault="0089671D">
            <w:pPr>
              <w:pStyle w:val="TableParagraph"/>
              <w:ind w:left="1341"/>
              <w:rPr>
                <w:sz w:val="24"/>
              </w:rPr>
            </w:pPr>
            <w:r>
              <w:rPr>
                <w:sz w:val="24"/>
              </w:rPr>
              <w:t>Items with the Higher than 20% Differences</w:t>
            </w:r>
          </w:p>
        </w:tc>
        <w:tc>
          <w:tcPr>
            <w:tcW w:w="1620" w:type="dxa"/>
          </w:tcPr>
          <w:p w:rsidR="00F3177F" w:rsidRDefault="0089671D">
            <w:pPr>
              <w:pStyle w:val="TableParagraph"/>
              <w:spacing w:before="100"/>
              <w:ind w:left="316" w:right="139" w:hanging="164"/>
              <w:rPr>
                <w:sz w:val="24"/>
              </w:rPr>
            </w:pPr>
            <w:r>
              <w:rPr>
                <w:sz w:val="24"/>
              </w:rPr>
              <w:t>percentage of difference</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23. Are there any unpleasant odors?</w:t>
            </w:r>
          </w:p>
        </w:tc>
        <w:tc>
          <w:tcPr>
            <w:tcW w:w="1620" w:type="dxa"/>
          </w:tcPr>
          <w:p w:rsidR="00F3177F" w:rsidRDefault="0089671D">
            <w:pPr>
              <w:pStyle w:val="TableParagraph"/>
              <w:spacing w:before="73"/>
              <w:ind w:left="574" w:right="576"/>
              <w:jc w:val="center"/>
              <w:rPr>
                <w:sz w:val="24"/>
              </w:rPr>
            </w:pPr>
            <w:r>
              <w:rPr>
                <w:sz w:val="24"/>
              </w:rPr>
              <w:t>36.5</w:t>
            </w:r>
          </w:p>
        </w:tc>
      </w:tr>
      <w:tr w:rsidR="00F3177F">
        <w:trPr>
          <w:trHeight w:hRule="exact" w:val="449"/>
        </w:trPr>
        <w:tc>
          <w:tcPr>
            <w:tcW w:w="6947" w:type="dxa"/>
            <w:tcBorders>
              <w:left w:val="single" w:sz="8" w:space="0" w:color="000000"/>
            </w:tcBorders>
          </w:tcPr>
          <w:p w:rsidR="00F3177F" w:rsidRDefault="0089671D">
            <w:pPr>
              <w:pStyle w:val="TableParagraph"/>
              <w:spacing w:before="76"/>
              <w:ind w:left="98"/>
              <w:rPr>
                <w:sz w:val="24"/>
              </w:rPr>
            </w:pPr>
            <w:r>
              <w:rPr>
                <w:sz w:val="24"/>
              </w:rPr>
              <w:t>18. Do you feel cold in the classroom in WINTER?</w:t>
            </w:r>
          </w:p>
        </w:tc>
        <w:tc>
          <w:tcPr>
            <w:tcW w:w="1620" w:type="dxa"/>
          </w:tcPr>
          <w:p w:rsidR="00F3177F" w:rsidRDefault="0089671D">
            <w:pPr>
              <w:pStyle w:val="TableParagraph"/>
              <w:spacing w:before="76"/>
              <w:ind w:left="574" w:right="576"/>
              <w:jc w:val="center"/>
              <w:rPr>
                <w:sz w:val="24"/>
              </w:rPr>
            </w:pPr>
            <w:r>
              <w:rPr>
                <w:sz w:val="24"/>
              </w:rPr>
              <w:t>28.1</w:t>
            </w:r>
          </w:p>
        </w:tc>
      </w:tr>
      <w:tr w:rsidR="00F3177F">
        <w:trPr>
          <w:trHeight w:hRule="exact" w:val="451"/>
        </w:trPr>
        <w:tc>
          <w:tcPr>
            <w:tcW w:w="6947" w:type="dxa"/>
            <w:tcBorders>
              <w:left w:val="single" w:sz="8" w:space="0" w:color="000000"/>
            </w:tcBorders>
          </w:tcPr>
          <w:p w:rsidR="00F3177F" w:rsidRDefault="0089671D">
            <w:pPr>
              <w:pStyle w:val="TableParagraph"/>
              <w:spacing w:before="76"/>
              <w:ind w:left="98"/>
              <w:rPr>
                <w:sz w:val="24"/>
              </w:rPr>
            </w:pPr>
            <w:r>
              <w:rPr>
                <w:sz w:val="24"/>
              </w:rPr>
              <w:t>22. Does the air feel dry?</w:t>
            </w:r>
          </w:p>
        </w:tc>
        <w:tc>
          <w:tcPr>
            <w:tcW w:w="1620" w:type="dxa"/>
          </w:tcPr>
          <w:p w:rsidR="00F3177F" w:rsidRDefault="0089671D">
            <w:pPr>
              <w:pStyle w:val="TableParagraph"/>
              <w:spacing w:before="76"/>
              <w:ind w:left="574" w:right="576"/>
              <w:jc w:val="center"/>
              <w:rPr>
                <w:sz w:val="24"/>
              </w:rPr>
            </w:pPr>
            <w:r>
              <w:rPr>
                <w:sz w:val="24"/>
              </w:rPr>
              <w:t>27.1</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21. Does the air feel heavy or poor?</w:t>
            </w:r>
          </w:p>
        </w:tc>
        <w:tc>
          <w:tcPr>
            <w:tcW w:w="1620" w:type="dxa"/>
          </w:tcPr>
          <w:p w:rsidR="00F3177F" w:rsidRDefault="0089671D">
            <w:pPr>
              <w:pStyle w:val="TableParagraph"/>
              <w:spacing w:before="73"/>
              <w:ind w:left="574" w:right="576"/>
              <w:jc w:val="center"/>
              <w:rPr>
                <w:sz w:val="24"/>
              </w:rPr>
            </w:pPr>
            <w:r>
              <w:rPr>
                <w:sz w:val="24"/>
              </w:rPr>
              <w:t>26.9</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31. Is there annoying light from the Sun?</w:t>
            </w:r>
          </w:p>
        </w:tc>
        <w:tc>
          <w:tcPr>
            <w:tcW w:w="1620" w:type="dxa"/>
          </w:tcPr>
          <w:p w:rsidR="00F3177F" w:rsidRDefault="0089671D">
            <w:pPr>
              <w:pStyle w:val="TableParagraph"/>
              <w:spacing w:before="73"/>
              <w:ind w:left="574" w:right="576"/>
              <w:jc w:val="center"/>
              <w:rPr>
                <w:sz w:val="24"/>
              </w:rPr>
            </w:pPr>
            <w:r>
              <w:rPr>
                <w:sz w:val="24"/>
              </w:rPr>
              <w:t>24.9</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8. Do you have trouble concentrating?</w:t>
            </w:r>
          </w:p>
        </w:tc>
        <w:tc>
          <w:tcPr>
            <w:tcW w:w="1620" w:type="dxa"/>
          </w:tcPr>
          <w:p w:rsidR="00F3177F" w:rsidRDefault="0089671D">
            <w:pPr>
              <w:pStyle w:val="TableParagraph"/>
              <w:spacing w:before="73"/>
              <w:ind w:left="574" w:right="576"/>
              <w:jc w:val="center"/>
              <w:rPr>
                <w:sz w:val="24"/>
              </w:rPr>
            </w:pPr>
            <w:r>
              <w:rPr>
                <w:sz w:val="24"/>
              </w:rPr>
              <w:t>23.0</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16. Is it too hot?</w:t>
            </w:r>
          </w:p>
        </w:tc>
        <w:tc>
          <w:tcPr>
            <w:tcW w:w="1620" w:type="dxa"/>
          </w:tcPr>
          <w:p w:rsidR="00F3177F" w:rsidRDefault="0089671D">
            <w:pPr>
              <w:pStyle w:val="TableParagraph"/>
              <w:spacing w:before="73"/>
              <w:ind w:left="574" w:right="576"/>
              <w:jc w:val="center"/>
              <w:rPr>
                <w:sz w:val="24"/>
              </w:rPr>
            </w:pPr>
            <w:r>
              <w:rPr>
                <w:sz w:val="24"/>
              </w:rPr>
              <w:t>20.6</w:t>
            </w:r>
          </w:p>
        </w:tc>
      </w:tr>
    </w:tbl>
    <w:p w:rsidR="00F3177F" w:rsidRDefault="00F3177F">
      <w:pPr>
        <w:pStyle w:val="BodyText"/>
        <w:spacing w:before="7"/>
        <w:rPr>
          <w:sz w:val="29"/>
        </w:rPr>
      </w:pPr>
    </w:p>
    <w:p w:rsidR="00F3177F" w:rsidRDefault="0089671D">
      <w:pPr>
        <w:pStyle w:val="BodyText"/>
        <w:spacing w:before="69" w:line="360" w:lineRule="auto"/>
        <w:ind w:left="584" w:right="174"/>
        <w:jc w:val="both"/>
      </w:pPr>
      <w:r>
        <w:t xml:space="preserve">For the concerns of the students who sit near windows in the MINECSs, properly installed appliances can directly reduce the gap for all the items except </w:t>
      </w:r>
      <w:proofErr w:type="gramStart"/>
      <w:r>
        <w:t>for  concentration</w:t>
      </w:r>
      <w:proofErr w:type="gramEnd"/>
      <w:r>
        <w:t xml:space="preserve"> trouble. Although the lack of concentration can occur for various reasons, in some cases with the collection of several ones, a quality indoor atmosphere will surely help students to improve their concentrations. Furthermore, disturbance from the sunlight can be reduced with a proper and healthy indoor lighting although it brings more</w:t>
      </w:r>
      <w:r>
        <w:rPr>
          <w:spacing w:val="-3"/>
        </w:rPr>
        <w:t xml:space="preserve"> </w:t>
      </w:r>
      <w:r>
        <w:t>expenses.</w:t>
      </w:r>
    </w:p>
    <w:p w:rsidR="00F3177F" w:rsidRDefault="00F3177F">
      <w:pPr>
        <w:spacing w:line="360" w:lineRule="auto"/>
        <w:jc w:val="both"/>
        <w:sectPr w:rsidR="00F3177F">
          <w:pgSz w:w="12240" w:h="15840"/>
          <w:pgMar w:top="1380" w:right="1260" w:bottom="2320" w:left="1720" w:header="0" w:footer="2072" w:gutter="0"/>
          <w:cols w:space="720"/>
        </w:sectPr>
      </w:pPr>
    </w:p>
    <w:p w:rsidR="00F3177F" w:rsidRDefault="0089671D" w:rsidP="00C7427A">
      <w:pPr>
        <w:pStyle w:val="BodyText"/>
        <w:spacing w:before="52"/>
        <w:ind w:left="584"/>
        <w:jc w:val="both"/>
      </w:pPr>
      <w:r>
        <w:lastRenderedPageBreak/>
        <w:t>Table 21: Items with the highest students’ complaint level differences for the wall seats between MAXECSs and MINECSs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7"/>
        <w:gridCol w:w="1620"/>
      </w:tblGrid>
      <w:tr w:rsidR="00F3177F">
        <w:trPr>
          <w:trHeight w:hRule="exact" w:val="775"/>
        </w:trPr>
        <w:tc>
          <w:tcPr>
            <w:tcW w:w="6947" w:type="dxa"/>
          </w:tcPr>
          <w:p w:rsidR="00F3177F" w:rsidRDefault="00F3177F">
            <w:pPr>
              <w:pStyle w:val="TableParagraph"/>
              <w:spacing w:before="6"/>
              <w:rPr>
                <w:sz w:val="20"/>
              </w:rPr>
            </w:pPr>
          </w:p>
          <w:p w:rsidR="00F3177F" w:rsidRDefault="0089671D">
            <w:pPr>
              <w:pStyle w:val="TableParagraph"/>
              <w:ind w:left="1341"/>
              <w:rPr>
                <w:sz w:val="24"/>
              </w:rPr>
            </w:pPr>
            <w:r>
              <w:rPr>
                <w:sz w:val="24"/>
              </w:rPr>
              <w:t>Items with the Higher than 20% Differences</w:t>
            </w:r>
          </w:p>
        </w:tc>
        <w:tc>
          <w:tcPr>
            <w:tcW w:w="1620" w:type="dxa"/>
          </w:tcPr>
          <w:p w:rsidR="00F3177F" w:rsidRDefault="0089671D">
            <w:pPr>
              <w:pStyle w:val="TableParagraph"/>
              <w:spacing w:before="100"/>
              <w:ind w:left="316" w:right="139" w:hanging="164"/>
              <w:rPr>
                <w:sz w:val="24"/>
              </w:rPr>
            </w:pPr>
            <w:r>
              <w:rPr>
                <w:sz w:val="24"/>
              </w:rPr>
              <w:t>percentage of difference</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18. Do you feel cold in the classroom in WINTER?</w:t>
            </w:r>
          </w:p>
        </w:tc>
        <w:tc>
          <w:tcPr>
            <w:tcW w:w="1620" w:type="dxa"/>
          </w:tcPr>
          <w:p w:rsidR="00F3177F" w:rsidRDefault="0089671D">
            <w:pPr>
              <w:pStyle w:val="TableParagraph"/>
              <w:spacing w:before="73"/>
              <w:ind w:left="574" w:right="576"/>
              <w:jc w:val="center"/>
              <w:rPr>
                <w:sz w:val="24"/>
              </w:rPr>
            </w:pPr>
            <w:r>
              <w:rPr>
                <w:sz w:val="24"/>
              </w:rPr>
              <w:t>31.1</w:t>
            </w:r>
          </w:p>
        </w:tc>
      </w:tr>
      <w:tr w:rsidR="00F3177F">
        <w:trPr>
          <w:trHeight w:hRule="exact" w:val="562"/>
        </w:trPr>
        <w:tc>
          <w:tcPr>
            <w:tcW w:w="6947" w:type="dxa"/>
            <w:tcBorders>
              <w:left w:val="single" w:sz="8" w:space="0" w:color="000000"/>
            </w:tcBorders>
          </w:tcPr>
          <w:p w:rsidR="00F3177F" w:rsidRDefault="0089671D">
            <w:pPr>
              <w:pStyle w:val="TableParagraph"/>
              <w:ind w:left="458" w:right="2216" w:hanging="360"/>
              <w:rPr>
                <w:sz w:val="24"/>
              </w:rPr>
            </w:pPr>
            <w:r>
              <w:rPr>
                <w:sz w:val="24"/>
              </w:rPr>
              <w:t>27. Is there distracting noise outdoors (from the traffic/schoolyard/construction, or the like)?</w:t>
            </w:r>
          </w:p>
        </w:tc>
        <w:tc>
          <w:tcPr>
            <w:tcW w:w="1620" w:type="dxa"/>
          </w:tcPr>
          <w:p w:rsidR="00F3177F" w:rsidRDefault="0089671D">
            <w:pPr>
              <w:pStyle w:val="TableParagraph"/>
              <w:spacing w:before="131"/>
              <w:ind w:left="574" w:right="576"/>
              <w:jc w:val="center"/>
              <w:rPr>
                <w:sz w:val="24"/>
              </w:rPr>
            </w:pPr>
            <w:r>
              <w:rPr>
                <w:sz w:val="24"/>
              </w:rPr>
              <w:t>27.4</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21. Does the air feel heavy or poor?</w:t>
            </w:r>
          </w:p>
        </w:tc>
        <w:tc>
          <w:tcPr>
            <w:tcW w:w="1620" w:type="dxa"/>
          </w:tcPr>
          <w:p w:rsidR="00F3177F" w:rsidRDefault="0089671D">
            <w:pPr>
              <w:pStyle w:val="TableParagraph"/>
              <w:spacing w:before="73"/>
              <w:ind w:left="574" w:right="576"/>
              <w:jc w:val="center"/>
              <w:rPr>
                <w:sz w:val="24"/>
              </w:rPr>
            </w:pPr>
            <w:r>
              <w:rPr>
                <w:sz w:val="24"/>
              </w:rPr>
              <w:t>26.3</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17. Does the heat/temperature from the Sun disturb?</w:t>
            </w:r>
          </w:p>
        </w:tc>
        <w:tc>
          <w:tcPr>
            <w:tcW w:w="1620" w:type="dxa"/>
          </w:tcPr>
          <w:p w:rsidR="00F3177F" w:rsidRDefault="0089671D">
            <w:pPr>
              <w:pStyle w:val="TableParagraph"/>
              <w:spacing w:before="73"/>
              <w:ind w:left="574" w:right="576"/>
              <w:jc w:val="center"/>
              <w:rPr>
                <w:sz w:val="24"/>
              </w:rPr>
            </w:pPr>
            <w:r>
              <w:rPr>
                <w:sz w:val="24"/>
              </w:rPr>
              <w:t>22.0</w:t>
            </w:r>
          </w:p>
        </w:tc>
      </w:tr>
    </w:tbl>
    <w:p w:rsidR="00F3177F" w:rsidRDefault="00F3177F">
      <w:pPr>
        <w:pStyle w:val="BodyText"/>
        <w:rPr>
          <w:sz w:val="20"/>
        </w:rPr>
      </w:pPr>
    </w:p>
    <w:p w:rsidR="00F3177F" w:rsidRDefault="00F3177F">
      <w:pPr>
        <w:pStyle w:val="BodyText"/>
        <w:spacing w:before="6"/>
        <w:rPr>
          <w:sz w:val="21"/>
        </w:rPr>
      </w:pPr>
    </w:p>
    <w:p w:rsidR="00F3177F" w:rsidRDefault="0089671D">
      <w:pPr>
        <w:pStyle w:val="BodyText"/>
        <w:spacing w:before="69" w:line="360" w:lineRule="auto"/>
        <w:ind w:left="584" w:right="183"/>
        <w:jc w:val="both"/>
      </w:pPr>
      <w:r>
        <w:t>The two common items between the students sitting near windows and the wall are Item 18 (Do you feel cold in the classroom in WINTER?) and Item 21 (Does the air feel heavy or poor?). It is worth mentioning that their percentages are almost the same.</w:t>
      </w:r>
    </w:p>
    <w:p w:rsidR="00F3177F" w:rsidRDefault="00F3177F">
      <w:pPr>
        <w:pStyle w:val="BodyText"/>
      </w:pPr>
    </w:p>
    <w:p w:rsidR="00F3177F" w:rsidRDefault="0089671D">
      <w:pPr>
        <w:pStyle w:val="BodyText"/>
        <w:spacing w:before="140"/>
        <w:ind w:left="584" w:right="182"/>
        <w:jc w:val="both"/>
      </w:pPr>
      <w:r>
        <w:t>Table 22: Items with the highest students’ complaint level differences for the back seats between MAXECSs and MINECSs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7"/>
        <w:gridCol w:w="1529"/>
      </w:tblGrid>
      <w:tr w:rsidR="00F3177F">
        <w:trPr>
          <w:trHeight w:hRule="exact" w:val="776"/>
        </w:trPr>
        <w:tc>
          <w:tcPr>
            <w:tcW w:w="6947" w:type="dxa"/>
          </w:tcPr>
          <w:p w:rsidR="00F3177F" w:rsidRDefault="00F3177F">
            <w:pPr>
              <w:pStyle w:val="TableParagraph"/>
              <w:spacing w:before="7"/>
              <w:rPr>
                <w:sz w:val="20"/>
              </w:rPr>
            </w:pPr>
          </w:p>
          <w:p w:rsidR="00F3177F" w:rsidRDefault="0089671D">
            <w:pPr>
              <w:pStyle w:val="TableParagraph"/>
              <w:ind w:left="1341"/>
              <w:rPr>
                <w:sz w:val="24"/>
              </w:rPr>
            </w:pPr>
            <w:r>
              <w:rPr>
                <w:sz w:val="24"/>
              </w:rPr>
              <w:t>Items with the Higher than 20%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21. Does the air feel heavy or poor?</w:t>
            </w:r>
          </w:p>
        </w:tc>
        <w:tc>
          <w:tcPr>
            <w:tcW w:w="1529" w:type="dxa"/>
          </w:tcPr>
          <w:p w:rsidR="00F3177F" w:rsidRDefault="0089671D">
            <w:pPr>
              <w:pStyle w:val="TableParagraph"/>
              <w:spacing w:before="73"/>
              <w:ind w:left="101" w:right="103"/>
              <w:jc w:val="center"/>
              <w:rPr>
                <w:sz w:val="24"/>
              </w:rPr>
            </w:pPr>
            <w:r>
              <w:rPr>
                <w:sz w:val="24"/>
              </w:rPr>
              <w:t>29.6</w:t>
            </w:r>
          </w:p>
        </w:tc>
      </w:tr>
      <w:tr w:rsidR="00F3177F">
        <w:trPr>
          <w:trHeight w:hRule="exact" w:val="562"/>
        </w:trPr>
        <w:tc>
          <w:tcPr>
            <w:tcW w:w="6947" w:type="dxa"/>
            <w:tcBorders>
              <w:left w:val="single" w:sz="8" w:space="0" w:color="000000"/>
            </w:tcBorders>
          </w:tcPr>
          <w:p w:rsidR="00F3177F" w:rsidRDefault="0089671D">
            <w:pPr>
              <w:pStyle w:val="TableParagraph"/>
              <w:spacing w:line="237" w:lineRule="auto"/>
              <w:ind w:left="458" w:right="2216" w:hanging="360"/>
              <w:rPr>
                <w:sz w:val="24"/>
              </w:rPr>
            </w:pPr>
            <w:r>
              <w:rPr>
                <w:sz w:val="24"/>
              </w:rPr>
              <w:t>27. Is there distracting noise outdoors (from the traffic/schoolyard/construction, or the like)?</w:t>
            </w:r>
          </w:p>
        </w:tc>
        <w:tc>
          <w:tcPr>
            <w:tcW w:w="1529" w:type="dxa"/>
          </w:tcPr>
          <w:p w:rsidR="00F3177F" w:rsidRDefault="0089671D">
            <w:pPr>
              <w:pStyle w:val="TableParagraph"/>
              <w:spacing w:before="131"/>
              <w:ind w:left="101" w:right="103"/>
              <w:jc w:val="center"/>
              <w:rPr>
                <w:sz w:val="24"/>
              </w:rPr>
            </w:pPr>
            <w:r>
              <w:rPr>
                <w:sz w:val="24"/>
              </w:rPr>
              <w:t>28.4</w:t>
            </w:r>
          </w:p>
        </w:tc>
      </w:tr>
      <w:tr w:rsidR="00F3177F">
        <w:trPr>
          <w:trHeight w:hRule="exact" w:val="451"/>
        </w:trPr>
        <w:tc>
          <w:tcPr>
            <w:tcW w:w="6947" w:type="dxa"/>
            <w:tcBorders>
              <w:left w:val="single" w:sz="8" w:space="0" w:color="000000"/>
            </w:tcBorders>
          </w:tcPr>
          <w:p w:rsidR="00F3177F" w:rsidRDefault="0089671D">
            <w:pPr>
              <w:pStyle w:val="TableParagraph"/>
              <w:spacing w:before="76"/>
              <w:ind w:left="98"/>
              <w:rPr>
                <w:sz w:val="24"/>
              </w:rPr>
            </w:pPr>
            <w:r>
              <w:rPr>
                <w:sz w:val="24"/>
              </w:rPr>
              <w:t>22. Does the air feel dry?</w:t>
            </w:r>
          </w:p>
        </w:tc>
        <w:tc>
          <w:tcPr>
            <w:tcW w:w="1529" w:type="dxa"/>
          </w:tcPr>
          <w:p w:rsidR="00F3177F" w:rsidRDefault="0089671D">
            <w:pPr>
              <w:pStyle w:val="TableParagraph"/>
              <w:spacing w:before="76"/>
              <w:ind w:left="101" w:right="103"/>
              <w:jc w:val="center"/>
              <w:rPr>
                <w:sz w:val="24"/>
              </w:rPr>
            </w:pPr>
            <w:r>
              <w:rPr>
                <w:sz w:val="24"/>
              </w:rPr>
              <w:t>27.4</w:t>
            </w:r>
          </w:p>
        </w:tc>
      </w:tr>
      <w:tr w:rsidR="00F3177F">
        <w:trPr>
          <w:trHeight w:hRule="exact" w:val="449"/>
        </w:trPr>
        <w:tc>
          <w:tcPr>
            <w:tcW w:w="6947" w:type="dxa"/>
          </w:tcPr>
          <w:p w:rsidR="00F3177F" w:rsidRDefault="0089671D">
            <w:pPr>
              <w:pStyle w:val="TableParagraph"/>
              <w:spacing w:before="73"/>
              <w:ind w:left="103"/>
              <w:rPr>
                <w:sz w:val="24"/>
              </w:rPr>
            </w:pPr>
            <w:r>
              <w:rPr>
                <w:sz w:val="24"/>
              </w:rPr>
              <w:t>17. Does the heat/temperature from the Sun disturb?</w:t>
            </w:r>
          </w:p>
        </w:tc>
        <w:tc>
          <w:tcPr>
            <w:tcW w:w="1529" w:type="dxa"/>
          </w:tcPr>
          <w:p w:rsidR="00F3177F" w:rsidRDefault="0089671D">
            <w:pPr>
              <w:pStyle w:val="TableParagraph"/>
              <w:spacing w:before="73"/>
              <w:ind w:left="101" w:right="103"/>
              <w:jc w:val="center"/>
              <w:rPr>
                <w:sz w:val="24"/>
              </w:rPr>
            </w:pPr>
            <w:r>
              <w:rPr>
                <w:sz w:val="24"/>
              </w:rPr>
              <w:t>24.3</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18. Do you feel cold in the classroom in WINTER?</w:t>
            </w:r>
          </w:p>
        </w:tc>
        <w:tc>
          <w:tcPr>
            <w:tcW w:w="1529" w:type="dxa"/>
          </w:tcPr>
          <w:p w:rsidR="00F3177F" w:rsidRDefault="0089671D">
            <w:pPr>
              <w:pStyle w:val="TableParagraph"/>
              <w:spacing w:before="73"/>
              <w:ind w:left="101" w:right="103"/>
              <w:jc w:val="center"/>
              <w:rPr>
                <w:sz w:val="24"/>
              </w:rPr>
            </w:pPr>
            <w:r>
              <w:rPr>
                <w:sz w:val="24"/>
              </w:rPr>
              <w:t>20.6</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16. Is it too hot?</w:t>
            </w:r>
          </w:p>
        </w:tc>
        <w:tc>
          <w:tcPr>
            <w:tcW w:w="1529" w:type="dxa"/>
          </w:tcPr>
          <w:p w:rsidR="00F3177F" w:rsidRDefault="0089671D">
            <w:pPr>
              <w:pStyle w:val="TableParagraph"/>
              <w:spacing w:before="73"/>
              <w:ind w:left="101" w:right="103"/>
              <w:jc w:val="center"/>
              <w:rPr>
                <w:sz w:val="24"/>
              </w:rPr>
            </w:pPr>
            <w:r>
              <w:rPr>
                <w:sz w:val="24"/>
              </w:rPr>
              <w:t>20.4</w:t>
            </w:r>
          </w:p>
        </w:tc>
      </w:tr>
      <w:tr w:rsidR="00F3177F">
        <w:trPr>
          <w:trHeight w:hRule="exact" w:val="449"/>
        </w:trPr>
        <w:tc>
          <w:tcPr>
            <w:tcW w:w="6947" w:type="dxa"/>
            <w:tcBorders>
              <w:left w:val="single" w:sz="8" w:space="0" w:color="000000"/>
            </w:tcBorders>
          </w:tcPr>
          <w:p w:rsidR="00F3177F" w:rsidRDefault="0089671D">
            <w:pPr>
              <w:pStyle w:val="TableParagraph"/>
              <w:spacing w:before="74"/>
              <w:ind w:left="98"/>
              <w:rPr>
                <w:sz w:val="24"/>
              </w:rPr>
            </w:pPr>
            <w:r>
              <w:rPr>
                <w:sz w:val="24"/>
              </w:rPr>
              <w:t>8. Do you have trouble concentrating?</w:t>
            </w:r>
          </w:p>
        </w:tc>
        <w:tc>
          <w:tcPr>
            <w:tcW w:w="1529" w:type="dxa"/>
          </w:tcPr>
          <w:p w:rsidR="00F3177F" w:rsidRDefault="0089671D">
            <w:pPr>
              <w:pStyle w:val="TableParagraph"/>
              <w:spacing w:before="74"/>
              <w:ind w:left="101" w:right="103"/>
              <w:jc w:val="center"/>
              <w:rPr>
                <w:sz w:val="24"/>
              </w:rPr>
            </w:pPr>
            <w:r>
              <w:rPr>
                <w:sz w:val="24"/>
              </w:rPr>
              <w:t>20.4</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16. Is it too hot?</w:t>
            </w:r>
          </w:p>
        </w:tc>
        <w:tc>
          <w:tcPr>
            <w:tcW w:w="1529" w:type="dxa"/>
          </w:tcPr>
          <w:p w:rsidR="00F3177F" w:rsidRDefault="0089671D">
            <w:pPr>
              <w:pStyle w:val="TableParagraph"/>
              <w:spacing w:before="73"/>
              <w:ind w:left="101" w:right="103"/>
              <w:jc w:val="center"/>
              <w:rPr>
                <w:sz w:val="24"/>
              </w:rPr>
            </w:pPr>
            <w:r>
              <w:rPr>
                <w:sz w:val="24"/>
              </w:rPr>
              <w:t>20.4</w:t>
            </w:r>
          </w:p>
        </w:tc>
      </w:tr>
    </w:tbl>
    <w:p w:rsidR="00F3177F" w:rsidRDefault="00F3177F">
      <w:pPr>
        <w:jc w:val="center"/>
        <w:rPr>
          <w:sz w:val="24"/>
        </w:rPr>
        <w:sectPr w:rsidR="00F3177F">
          <w:pgSz w:w="12240" w:h="15840"/>
          <w:pgMar w:top="1380" w:right="1260" w:bottom="2320" w:left="1720" w:header="0" w:footer="2072" w:gutter="0"/>
          <w:cols w:space="720"/>
        </w:sectPr>
      </w:pPr>
    </w:p>
    <w:p w:rsidR="00F3177F" w:rsidRDefault="0089671D">
      <w:pPr>
        <w:pStyle w:val="BodyText"/>
        <w:spacing w:before="54" w:line="360" w:lineRule="auto"/>
        <w:ind w:left="584" w:right="65"/>
      </w:pPr>
      <w:r>
        <w:lastRenderedPageBreak/>
        <w:t>As again, feeling cold in winter, heat from the Sun and poor indoor air can be enhanced with better indoor heating and an air conditioner.</w:t>
      </w:r>
    </w:p>
    <w:p w:rsidR="00F3177F" w:rsidRDefault="00F3177F">
      <w:pPr>
        <w:pStyle w:val="BodyText"/>
      </w:pPr>
    </w:p>
    <w:p w:rsidR="00F3177F" w:rsidRDefault="0089671D">
      <w:pPr>
        <w:pStyle w:val="BodyText"/>
        <w:spacing w:before="140"/>
        <w:ind w:left="584" w:right="65"/>
      </w:pPr>
      <w:r>
        <w:t>Table 23: Items with the highest students’ complaint level differences for the front seats between MAXECSs and MINECSs</w:t>
      </w:r>
    </w:p>
    <w:p w:rsidR="00F3177F" w:rsidRDefault="00F3177F">
      <w:pPr>
        <w:pStyle w:val="BodyText"/>
        <w:spacing w:before="8"/>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7"/>
        <w:gridCol w:w="1529"/>
      </w:tblGrid>
      <w:tr w:rsidR="00F3177F">
        <w:trPr>
          <w:trHeight w:hRule="exact" w:val="775"/>
        </w:trPr>
        <w:tc>
          <w:tcPr>
            <w:tcW w:w="6947" w:type="dxa"/>
          </w:tcPr>
          <w:p w:rsidR="00F3177F" w:rsidRDefault="00F3177F">
            <w:pPr>
              <w:pStyle w:val="TableParagraph"/>
              <w:spacing w:before="6"/>
              <w:rPr>
                <w:sz w:val="20"/>
              </w:rPr>
            </w:pPr>
          </w:p>
          <w:p w:rsidR="00F3177F" w:rsidRDefault="0089671D">
            <w:pPr>
              <w:pStyle w:val="TableParagraph"/>
              <w:ind w:left="1341"/>
              <w:rPr>
                <w:sz w:val="24"/>
              </w:rPr>
            </w:pPr>
            <w:r>
              <w:rPr>
                <w:sz w:val="24"/>
              </w:rPr>
              <w:t>Items with the Higher than 20% Differences</w:t>
            </w:r>
          </w:p>
        </w:tc>
        <w:tc>
          <w:tcPr>
            <w:tcW w:w="1529" w:type="dxa"/>
          </w:tcPr>
          <w:p w:rsidR="00F3177F" w:rsidRDefault="0089671D">
            <w:pPr>
              <w:pStyle w:val="TableParagraph"/>
              <w:spacing w:before="100"/>
              <w:ind w:left="271" w:right="93" w:hanging="164"/>
              <w:rPr>
                <w:sz w:val="24"/>
              </w:rPr>
            </w:pPr>
            <w:r>
              <w:rPr>
                <w:sz w:val="24"/>
              </w:rPr>
              <w:t>percentage of difference</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18. Do you feel cold in the classroom in WINTER?</w:t>
            </w:r>
          </w:p>
        </w:tc>
        <w:tc>
          <w:tcPr>
            <w:tcW w:w="1529" w:type="dxa"/>
          </w:tcPr>
          <w:p w:rsidR="00F3177F" w:rsidRDefault="0089671D">
            <w:pPr>
              <w:pStyle w:val="TableParagraph"/>
              <w:spacing w:before="73"/>
              <w:ind w:left="101" w:right="103"/>
              <w:jc w:val="center"/>
              <w:rPr>
                <w:sz w:val="24"/>
              </w:rPr>
            </w:pPr>
            <w:r>
              <w:rPr>
                <w:sz w:val="24"/>
              </w:rPr>
              <w:t>33.4</w:t>
            </w:r>
          </w:p>
        </w:tc>
      </w:tr>
      <w:tr w:rsidR="00F3177F">
        <w:trPr>
          <w:trHeight w:hRule="exact" w:val="452"/>
        </w:trPr>
        <w:tc>
          <w:tcPr>
            <w:tcW w:w="6947" w:type="dxa"/>
            <w:tcBorders>
              <w:left w:val="single" w:sz="8" w:space="0" w:color="000000"/>
            </w:tcBorders>
          </w:tcPr>
          <w:p w:rsidR="00F3177F" w:rsidRDefault="0089671D">
            <w:pPr>
              <w:pStyle w:val="TableParagraph"/>
              <w:spacing w:before="76"/>
              <w:ind w:left="98"/>
              <w:rPr>
                <w:sz w:val="24"/>
              </w:rPr>
            </w:pPr>
            <w:r>
              <w:rPr>
                <w:sz w:val="24"/>
              </w:rPr>
              <w:t>21. Does the air feel heavy or poor?</w:t>
            </w:r>
          </w:p>
        </w:tc>
        <w:tc>
          <w:tcPr>
            <w:tcW w:w="1529" w:type="dxa"/>
          </w:tcPr>
          <w:p w:rsidR="00F3177F" w:rsidRDefault="0089671D">
            <w:pPr>
              <w:pStyle w:val="TableParagraph"/>
              <w:spacing w:before="76"/>
              <w:ind w:left="101" w:right="103"/>
              <w:jc w:val="center"/>
              <w:rPr>
                <w:sz w:val="24"/>
              </w:rPr>
            </w:pPr>
            <w:r>
              <w:rPr>
                <w:sz w:val="24"/>
              </w:rPr>
              <w:t>25.4</w:t>
            </w:r>
          </w:p>
        </w:tc>
      </w:tr>
      <w:tr w:rsidR="00F3177F">
        <w:trPr>
          <w:trHeight w:hRule="exact" w:val="449"/>
        </w:trPr>
        <w:tc>
          <w:tcPr>
            <w:tcW w:w="6947" w:type="dxa"/>
            <w:tcBorders>
              <w:left w:val="single" w:sz="8" w:space="0" w:color="000000"/>
            </w:tcBorders>
          </w:tcPr>
          <w:p w:rsidR="00F3177F" w:rsidRDefault="0089671D">
            <w:pPr>
              <w:pStyle w:val="TableParagraph"/>
              <w:spacing w:before="73"/>
              <w:ind w:left="98"/>
              <w:rPr>
                <w:sz w:val="24"/>
              </w:rPr>
            </w:pPr>
            <w:r>
              <w:rPr>
                <w:sz w:val="24"/>
              </w:rPr>
              <w:t>23. Are there any unpleasant odors?</w:t>
            </w:r>
          </w:p>
        </w:tc>
        <w:tc>
          <w:tcPr>
            <w:tcW w:w="1529" w:type="dxa"/>
          </w:tcPr>
          <w:p w:rsidR="00F3177F" w:rsidRDefault="0089671D">
            <w:pPr>
              <w:pStyle w:val="TableParagraph"/>
              <w:spacing w:before="73"/>
              <w:ind w:left="101" w:right="103"/>
              <w:jc w:val="center"/>
              <w:rPr>
                <w:sz w:val="24"/>
              </w:rPr>
            </w:pPr>
            <w:r>
              <w:rPr>
                <w:sz w:val="24"/>
              </w:rPr>
              <w:t>22.3</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16"/>
        <w:jc w:val="both"/>
      </w:pPr>
      <w:r>
        <w:t xml:space="preserve">All the complaints in Table 23 above are energy consumption related items unless natural solutions are not available, and they can be reduced with the help of proper heating and air conditioning systems that require more energy consumption in schools. Furthermore, like the comparison between the students sitting near windows and the wall, the two common items between back and front seaters are Items 18 and 21. </w:t>
      </w:r>
      <w:proofErr w:type="gramStart"/>
      <w:r>
        <w:t>In  fact</w:t>
      </w:r>
      <w:proofErr w:type="gramEnd"/>
      <w:r>
        <w:t xml:space="preserve">, Items 18 relating to being cold in winter and Item 21 relating to poor indoor air are common in all subdivisions. </w:t>
      </w:r>
      <w:r>
        <w:rPr>
          <w:spacing w:val="-3"/>
        </w:rPr>
        <w:t xml:space="preserve">It </w:t>
      </w:r>
      <w:r>
        <w:t>means that in general feeling cold in winter and poor indoor air are problematic issues for all the students in all subdivisions in both the maximum and minimum energy consuming state schools in PCM. Thus, they should be handled as the first concerns for students’ health, well-being and quality school indoor environment.</w:t>
      </w:r>
    </w:p>
    <w:p w:rsidR="00F3177F" w:rsidRDefault="00F3177F">
      <w:pPr>
        <w:pStyle w:val="BodyText"/>
      </w:pPr>
    </w:p>
    <w:p w:rsidR="00F3177F" w:rsidRDefault="0089671D">
      <w:pPr>
        <w:pStyle w:val="BodyText"/>
        <w:spacing w:before="143" w:line="360" w:lineRule="auto"/>
        <w:ind w:left="584" w:right="117"/>
        <w:jc w:val="both"/>
      </w:pPr>
      <w:r>
        <w:t>Finally, subcategories such as the complaint percentages of the students having the last three lessons, sitting near windows and at the back of the classrooms in MAXECSs and MINECSs are given below in Table 24 to compare their complaint levels as  percentages.</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rsidP="00C7427A">
      <w:pPr>
        <w:pStyle w:val="BodyText"/>
        <w:spacing w:before="52"/>
        <w:ind w:left="584" w:right="65"/>
        <w:jc w:val="both"/>
      </w:pPr>
      <w:r>
        <w:lastRenderedPageBreak/>
        <w:t>Table 24: Comparison of students’ complaint percentages for subcategories in MAXECSs and MINECSs</w:t>
      </w:r>
    </w:p>
    <w:p w:rsidR="00F3177F" w:rsidRDefault="00F3177F">
      <w:pPr>
        <w:pStyle w:val="BodyText"/>
        <w:spacing w:before="8"/>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5"/>
        <w:gridCol w:w="1440"/>
        <w:gridCol w:w="1441"/>
        <w:gridCol w:w="1440"/>
      </w:tblGrid>
      <w:tr w:rsidR="00F3177F">
        <w:trPr>
          <w:trHeight w:hRule="exact" w:val="468"/>
        </w:trPr>
        <w:tc>
          <w:tcPr>
            <w:tcW w:w="4155" w:type="dxa"/>
            <w:vMerge w:val="restart"/>
          </w:tcPr>
          <w:p w:rsidR="00F3177F" w:rsidRDefault="00F3177F">
            <w:pPr>
              <w:pStyle w:val="TableParagraph"/>
            </w:pPr>
          </w:p>
          <w:p w:rsidR="00F3177F" w:rsidRDefault="00F3177F">
            <w:pPr>
              <w:pStyle w:val="TableParagraph"/>
              <w:rPr>
                <w:sz w:val="20"/>
              </w:rPr>
            </w:pPr>
          </w:p>
          <w:p w:rsidR="00F3177F" w:rsidRDefault="0089671D">
            <w:pPr>
              <w:pStyle w:val="TableParagraph"/>
              <w:ind w:left="1425" w:right="1426"/>
              <w:jc w:val="center"/>
            </w:pPr>
            <w:r>
              <w:t>Students With</w:t>
            </w:r>
          </w:p>
        </w:tc>
        <w:tc>
          <w:tcPr>
            <w:tcW w:w="2881" w:type="dxa"/>
            <w:gridSpan w:val="2"/>
          </w:tcPr>
          <w:p w:rsidR="00F3177F" w:rsidRDefault="0089671D">
            <w:pPr>
              <w:pStyle w:val="TableParagraph"/>
              <w:spacing w:before="97"/>
              <w:ind w:left="418"/>
            </w:pPr>
            <w:r>
              <w:t>Complaint Percentages</w:t>
            </w:r>
          </w:p>
        </w:tc>
        <w:tc>
          <w:tcPr>
            <w:tcW w:w="1440" w:type="dxa"/>
            <w:vMerge w:val="restart"/>
          </w:tcPr>
          <w:p w:rsidR="00F3177F" w:rsidRDefault="0089671D">
            <w:pPr>
              <w:pStyle w:val="TableParagraph"/>
              <w:spacing w:before="196"/>
              <w:ind w:left="194" w:right="192"/>
              <w:jc w:val="center"/>
              <w:rPr>
                <w:sz w:val="24"/>
              </w:rPr>
            </w:pPr>
            <w:r>
              <w:rPr>
                <w:sz w:val="24"/>
              </w:rPr>
              <w:t>percentage of    difference</w:t>
            </w:r>
          </w:p>
        </w:tc>
      </w:tr>
      <w:tr w:rsidR="00F3177F">
        <w:trPr>
          <w:trHeight w:hRule="exact" w:val="775"/>
        </w:trPr>
        <w:tc>
          <w:tcPr>
            <w:tcW w:w="4155" w:type="dxa"/>
            <w:vMerge/>
          </w:tcPr>
          <w:p w:rsidR="00F3177F" w:rsidRDefault="00F3177F"/>
        </w:tc>
        <w:tc>
          <w:tcPr>
            <w:tcW w:w="1440" w:type="dxa"/>
          </w:tcPr>
          <w:p w:rsidR="00F3177F" w:rsidRDefault="0089671D">
            <w:pPr>
              <w:pStyle w:val="TableParagraph"/>
              <w:spacing w:before="111" w:line="253" w:lineRule="exact"/>
              <w:ind w:left="124" w:right="124"/>
              <w:jc w:val="center"/>
            </w:pPr>
            <w:r>
              <w:t>In</w:t>
            </w:r>
          </w:p>
          <w:p w:rsidR="00F3177F" w:rsidRDefault="0089671D">
            <w:pPr>
              <w:pStyle w:val="TableParagraph"/>
              <w:spacing w:line="276" w:lineRule="exact"/>
              <w:ind w:left="124" w:right="124"/>
              <w:jc w:val="center"/>
              <w:rPr>
                <w:sz w:val="24"/>
              </w:rPr>
            </w:pPr>
            <w:r>
              <w:rPr>
                <w:sz w:val="24"/>
              </w:rPr>
              <w:t>MAXECSs</w:t>
            </w:r>
          </w:p>
        </w:tc>
        <w:tc>
          <w:tcPr>
            <w:tcW w:w="1441" w:type="dxa"/>
          </w:tcPr>
          <w:p w:rsidR="00F3177F" w:rsidRDefault="0089671D">
            <w:pPr>
              <w:pStyle w:val="TableParagraph"/>
              <w:spacing w:before="111" w:line="253" w:lineRule="exact"/>
              <w:ind w:left="194" w:right="195"/>
              <w:jc w:val="center"/>
            </w:pPr>
            <w:r>
              <w:t>In</w:t>
            </w:r>
          </w:p>
          <w:p w:rsidR="00F3177F" w:rsidRDefault="0089671D">
            <w:pPr>
              <w:pStyle w:val="TableParagraph"/>
              <w:spacing w:line="276" w:lineRule="exact"/>
              <w:ind w:left="194" w:right="195"/>
              <w:jc w:val="center"/>
              <w:rPr>
                <w:sz w:val="24"/>
              </w:rPr>
            </w:pPr>
            <w:r>
              <w:rPr>
                <w:sz w:val="24"/>
              </w:rPr>
              <w:t>MINECSs</w:t>
            </w:r>
          </w:p>
        </w:tc>
        <w:tc>
          <w:tcPr>
            <w:tcW w:w="1440" w:type="dxa"/>
            <w:vMerge/>
          </w:tcPr>
          <w:p w:rsidR="00F3177F" w:rsidRDefault="00F3177F"/>
        </w:tc>
      </w:tr>
      <w:tr w:rsidR="00F3177F">
        <w:trPr>
          <w:trHeight w:hRule="exact" w:val="449"/>
        </w:trPr>
        <w:tc>
          <w:tcPr>
            <w:tcW w:w="4155" w:type="dxa"/>
          </w:tcPr>
          <w:p w:rsidR="00F3177F" w:rsidRDefault="0089671D">
            <w:pPr>
              <w:pStyle w:val="TableParagraph"/>
              <w:spacing w:before="87"/>
              <w:ind w:left="103"/>
            </w:pPr>
            <w:r>
              <w:t>Last three lessons – Window &amp; Back Seat</w:t>
            </w:r>
          </w:p>
        </w:tc>
        <w:tc>
          <w:tcPr>
            <w:tcW w:w="1440" w:type="dxa"/>
          </w:tcPr>
          <w:p w:rsidR="00F3177F" w:rsidRDefault="0089671D">
            <w:pPr>
              <w:pStyle w:val="TableParagraph"/>
              <w:spacing w:before="87"/>
              <w:ind w:left="523" w:right="113"/>
            </w:pPr>
            <w:r>
              <w:t>33.4</w:t>
            </w:r>
          </w:p>
        </w:tc>
        <w:tc>
          <w:tcPr>
            <w:tcW w:w="1441" w:type="dxa"/>
          </w:tcPr>
          <w:p w:rsidR="00F3177F" w:rsidRDefault="0089671D">
            <w:pPr>
              <w:pStyle w:val="TableParagraph"/>
              <w:spacing w:before="87"/>
              <w:ind w:left="523" w:right="216"/>
            </w:pPr>
            <w:r>
              <w:t>45.1</w:t>
            </w:r>
          </w:p>
        </w:tc>
        <w:tc>
          <w:tcPr>
            <w:tcW w:w="1440" w:type="dxa"/>
          </w:tcPr>
          <w:p w:rsidR="00F3177F" w:rsidRDefault="0089671D">
            <w:pPr>
              <w:pStyle w:val="TableParagraph"/>
              <w:spacing w:before="87"/>
              <w:ind w:left="523"/>
            </w:pPr>
            <w:r>
              <w:t>11.7</w:t>
            </w:r>
          </w:p>
        </w:tc>
      </w:tr>
      <w:tr w:rsidR="00F3177F">
        <w:trPr>
          <w:trHeight w:hRule="exact" w:val="449"/>
        </w:trPr>
        <w:tc>
          <w:tcPr>
            <w:tcW w:w="4155" w:type="dxa"/>
          </w:tcPr>
          <w:p w:rsidR="00F3177F" w:rsidRDefault="0089671D">
            <w:pPr>
              <w:pStyle w:val="TableParagraph"/>
              <w:spacing w:before="87"/>
              <w:ind w:left="103"/>
            </w:pPr>
            <w:r>
              <w:t>Last three lessons – Window &amp; Front Seat</w:t>
            </w:r>
          </w:p>
        </w:tc>
        <w:tc>
          <w:tcPr>
            <w:tcW w:w="1440" w:type="dxa"/>
          </w:tcPr>
          <w:p w:rsidR="00F3177F" w:rsidRDefault="0089671D">
            <w:pPr>
              <w:pStyle w:val="TableParagraph"/>
              <w:spacing w:before="87"/>
              <w:ind w:left="523" w:right="113"/>
            </w:pPr>
            <w:r>
              <w:t>25.5</w:t>
            </w:r>
          </w:p>
        </w:tc>
        <w:tc>
          <w:tcPr>
            <w:tcW w:w="1441" w:type="dxa"/>
          </w:tcPr>
          <w:p w:rsidR="00F3177F" w:rsidRDefault="0089671D">
            <w:pPr>
              <w:pStyle w:val="TableParagraph"/>
              <w:spacing w:before="87"/>
              <w:ind w:left="523" w:right="216"/>
            </w:pPr>
            <w:r>
              <w:t>40.9</w:t>
            </w:r>
          </w:p>
        </w:tc>
        <w:tc>
          <w:tcPr>
            <w:tcW w:w="1440" w:type="dxa"/>
          </w:tcPr>
          <w:p w:rsidR="00F3177F" w:rsidRDefault="0089671D">
            <w:pPr>
              <w:pStyle w:val="TableParagraph"/>
              <w:spacing w:before="87"/>
              <w:ind w:left="523"/>
            </w:pPr>
            <w:r>
              <w:t>15.4</w:t>
            </w:r>
          </w:p>
        </w:tc>
      </w:tr>
      <w:tr w:rsidR="00F3177F">
        <w:trPr>
          <w:trHeight w:hRule="exact" w:val="449"/>
        </w:trPr>
        <w:tc>
          <w:tcPr>
            <w:tcW w:w="4155" w:type="dxa"/>
          </w:tcPr>
          <w:p w:rsidR="00F3177F" w:rsidRDefault="0089671D">
            <w:pPr>
              <w:pStyle w:val="TableParagraph"/>
              <w:spacing w:before="87"/>
              <w:ind w:left="103"/>
            </w:pPr>
            <w:r>
              <w:t>Last three lessons – Wall &amp; Back Seat</w:t>
            </w:r>
          </w:p>
        </w:tc>
        <w:tc>
          <w:tcPr>
            <w:tcW w:w="1440" w:type="dxa"/>
          </w:tcPr>
          <w:p w:rsidR="00F3177F" w:rsidRDefault="0089671D">
            <w:pPr>
              <w:pStyle w:val="TableParagraph"/>
              <w:spacing w:before="87"/>
              <w:ind w:left="523" w:right="113"/>
            </w:pPr>
            <w:r>
              <w:t>29.2</w:t>
            </w:r>
          </w:p>
        </w:tc>
        <w:tc>
          <w:tcPr>
            <w:tcW w:w="1441" w:type="dxa"/>
          </w:tcPr>
          <w:p w:rsidR="00F3177F" w:rsidRDefault="0089671D">
            <w:pPr>
              <w:pStyle w:val="TableParagraph"/>
              <w:spacing w:before="87"/>
              <w:ind w:left="523" w:right="216"/>
            </w:pPr>
            <w:r>
              <w:t>35.1</w:t>
            </w:r>
          </w:p>
        </w:tc>
        <w:tc>
          <w:tcPr>
            <w:tcW w:w="1440" w:type="dxa"/>
          </w:tcPr>
          <w:p w:rsidR="00F3177F" w:rsidRDefault="0089671D">
            <w:pPr>
              <w:pStyle w:val="TableParagraph"/>
              <w:spacing w:before="87"/>
              <w:ind w:left="576"/>
            </w:pPr>
            <w:r>
              <w:t>5.9</w:t>
            </w:r>
          </w:p>
        </w:tc>
      </w:tr>
      <w:tr w:rsidR="00F3177F">
        <w:trPr>
          <w:trHeight w:hRule="exact" w:val="449"/>
        </w:trPr>
        <w:tc>
          <w:tcPr>
            <w:tcW w:w="4155" w:type="dxa"/>
          </w:tcPr>
          <w:p w:rsidR="00F3177F" w:rsidRDefault="0089671D">
            <w:pPr>
              <w:pStyle w:val="TableParagraph"/>
              <w:spacing w:before="88"/>
              <w:ind w:left="103"/>
            </w:pPr>
            <w:r>
              <w:t>Last three lessons – Wall &amp; Front Seat</w:t>
            </w:r>
          </w:p>
        </w:tc>
        <w:tc>
          <w:tcPr>
            <w:tcW w:w="1440" w:type="dxa"/>
          </w:tcPr>
          <w:p w:rsidR="00F3177F" w:rsidRDefault="0089671D">
            <w:pPr>
              <w:pStyle w:val="TableParagraph"/>
              <w:spacing w:before="88"/>
              <w:ind w:left="523" w:right="113"/>
            </w:pPr>
            <w:r>
              <w:t>24.5</w:t>
            </w:r>
          </w:p>
        </w:tc>
        <w:tc>
          <w:tcPr>
            <w:tcW w:w="1441" w:type="dxa"/>
          </w:tcPr>
          <w:p w:rsidR="00F3177F" w:rsidRDefault="0089671D">
            <w:pPr>
              <w:pStyle w:val="TableParagraph"/>
              <w:spacing w:before="88"/>
              <w:ind w:left="523" w:right="216"/>
            </w:pPr>
            <w:r>
              <w:t>32.3</w:t>
            </w:r>
          </w:p>
        </w:tc>
        <w:tc>
          <w:tcPr>
            <w:tcW w:w="1440" w:type="dxa"/>
          </w:tcPr>
          <w:p w:rsidR="00F3177F" w:rsidRDefault="0089671D">
            <w:pPr>
              <w:pStyle w:val="TableParagraph"/>
              <w:spacing w:before="88"/>
              <w:ind w:left="576"/>
            </w:pPr>
            <w:r>
              <w:t>7.8</w:t>
            </w:r>
          </w:p>
        </w:tc>
      </w:tr>
      <w:tr w:rsidR="00F3177F">
        <w:trPr>
          <w:trHeight w:hRule="exact" w:val="449"/>
        </w:trPr>
        <w:tc>
          <w:tcPr>
            <w:tcW w:w="4155" w:type="dxa"/>
          </w:tcPr>
          <w:p w:rsidR="00F3177F" w:rsidRDefault="0089671D">
            <w:pPr>
              <w:pStyle w:val="TableParagraph"/>
              <w:spacing w:before="87"/>
              <w:ind w:left="103"/>
            </w:pPr>
            <w:r>
              <w:t>First three lessons – Window &amp; Back Seat</w:t>
            </w:r>
          </w:p>
        </w:tc>
        <w:tc>
          <w:tcPr>
            <w:tcW w:w="1440" w:type="dxa"/>
          </w:tcPr>
          <w:p w:rsidR="00F3177F" w:rsidRDefault="0089671D">
            <w:pPr>
              <w:pStyle w:val="TableParagraph"/>
              <w:spacing w:before="87"/>
              <w:ind w:left="523" w:right="113"/>
            </w:pPr>
            <w:r>
              <w:t>16.0</w:t>
            </w:r>
          </w:p>
        </w:tc>
        <w:tc>
          <w:tcPr>
            <w:tcW w:w="1441" w:type="dxa"/>
          </w:tcPr>
          <w:p w:rsidR="00F3177F" w:rsidRDefault="0089671D">
            <w:pPr>
              <w:pStyle w:val="TableParagraph"/>
              <w:spacing w:before="87"/>
              <w:ind w:left="523" w:right="216"/>
            </w:pPr>
            <w:r>
              <w:t>39.6</w:t>
            </w:r>
          </w:p>
        </w:tc>
        <w:tc>
          <w:tcPr>
            <w:tcW w:w="1440" w:type="dxa"/>
          </w:tcPr>
          <w:p w:rsidR="00F3177F" w:rsidRDefault="0089671D">
            <w:pPr>
              <w:pStyle w:val="TableParagraph"/>
              <w:spacing w:before="87"/>
              <w:ind w:left="523"/>
            </w:pPr>
            <w:r>
              <w:t>23.6</w:t>
            </w:r>
          </w:p>
        </w:tc>
      </w:tr>
      <w:tr w:rsidR="00F3177F">
        <w:trPr>
          <w:trHeight w:hRule="exact" w:val="449"/>
        </w:trPr>
        <w:tc>
          <w:tcPr>
            <w:tcW w:w="4155" w:type="dxa"/>
          </w:tcPr>
          <w:p w:rsidR="00F3177F" w:rsidRDefault="0089671D">
            <w:pPr>
              <w:pStyle w:val="TableParagraph"/>
              <w:spacing w:before="87"/>
              <w:ind w:left="103"/>
            </w:pPr>
            <w:r>
              <w:t>First three lessons – Window &amp; Front Seat</w:t>
            </w:r>
          </w:p>
        </w:tc>
        <w:tc>
          <w:tcPr>
            <w:tcW w:w="1440" w:type="dxa"/>
          </w:tcPr>
          <w:p w:rsidR="00F3177F" w:rsidRDefault="0089671D">
            <w:pPr>
              <w:pStyle w:val="TableParagraph"/>
              <w:spacing w:before="87"/>
              <w:ind w:left="523" w:right="113"/>
            </w:pPr>
            <w:r>
              <w:t>23.8</w:t>
            </w:r>
          </w:p>
        </w:tc>
        <w:tc>
          <w:tcPr>
            <w:tcW w:w="1441" w:type="dxa"/>
          </w:tcPr>
          <w:p w:rsidR="00F3177F" w:rsidRDefault="0089671D">
            <w:pPr>
              <w:pStyle w:val="TableParagraph"/>
              <w:spacing w:before="87"/>
              <w:ind w:left="523" w:right="216"/>
            </w:pPr>
            <w:r>
              <w:t>29.9</w:t>
            </w:r>
          </w:p>
        </w:tc>
        <w:tc>
          <w:tcPr>
            <w:tcW w:w="1440" w:type="dxa"/>
          </w:tcPr>
          <w:p w:rsidR="00F3177F" w:rsidRDefault="0089671D">
            <w:pPr>
              <w:pStyle w:val="TableParagraph"/>
              <w:spacing w:before="87"/>
              <w:ind w:left="576"/>
            </w:pPr>
            <w:r>
              <w:t>6.1</w:t>
            </w:r>
          </w:p>
        </w:tc>
      </w:tr>
      <w:tr w:rsidR="00F3177F">
        <w:trPr>
          <w:trHeight w:hRule="exact" w:val="449"/>
        </w:trPr>
        <w:tc>
          <w:tcPr>
            <w:tcW w:w="4155" w:type="dxa"/>
          </w:tcPr>
          <w:p w:rsidR="00F3177F" w:rsidRDefault="0089671D">
            <w:pPr>
              <w:pStyle w:val="TableParagraph"/>
              <w:spacing w:before="87"/>
              <w:ind w:left="103"/>
            </w:pPr>
            <w:r>
              <w:t>First three lessons – Wall &amp; Back Seat</w:t>
            </w:r>
          </w:p>
        </w:tc>
        <w:tc>
          <w:tcPr>
            <w:tcW w:w="1440" w:type="dxa"/>
          </w:tcPr>
          <w:p w:rsidR="00F3177F" w:rsidRDefault="0089671D">
            <w:pPr>
              <w:pStyle w:val="TableParagraph"/>
              <w:spacing w:before="87"/>
              <w:ind w:left="523" w:right="113"/>
            </w:pPr>
            <w:r>
              <w:t>26.5</w:t>
            </w:r>
          </w:p>
        </w:tc>
        <w:tc>
          <w:tcPr>
            <w:tcW w:w="1441" w:type="dxa"/>
          </w:tcPr>
          <w:p w:rsidR="00F3177F" w:rsidRDefault="0089671D">
            <w:pPr>
              <w:pStyle w:val="TableParagraph"/>
              <w:spacing w:before="87"/>
              <w:ind w:left="523" w:right="216"/>
            </w:pPr>
            <w:r>
              <w:t>25.8</w:t>
            </w:r>
          </w:p>
        </w:tc>
        <w:tc>
          <w:tcPr>
            <w:tcW w:w="1440" w:type="dxa"/>
          </w:tcPr>
          <w:p w:rsidR="00F3177F" w:rsidRDefault="0089671D">
            <w:pPr>
              <w:pStyle w:val="TableParagraph"/>
              <w:spacing w:before="87"/>
              <w:ind w:left="513"/>
            </w:pPr>
            <w:r>
              <w:t>- 0.7</w:t>
            </w:r>
          </w:p>
        </w:tc>
      </w:tr>
      <w:tr w:rsidR="00F3177F">
        <w:trPr>
          <w:trHeight w:hRule="exact" w:val="451"/>
        </w:trPr>
        <w:tc>
          <w:tcPr>
            <w:tcW w:w="4155" w:type="dxa"/>
          </w:tcPr>
          <w:p w:rsidR="00F3177F" w:rsidRDefault="0089671D">
            <w:pPr>
              <w:pStyle w:val="TableParagraph"/>
              <w:spacing w:before="87"/>
              <w:ind w:left="103"/>
            </w:pPr>
            <w:r>
              <w:t>First three lessons – Wall &amp; Front Seat</w:t>
            </w:r>
          </w:p>
        </w:tc>
        <w:tc>
          <w:tcPr>
            <w:tcW w:w="1440" w:type="dxa"/>
          </w:tcPr>
          <w:p w:rsidR="00F3177F" w:rsidRDefault="0089671D">
            <w:pPr>
              <w:pStyle w:val="TableParagraph"/>
              <w:spacing w:before="87"/>
              <w:ind w:left="523" w:right="113"/>
            </w:pPr>
            <w:r>
              <w:t>16.4</w:t>
            </w:r>
          </w:p>
        </w:tc>
        <w:tc>
          <w:tcPr>
            <w:tcW w:w="1441" w:type="dxa"/>
          </w:tcPr>
          <w:p w:rsidR="00F3177F" w:rsidRDefault="0089671D">
            <w:pPr>
              <w:pStyle w:val="TableParagraph"/>
              <w:spacing w:before="87"/>
              <w:ind w:left="523" w:right="216"/>
            </w:pPr>
            <w:r>
              <w:t>28.7</w:t>
            </w:r>
          </w:p>
        </w:tc>
        <w:tc>
          <w:tcPr>
            <w:tcW w:w="1440" w:type="dxa"/>
          </w:tcPr>
          <w:p w:rsidR="00F3177F" w:rsidRDefault="0089671D">
            <w:pPr>
              <w:pStyle w:val="TableParagraph"/>
              <w:spacing w:before="87"/>
              <w:ind w:left="523"/>
            </w:pPr>
            <w:r>
              <w:t>12.3</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117"/>
        <w:jc w:val="both"/>
      </w:pPr>
      <w:r>
        <w:t xml:space="preserve">As seen from Table 24 above, for all the categories, except for students having </w:t>
      </w:r>
      <w:proofErr w:type="gramStart"/>
      <w:r>
        <w:t>their</w:t>
      </w:r>
      <w:r w:rsidR="00C7427A">
        <w:t xml:space="preserve">  </w:t>
      </w:r>
      <w:r>
        <w:t>first</w:t>
      </w:r>
      <w:proofErr w:type="gramEnd"/>
      <w:r>
        <w:t xml:space="preserve"> three lessons, sitting near the wall at the back of their classrooms with less than 1% difference, students’ complaint percentages in the MINECSs are higher than the ones in the MAXECSs. Also, the students with the highest complaint percentages are the ones who were having their last three lessons, sitting near windows at the back of their classrooms in both the MAXECSs and MINECSs. Students having the last three lessons, sitting near windows at the back of their classrooms in the MINECSs also have the highest complaint percentage followed by the students who were having their last three lessons sitting near windows at the back of their classrooms among all the categories. The students with the lowest complaint percentage in the MINECSs </w:t>
      </w:r>
      <w:proofErr w:type="gramStart"/>
      <w:r>
        <w:t>were</w:t>
      </w:r>
      <w:r w:rsidR="00C7427A">
        <w:t xml:space="preserve">  </w:t>
      </w:r>
      <w:r>
        <w:t>the</w:t>
      </w:r>
      <w:proofErr w:type="gramEnd"/>
      <w:r>
        <w:t xml:space="preserve"> ones having their first three lessons sitting near the wall at the back of their classrooms. Again, the students with the lowest complaint percentage in the MAXECSs were the ones having their first three lessons sitting near the wall in the front of their classrooms.</w:t>
      </w:r>
      <w:r>
        <w:rPr>
          <w:spacing w:val="40"/>
        </w:rPr>
        <w:t xml:space="preserve"> </w:t>
      </w:r>
      <w:r>
        <w:t>The</w:t>
      </w:r>
      <w:r>
        <w:rPr>
          <w:spacing w:val="38"/>
        </w:rPr>
        <w:t xml:space="preserve"> </w:t>
      </w:r>
      <w:r>
        <w:t>subcategory</w:t>
      </w:r>
      <w:r>
        <w:rPr>
          <w:spacing w:val="37"/>
        </w:rPr>
        <w:t xml:space="preserve"> </w:t>
      </w:r>
      <w:r>
        <w:t>with</w:t>
      </w:r>
      <w:r>
        <w:rPr>
          <w:spacing w:val="40"/>
        </w:rPr>
        <w:t xml:space="preserve"> </w:t>
      </w:r>
      <w:r>
        <w:t>the</w:t>
      </w:r>
      <w:r>
        <w:rPr>
          <w:spacing w:val="39"/>
        </w:rPr>
        <w:t xml:space="preserve"> </w:t>
      </w:r>
      <w:r>
        <w:t>biggest</w:t>
      </w:r>
      <w:r>
        <w:rPr>
          <w:spacing w:val="40"/>
        </w:rPr>
        <w:t xml:space="preserve"> </w:t>
      </w:r>
      <w:r>
        <w:t>difference</w:t>
      </w:r>
      <w:r>
        <w:rPr>
          <w:spacing w:val="40"/>
        </w:rPr>
        <w:t xml:space="preserve"> </w:t>
      </w:r>
      <w:r>
        <w:t>between</w:t>
      </w:r>
      <w:r>
        <w:rPr>
          <w:spacing w:val="39"/>
        </w:rPr>
        <w:t xml:space="preserve"> </w:t>
      </w:r>
      <w:r>
        <w:t>the</w:t>
      </w:r>
      <w:r>
        <w:rPr>
          <w:spacing w:val="44"/>
        </w:rPr>
        <w:t xml:space="preserve"> </w:t>
      </w:r>
      <w:r>
        <w:t>MINECSs</w:t>
      </w:r>
      <w:r>
        <w:rPr>
          <w:spacing w:val="40"/>
        </w:rPr>
        <w:t xml:space="preserve"> </w:t>
      </w:r>
      <w:r>
        <w:t>and</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7"/>
        <w:jc w:val="both"/>
      </w:pPr>
      <w:r>
        <w:lastRenderedPageBreak/>
        <w:t xml:space="preserve">MAXECSs was the category with students having their first three lessons sitting near windows at the back of their classrooms with 23.6% difference. The lowest difference between the two types of schools occurs among the students having their first three lessons sitting near the wall at the back of their classrooms with 0.7% difference. Furthermore, when the highest complaint levels in MAXECSs and MINECSs are taken into consideration, it can be derived from the percentages in Table 36 that students </w:t>
      </w:r>
      <w:proofErr w:type="gramStart"/>
      <w:r>
        <w:t>at  the</w:t>
      </w:r>
      <w:proofErr w:type="gramEnd"/>
      <w:r>
        <w:t xml:space="preserve"> back of their classrooms in MAXECSs and students near windows in MINECSs have the highest complaint</w:t>
      </w:r>
      <w:r>
        <w:rPr>
          <w:spacing w:val="-6"/>
        </w:rPr>
        <w:t xml:space="preserve"> </w:t>
      </w:r>
      <w:r>
        <w:t>levels.</w:t>
      </w:r>
    </w:p>
    <w:p w:rsidR="00F3177F" w:rsidRDefault="00F3177F">
      <w:pPr>
        <w:pStyle w:val="BodyText"/>
      </w:pPr>
    </w:p>
    <w:p w:rsidR="00F3177F" w:rsidRDefault="0089671D">
      <w:pPr>
        <w:pStyle w:val="BodyText"/>
        <w:spacing w:before="143" w:line="360" w:lineRule="auto"/>
        <w:ind w:left="584" w:right="118"/>
        <w:jc w:val="both"/>
      </w:pPr>
      <w:r>
        <w:t>According to the categories, the highest correlations based on students’ complaint levels appear between the students sitting near the wall in low energy consuming school and the students sitting near windows in high energy consuming schools (0.9), and between the students sitting in front of their classrooms in low energy consuming schools and the students sitting at the back their classrooms in high energy consuming schools (0.89).</w:t>
      </w:r>
    </w:p>
    <w:p w:rsidR="00F3177F" w:rsidRDefault="00F3177F">
      <w:pPr>
        <w:pStyle w:val="BodyText"/>
      </w:pPr>
    </w:p>
    <w:p w:rsidR="00F3177F" w:rsidRDefault="0089671D">
      <w:pPr>
        <w:pStyle w:val="BodyText"/>
        <w:spacing w:before="143" w:line="360" w:lineRule="auto"/>
        <w:ind w:left="584" w:right="113"/>
        <w:jc w:val="both"/>
      </w:pPr>
      <w:r>
        <w:t>All in all, according to the students’ responses to Örebro survey, the average complaint percentage in the maximum energy consuming state schools in PCM was found 23.9% whereas the same figure for the minimum energy consuming state schools in PCM was calculated as 33.3%. The difference was 9.4%. That means the students in the minimum energy consuming state schools in PCM state that they feel 9.4% less comfortable about their health and well-being in their schools in comparison with the maximum energy consuming state schools in the same municipality.</w:t>
      </w:r>
    </w:p>
    <w:p w:rsidR="00F3177F" w:rsidRDefault="00F3177F">
      <w:pPr>
        <w:pStyle w:val="BodyText"/>
      </w:pPr>
    </w:p>
    <w:p w:rsidR="00F3177F" w:rsidRDefault="0089671D">
      <w:pPr>
        <w:pStyle w:val="BodyText"/>
        <w:spacing w:before="143"/>
        <w:ind w:left="584"/>
        <w:jc w:val="both"/>
      </w:pPr>
      <w:r>
        <w:t>The results of the students’ comfort level survey can be summarized as:</w:t>
      </w:r>
    </w:p>
    <w:p w:rsidR="00F3177F" w:rsidRDefault="0089671D">
      <w:pPr>
        <w:pStyle w:val="ListParagraph"/>
        <w:numPr>
          <w:ilvl w:val="0"/>
          <w:numId w:val="20"/>
        </w:numPr>
        <w:tabs>
          <w:tab w:val="left" w:pos="1305"/>
        </w:tabs>
        <w:spacing w:line="357" w:lineRule="auto"/>
        <w:ind w:right="119"/>
        <w:jc w:val="both"/>
        <w:rPr>
          <w:sz w:val="24"/>
        </w:rPr>
      </w:pPr>
      <w:r>
        <w:rPr>
          <w:sz w:val="24"/>
        </w:rPr>
        <w:t>The highest complaint level differences, all higher than 20%, between high and low energy consuming schools occur on complaints about feeling cold in the classroom in winter (29.6%), poor or heavy air (26.7), distracting outdoor noise and disturbing heat from the Sun (20.7%) and unpleasant odor</w:t>
      </w:r>
      <w:r>
        <w:rPr>
          <w:spacing w:val="-8"/>
          <w:sz w:val="24"/>
        </w:rPr>
        <w:t xml:space="preserve"> </w:t>
      </w:r>
      <w:r>
        <w:rPr>
          <w:sz w:val="24"/>
        </w:rPr>
        <w:t>(20.6%).</w:t>
      </w:r>
    </w:p>
    <w:p w:rsidR="00F3177F" w:rsidRDefault="00F3177F">
      <w:pPr>
        <w:spacing w:line="357" w:lineRule="auto"/>
        <w:jc w:val="both"/>
        <w:rPr>
          <w:sz w:val="24"/>
        </w:rPr>
        <w:sectPr w:rsidR="00F3177F">
          <w:pgSz w:w="12240" w:h="15840"/>
          <w:pgMar w:top="1380" w:right="1320" w:bottom="2320" w:left="1720" w:header="0" w:footer="2072" w:gutter="0"/>
          <w:cols w:space="720"/>
        </w:sectPr>
      </w:pPr>
    </w:p>
    <w:p w:rsidR="00F3177F" w:rsidRDefault="0089671D">
      <w:pPr>
        <w:pStyle w:val="ListParagraph"/>
        <w:numPr>
          <w:ilvl w:val="0"/>
          <w:numId w:val="20"/>
        </w:numPr>
        <w:tabs>
          <w:tab w:val="left" w:pos="1305"/>
        </w:tabs>
        <w:spacing w:before="34" w:line="355" w:lineRule="auto"/>
        <w:ind w:right="121"/>
        <w:jc w:val="both"/>
        <w:rPr>
          <w:sz w:val="24"/>
        </w:rPr>
      </w:pPr>
      <w:r>
        <w:rPr>
          <w:sz w:val="24"/>
        </w:rPr>
        <w:lastRenderedPageBreak/>
        <w:t>The highest complaint level differences for the main categories between the high and low energy consuming school occur at the first three (18.1%) and last three lessons (10.1), and between the students sitting near windows</w:t>
      </w:r>
      <w:r>
        <w:rPr>
          <w:spacing w:val="-8"/>
          <w:sz w:val="24"/>
        </w:rPr>
        <w:t xml:space="preserve"> </w:t>
      </w:r>
      <w:r>
        <w:rPr>
          <w:sz w:val="24"/>
        </w:rPr>
        <w:t>(11.9%).</w:t>
      </w:r>
    </w:p>
    <w:p w:rsidR="00F3177F" w:rsidRDefault="0089671D">
      <w:pPr>
        <w:pStyle w:val="ListParagraph"/>
        <w:numPr>
          <w:ilvl w:val="0"/>
          <w:numId w:val="20"/>
        </w:numPr>
        <w:tabs>
          <w:tab w:val="left" w:pos="1305"/>
        </w:tabs>
        <w:spacing w:before="11" w:line="357" w:lineRule="auto"/>
        <w:ind w:right="120"/>
        <w:jc w:val="both"/>
        <w:rPr>
          <w:sz w:val="24"/>
        </w:rPr>
      </w:pPr>
      <w:r>
        <w:rPr>
          <w:sz w:val="24"/>
        </w:rPr>
        <w:t>The highest complaint level differences for the subcategories between the students of high and low energy consuming school occur at the first  three lessons at back window seats (23.6%), at the last three lessons at front window seats (15.4%) and at the first three lessons at front wall seats</w:t>
      </w:r>
      <w:r>
        <w:rPr>
          <w:spacing w:val="-13"/>
          <w:sz w:val="24"/>
        </w:rPr>
        <w:t xml:space="preserve"> </w:t>
      </w:r>
      <w:r>
        <w:rPr>
          <w:sz w:val="24"/>
        </w:rPr>
        <w:t>(12.3%),</w:t>
      </w:r>
    </w:p>
    <w:p w:rsidR="00F3177F" w:rsidRDefault="0089671D">
      <w:pPr>
        <w:pStyle w:val="ListParagraph"/>
        <w:numPr>
          <w:ilvl w:val="0"/>
          <w:numId w:val="20"/>
        </w:numPr>
        <w:tabs>
          <w:tab w:val="left" w:pos="1305"/>
        </w:tabs>
        <w:spacing w:before="8" w:line="357" w:lineRule="auto"/>
        <w:ind w:right="120"/>
        <w:jc w:val="both"/>
        <w:rPr>
          <w:sz w:val="24"/>
        </w:rPr>
      </w:pPr>
      <w:r>
        <w:rPr>
          <w:sz w:val="24"/>
        </w:rPr>
        <w:t>The lowest complaint level differences for the subcategories between the students of the high and low energy consuming school occur at the first three lessons at the back seats near the wall (0.7%), at the last three lessons at the back seats near the wall (5.9%) and at the first three lessons at front window seats (6.1%).</w:t>
      </w:r>
    </w:p>
    <w:p w:rsidR="00F3177F" w:rsidRDefault="00F3177F">
      <w:pPr>
        <w:pStyle w:val="BodyText"/>
      </w:pPr>
    </w:p>
    <w:p w:rsidR="00F3177F" w:rsidRDefault="00F3177F">
      <w:pPr>
        <w:pStyle w:val="BodyText"/>
        <w:spacing w:before="11"/>
      </w:pPr>
    </w:p>
    <w:p w:rsidR="00F3177F" w:rsidRDefault="0089671D">
      <w:pPr>
        <w:pStyle w:val="Heading2"/>
        <w:numPr>
          <w:ilvl w:val="2"/>
          <w:numId w:val="21"/>
        </w:numPr>
        <w:tabs>
          <w:tab w:val="left" w:pos="1245"/>
        </w:tabs>
        <w:jc w:val="both"/>
      </w:pPr>
      <w:r>
        <w:t>Analyses of the Research</w:t>
      </w:r>
      <w:r>
        <w:rPr>
          <w:spacing w:val="-8"/>
        </w:rPr>
        <w:t xml:space="preserve"> </w:t>
      </w:r>
      <w:r>
        <w:t>Hypotheses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21" w:lineRule="auto"/>
        <w:ind w:left="584" w:right="114"/>
        <w:jc w:val="both"/>
      </w:pPr>
      <w:r>
        <w:rPr>
          <w:b/>
        </w:rPr>
        <w:t>H</w:t>
      </w:r>
      <w:r>
        <w:rPr>
          <w:b/>
          <w:position w:val="-2"/>
          <w:sz w:val="16"/>
        </w:rPr>
        <w:t>1</w:t>
      </w:r>
      <w:r>
        <w:rPr>
          <w:b/>
        </w:rPr>
        <w:t xml:space="preserve">: </w:t>
      </w:r>
      <w:r>
        <w:t>Study shift as morning and morning + afternoon, number of school building floors and 0.2 st/m</w:t>
      </w:r>
      <w:r>
        <w:rPr>
          <w:position w:val="11"/>
          <w:sz w:val="16"/>
        </w:rPr>
        <w:t xml:space="preserve">2 </w:t>
      </w:r>
      <w:r>
        <w:t>student density, are statistically significant predictors of annual school energy consumption per student (kWh/st/yr) and unit area (kWh/m</w:t>
      </w:r>
      <w:r>
        <w:rPr>
          <w:position w:val="11"/>
          <w:sz w:val="16"/>
        </w:rPr>
        <w:t>2</w:t>
      </w:r>
      <w:r>
        <w:t>/yr), annual CO</w:t>
      </w:r>
      <w:r>
        <w:rPr>
          <w:position w:val="-2"/>
          <w:sz w:val="16"/>
        </w:rPr>
        <w:t xml:space="preserve">2 </w:t>
      </w:r>
      <w:r>
        <w:t>emission per unit area (kg CO</w:t>
      </w:r>
      <w:r>
        <w:rPr>
          <w:position w:val="-2"/>
          <w:sz w:val="16"/>
        </w:rPr>
        <w:t>2</w:t>
      </w:r>
      <w:r>
        <w:t>/m</w:t>
      </w:r>
      <w:r>
        <w:rPr>
          <w:position w:val="11"/>
          <w:sz w:val="16"/>
        </w:rPr>
        <w:t>2</w:t>
      </w:r>
      <w:r>
        <w:t>/yr).</w:t>
      </w:r>
    </w:p>
    <w:p w:rsidR="00F3177F" w:rsidRDefault="00F3177F">
      <w:pPr>
        <w:pStyle w:val="BodyText"/>
        <w:spacing w:before="6"/>
        <w:rPr>
          <w:sz w:val="37"/>
        </w:rPr>
      </w:pPr>
    </w:p>
    <w:p w:rsidR="00F3177F" w:rsidRDefault="0089671D">
      <w:pPr>
        <w:pStyle w:val="BodyText"/>
        <w:spacing w:line="360" w:lineRule="auto"/>
        <w:ind w:left="584" w:right="114"/>
        <w:jc w:val="both"/>
      </w:pPr>
      <w:r>
        <w:t>Tae-Woo et al. (2012) state that the school schedule affects elementary schools’ energy consumption. Moreover, daily period of schools affects school building heating consumption (Pereira et al., 2014). It is expected that schools with double shifts spend less energy per meter square than schools with only one shift because schools with double shift make use of energy used in the morning shift. Furthermore, it is assumed that multi-floor buildings can consume less energy per meter square due to heating exchange between building floors. Office of Energy Efficiency of Canada (2012) in its report  titled  Survey  of  Commercial  and  Institutional  Energy  Use  –  Buildings 2009</w:t>
      </w:r>
    </w:p>
    <w:p w:rsidR="00F3177F" w:rsidRDefault="00F3177F">
      <w:pPr>
        <w:spacing w:line="360" w:lineRule="auto"/>
        <w:jc w:val="both"/>
        <w:sectPr w:rsidR="00F3177F">
          <w:pgSz w:w="12240" w:h="15840"/>
          <w:pgMar w:top="1400" w:right="1320" w:bottom="2320" w:left="1720" w:header="0" w:footer="2072" w:gutter="0"/>
          <w:cols w:space="720"/>
        </w:sectPr>
      </w:pPr>
    </w:p>
    <w:p w:rsidR="00F3177F" w:rsidRDefault="0089671D">
      <w:pPr>
        <w:pStyle w:val="BodyText"/>
        <w:spacing w:before="54" w:line="360" w:lineRule="auto"/>
        <w:ind w:left="584" w:right="115"/>
        <w:jc w:val="both"/>
      </w:pPr>
      <w:r>
        <w:lastRenderedPageBreak/>
        <w:t>Detailed Statistical Report December, 2012 states that two and three-floor buildings have better energy intensity than one-floor buildings. Finally, average annual energy consumptions of big-size school buildings can be low due to the nature of the calculation. However, it is debatable issue that school buildings should be as big as possible. Secondly, students’ physical and environmental comfort plays an important role on their health, well-being and consequently outcome. Thus, to merge the aspects</w:t>
      </w:r>
      <w:r w:rsidR="007D25DB">
        <w:t xml:space="preserve"> </w:t>
      </w:r>
      <w:r>
        <w:t>of energy consumption as school area and the number of students in a school, student density can be used as a reference. Hong et al.’s analyses (2012) show 0.575 of correlation between number of students per unit class and electric energy consumption while -0.027 of correlation between number of students per unit class and electric energy consumption per meter</w:t>
      </w:r>
      <w:r>
        <w:rPr>
          <w:spacing w:val="-8"/>
        </w:rPr>
        <w:t xml:space="preserve"> </w:t>
      </w:r>
      <w:r>
        <w:t>square.</w:t>
      </w:r>
    </w:p>
    <w:p w:rsidR="00F3177F" w:rsidRDefault="00F3177F">
      <w:pPr>
        <w:pStyle w:val="BodyText"/>
      </w:pPr>
    </w:p>
    <w:p w:rsidR="00F3177F" w:rsidRDefault="0089671D">
      <w:pPr>
        <w:pStyle w:val="BodyText"/>
        <w:spacing w:before="143"/>
        <w:ind w:left="584"/>
        <w:jc w:val="both"/>
      </w:pPr>
      <w:r>
        <w:t>The null hypothesis:</w:t>
      </w:r>
    </w:p>
    <w:p w:rsidR="00F3177F" w:rsidRDefault="0089671D">
      <w:pPr>
        <w:pStyle w:val="BodyText"/>
        <w:spacing w:before="142"/>
        <w:ind w:left="584"/>
        <w:jc w:val="both"/>
      </w:pPr>
      <w:r>
        <w:rPr>
          <w:spacing w:val="-1"/>
          <w:position w:val="1"/>
        </w:rPr>
        <w:t>H</w:t>
      </w:r>
      <w:r>
        <w:rPr>
          <w:spacing w:val="-1"/>
          <w:position w:val="-2"/>
          <w:sz w:val="16"/>
        </w:rPr>
        <w:t>0</w:t>
      </w:r>
      <w:r>
        <w:rPr>
          <w:spacing w:val="-1"/>
          <w:position w:val="1"/>
        </w:rPr>
        <w:t xml:space="preserve">: </w:t>
      </w:r>
      <w:r>
        <w:rPr>
          <w:noProof/>
          <w:spacing w:val="10"/>
        </w:rPr>
        <w:drawing>
          <wp:inline distT="0" distB="0" distL="0" distR="0">
            <wp:extent cx="104775" cy="161925"/>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9"/>
          <w:position w:val="1"/>
        </w:rPr>
        <w:t xml:space="preserve"> </w:t>
      </w:r>
      <w:r>
        <w:rPr>
          <w:position w:val="1"/>
        </w:rPr>
        <w:t xml:space="preserve">energy consumptions per unit area of one-floor school buildings, with more  </w:t>
      </w:r>
      <w:r>
        <w:rPr>
          <w:spacing w:val="18"/>
          <w:position w:val="1"/>
        </w:rPr>
        <w:t xml:space="preserve"> </w:t>
      </w:r>
      <w:r>
        <w:rPr>
          <w:position w:val="1"/>
        </w:rPr>
        <w:t>than</w:t>
      </w:r>
    </w:p>
    <w:p w:rsidR="00F3177F" w:rsidRDefault="0089671D">
      <w:pPr>
        <w:pStyle w:val="BodyText"/>
        <w:spacing w:before="125" w:line="343" w:lineRule="auto"/>
        <w:ind w:left="584" w:right="117"/>
        <w:jc w:val="both"/>
      </w:pPr>
      <w:r>
        <w:t xml:space="preserve">0.2 student density </w:t>
      </w:r>
      <w:proofErr w:type="gramStart"/>
      <w:r>
        <w:t>and  only</w:t>
      </w:r>
      <w:proofErr w:type="gramEnd"/>
      <w:r>
        <w:t xml:space="preserve"> morning shift  = </w:t>
      </w:r>
      <w:r>
        <w:rPr>
          <w:noProof/>
          <w:spacing w:val="26"/>
        </w:rPr>
        <w:drawing>
          <wp:inline distT="0" distB="0" distL="0" distR="0">
            <wp:extent cx="104775" cy="16192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28"/>
        </w:rPr>
        <w:t xml:space="preserve"> </w:t>
      </w:r>
      <w:r>
        <w:t>energy consumptions per unit area of multi-floor (2 or 3) school buildings with less than 0.2 student density and only</w:t>
      </w:r>
      <w:r>
        <w:rPr>
          <w:spacing w:val="-3"/>
        </w:rPr>
        <w:t xml:space="preserve"> </w:t>
      </w:r>
      <w:r>
        <w:t>morning</w:t>
      </w:r>
    </w:p>
    <w:p w:rsidR="00F3177F" w:rsidRDefault="0089671D">
      <w:pPr>
        <w:pStyle w:val="BodyText"/>
        <w:spacing w:before="25"/>
        <w:ind w:left="584"/>
        <w:jc w:val="both"/>
      </w:pPr>
      <w:r>
        <w:t xml:space="preserve">+ </w:t>
      </w:r>
      <w:proofErr w:type="gramStart"/>
      <w:r>
        <w:t>afternoon</w:t>
      </w:r>
      <w:proofErr w:type="gramEnd"/>
      <w:r>
        <w:t xml:space="preserve"> shifts</w:t>
      </w:r>
    </w:p>
    <w:p w:rsidR="00F3177F" w:rsidRDefault="0089671D">
      <w:pPr>
        <w:pStyle w:val="BodyText"/>
        <w:spacing w:before="137"/>
        <w:ind w:left="584"/>
        <w:jc w:val="both"/>
      </w:pPr>
      <w:r>
        <w:t>The alternate hypothesis:</w:t>
      </w:r>
    </w:p>
    <w:p w:rsidR="00F3177F" w:rsidRDefault="0089671D">
      <w:pPr>
        <w:pStyle w:val="BodyText"/>
        <w:spacing w:before="143"/>
        <w:ind w:left="584"/>
        <w:jc w:val="both"/>
      </w:pPr>
      <w:r>
        <w:rPr>
          <w:spacing w:val="-2"/>
        </w:rPr>
        <w:t>H</w:t>
      </w:r>
      <w:r>
        <w:rPr>
          <w:spacing w:val="-2"/>
          <w:position w:val="-2"/>
          <w:sz w:val="16"/>
        </w:rPr>
        <w:t>A</w:t>
      </w:r>
      <w:r>
        <w:rPr>
          <w:spacing w:val="-2"/>
        </w:rPr>
        <w:t xml:space="preserve">: </w:t>
      </w:r>
      <w:r>
        <w:rPr>
          <w:noProof/>
          <w:spacing w:val="12"/>
        </w:rPr>
        <w:drawing>
          <wp:inline distT="0" distB="0" distL="0" distR="0">
            <wp:extent cx="104775" cy="161163"/>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1" cstate="print"/>
                    <a:stretch>
                      <a:fillRect/>
                    </a:stretch>
                  </pic:blipFill>
                  <pic:spPr>
                    <a:xfrm>
                      <a:off x="0" y="0"/>
                      <a:ext cx="104775" cy="161163"/>
                    </a:xfrm>
                    <a:prstGeom prst="rect">
                      <a:avLst/>
                    </a:prstGeom>
                  </pic:spPr>
                </pic:pic>
              </a:graphicData>
            </a:graphic>
          </wp:inline>
        </w:drawing>
      </w:r>
      <w:r>
        <w:rPr>
          <w:spacing w:val="8"/>
        </w:rPr>
        <w:t xml:space="preserve"> </w:t>
      </w:r>
      <w:r>
        <w:t xml:space="preserve">energy consumptions per unit area of one-floor school buildings, with </w:t>
      </w:r>
      <w:proofErr w:type="gramStart"/>
      <w:r>
        <w:t xml:space="preserve">more </w:t>
      </w:r>
      <w:r>
        <w:rPr>
          <w:spacing w:val="47"/>
        </w:rPr>
        <w:t xml:space="preserve"> </w:t>
      </w:r>
      <w:r>
        <w:t>than</w:t>
      </w:r>
      <w:proofErr w:type="gramEnd"/>
    </w:p>
    <w:p w:rsidR="00F3177F" w:rsidRDefault="0089671D">
      <w:pPr>
        <w:pStyle w:val="BodyText"/>
        <w:spacing w:before="125" w:line="343" w:lineRule="auto"/>
        <w:ind w:left="584" w:right="120"/>
        <w:jc w:val="both"/>
      </w:pPr>
      <w:r>
        <w:t xml:space="preserve">0.2 student density </w:t>
      </w:r>
      <w:proofErr w:type="gramStart"/>
      <w:r>
        <w:t>and  only</w:t>
      </w:r>
      <w:proofErr w:type="gramEnd"/>
      <w:r>
        <w:t xml:space="preserve"> morning shift  ≠ </w:t>
      </w:r>
      <w:r>
        <w:rPr>
          <w:noProof/>
          <w:spacing w:val="25"/>
        </w:rPr>
        <w:drawing>
          <wp:inline distT="0" distB="0" distL="0" distR="0">
            <wp:extent cx="104775" cy="161925"/>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27"/>
        </w:rPr>
        <w:t xml:space="preserve"> </w:t>
      </w:r>
      <w:r>
        <w:t>energy consumptions per unit area of multi-floor (2 or 3) school buildings with less than 0.2 student density and only</w:t>
      </w:r>
      <w:r>
        <w:rPr>
          <w:spacing w:val="-4"/>
        </w:rPr>
        <w:t xml:space="preserve"> </w:t>
      </w:r>
      <w:r>
        <w:t>morning</w:t>
      </w:r>
    </w:p>
    <w:p w:rsidR="00F3177F" w:rsidRDefault="0089671D">
      <w:pPr>
        <w:pStyle w:val="BodyText"/>
        <w:spacing w:before="25"/>
        <w:ind w:left="584"/>
        <w:jc w:val="both"/>
      </w:pPr>
      <w:r>
        <w:t xml:space="preserve">+ </w:t>
      </w:r>
      <w:proofErr w:type="gramStart"/>
      <w:r>
        <w:t>afternoon</w:t>
      </w:r>
      <w:proofErr w:type="gramEnd"/>
      <w:r>
        <w:t xml:space="preserve"> shifts</w:t>
      </w:r>
    </w:p>
    <w:p w:rsidR="00F3177F" w:rsidRDefault="00F3177F">
      <w:pPr>
        <w:pStyle w:val="BodyText"/>
      </w:pPr>
    </w:p>
    <w:p w:rsidR="00F3177F" w:rsidRDefault="00F3177F">
      <w:pPr>
        <w:pStyle w:val="BodyText"/>
      </w:pPr>
    </w:p>
    <w:p w:rsidR="00F3177F" w:rsidRDefault="0089671D">
      <w:pPr>
        <w:pStyle w:val="BodyText"/>
        <w:spacing w:line="345" w:lineRule="auto"/>
        <w:ind w:left="584" w:right="115"/>
        <w:jc w:val="both"/>
      </w:pPr>
      <w:r>
        <w:t>The Multivariate Tests table in Table 25 below shows that annual school energy consumption per student (kWh/st/yr), annual school energy consumption per unit area (kWh/m</w:t>
      </w:r>
      <w:r>
        <w:rPr>
          <w:position w:val="11"/>
          <w:sz w:val="16"/>
        </w:rPr>
        <w:t>2</w:t>
      </w:r>
      <w:r>
        <w:t>/yr) and annual CO</w:t>
      </w:r>
      <w:r>
        <w:rPr>
          <w:position w:val="-2"/>
          <w:sz w:val="16"/>
        </w:rPr>
        <w:t xml:space="preserve">2 </w:t>
      </w:r>
      <w:r>
        <w:t>emission per unit area (kg CO</w:t>
      </w:r>
      <w:r>
        <w:rPr>
          <w:position w:val="-2"/>
          <w:sz w:val="16"/>
        </w:rPr>
        <w:t>2</w:t>
      </w:r>
      <w:r>
        <w:t>/m</w:t>
      </w:r>
      <w:r>
        <w:rPr>
          <w:position w:val="11"/>
          <w:sz w:val="16"/>
        </w:rPr>
        <w:t>2</w:t>
      </w:r>
      <w:r>
        <w:t>/yr) are significantly dependent on which prior;</w:t>
      </w:r>
    </w:p>
    <w:p w:rsidR="00F3177F" w:rsidRDefault="0089671D">
      <w:pPr>
        <w:pStyle w:val="ListParagraph"/>
        <w:numPr>
          <w:ilvl w:val="0"/>
          <w:numId w:val="19"/>
        </w:numPr>
        <w:tabs>
          <w:tab w:val="left" w:pos="830"/>
        </w:tabs>
        <w:spacing w:before="22"/>
        <w:jc w:val="both"/>
        <w:rPr>
          <w:sz w:val="24"/>
        </w:rPr>
      </w:pPr>
      <w:r>
        <w:rPr>
          <w:sz w:val="24"/>
        </w:rPr>
        <w:t>student</w:t>
      </w:r>
      <w:r>
        <w:rPr>
          <w:spacing w:val="-3"/>
          <w:sz w:val="24"/>
        </w:rPr>
        <w:t xml:space="preserve"> </w:t>
      </w:r>
      <w:r>
        <w:rPr>
          <w:sz w:val="24"/>
        </w:rPr>
        <w:t>density,</w:t>
      </w:r>
    </w:p>
    <w:p w:rsidR="00F3177F" w:rsidRDefault="0089671D">
      <w:pPr>
        <w:pStyle w:val="ListParagraph"/>
        <w:numPr>
          <w:ilvl w:val="0"/>
          <w:numId w:val="19"/>
        </w:numPr>
        <w:tabs>
          <w:tab w:val="left" w:pos="844"/>
        </w:tabs>
        <w:spacing w:before="137"/>
        <w:ind w:left="843" w:hanging="259"/>
        <w:jc w:val="both"/>
        <w:rPr>
          <w:sz w:val="24"/>
        </w:rPr>
      </w:pPr>
      <w:r>
        <w:rPr>
          <w:sz w:val="24"/>
        </w:rPr>
        <w:t>study</w:t>
      </w:r>
      <w:r>
        <w:rPr>
          <w:spacing w:val="-4"/>
          <w:sz w:val="24"/>
        </w:rPr>
        <w:t xml:space="preserve"> </w:t>
      </w:r>
      <w:r>
        <w:rPr>
          <w:sz w:val="24"/>
        </w:rPr>
        <w:t>shift</w:t>
      </w:r>
    </w:p>
    <w:p w:rsidR="00F3177F" w:rsidRDefault="00F3177F">
      <w:pPr>
        <w:jc w:val="both"/>
        <w:rPr>
          <w:sz w:val="24"/>
        </w:rPr>
        <w:sectPr w:rsidR="00F3177F">
          <w:pgSz w:w="12240" w:h="15840"/>
          <w:pgMar w:top="1380" w:right="1320" w:bottom="2320" w:left="1720" w:header="0" w:footer="2072" w:gutter="0"/>
          <w:cols w:space="720"/>
        </w:sectPr>
      </w:pPr>
    </w:p>
    <w:p w:rsidR="00F3177F" w:rsidRDefault="0089671D">
      <w:pPr>
        <w:pStyle w:val="BodyText"/>
        <w:spacing w:before="54"/>
        <w:ind w:left="584"/>
        <w:jc w:val="both"/>
      </w:pPr>
      <w:r>
        <w:lastRenderedPageBreak/>
        <w:t>(</w:t>
      </w:r>
      <w:proofErr w:type="gramStart"/>
      <w:r>
        <w:rPr>
          <w:i/>
        </w:rPr>
        <w:t>p</w:t>
      </w:r>
      <w:proofErr w:type="gramEnd"/>
      <w:r>
        <w:rPr>
          <w:i/>
        </w:rPr>
        <w:t xml:space="preserve"> </w:t>
      </w:r>
      <w:r>
        <w:t>&lt; .0005) by the MANOVA whereas number of school building floors is not.</w:t>
      </w:r>
    </w:p>
    <w:p w:rsidR="00F3177F" w:rsidRDefault="00F3177F">
      <w:pPr>
        <w:pStyle w:val="BodyText"/>
      </w:pPr>
    </w:p>
    <w:p w:rsidR="00F3177F" w:rsidRDefault="00F3177F">
      <w:pPr>
        <w:pStyle w:val="BodyText"/>
      </w:pPr>
    </w:p>
    <w:p w:rsidR="00F3177F" w:rsidRDefault="0089671D">
      <w:pPr>
        <w:pStyle w:val="BodyText"/>
        <w:ind w:left="584"/>
        <w:jc w:val="both"/>
      </w:pPr>
      <w:r>
        <w:t>Likewise, they are statistically significantly dependent on which prior;</w:t>
      </w:r>
    </w:p>
    <w:p w:rsidR="00F3177F" w:rsidRDefault="0089671D">
      <w:pPr>
        <w:pStyle w:val="BodyText"/>
        <w:spacing w:before="137"/>
        <w:ind w:left="584"/>
        <w:jc w:val="both"/>
      </w:pPr>
      <w:r>
        <w:t xml:space="preserve">a) </w:t>
      </w:r>
      <w:proofErr w:type="gramStart"/>
      <w:r>
        <w:t>student</w:t>
      </w:r>
      <w:proofErr w:type="gramEnd"/>
      <w:r>
        <w:t xml:space="preserve"> density combined with study shift</w:t>
      </w:r>
    </w:p>
    <w:p w:rsidR="00F3177F" w:rsidRDefault="0089671D">
      <w:pPr>
        <w:pStyle w:val="BodyText"/>
        <w:spacing w:before="139" w:line="360" w:lineRule="auto"/>
        <w:ind w:left="584" w:right="113"/>
        <w:jc w:val="both"/>
      </w:pPr>
      <w:r>
        <w:t>while not on which prior student density combined with number of school building floors, number of school building floors combined with study shift, and student density combined with number of school building floors and study shift.</w:t>
      </w:r>
    </w:p>
    <w:p w:rsidR="00F3177F" w:rsidRDefault="00F3177F">
      <w:pPr>
        <w:pStyle w:val="BodyText"/>
        <w:spacing w:before="4"/>
        <w:rPr>
          <w:sz w:val="33"/>
        </w:rPr>
      </w:pPr>
    </w:p>
    <w:p w:rsidR="00F3177F" w:rsidRDefault="0089671D">
      <w:pPr>
        <w:pStyle w:val="BodyText"/>
        <w:ind w:left="584"/>
        <w:jc w:val="both"/>
      </w:pPr>
      <w:r>
        <w:t>Table 25: Multivariate Tests</w:t>
      </w:r>
      <w:r>
        <w:rPr>
          <w:position w:val="11"/>
          <w:sz w:val="16"/>
        </w:rPr>
        <w:t xml:space="preserve">a </w:t>
      </w:r>
      <w:r>
        <w:t>for Hypothesis 1</w:t>
      </w:r>
    </w:p>
    <w:p w:rsidR="00F3177F" w:rsidRDefault="00F3177F">
      <w:pPr>
        <w:pStyle w:val="BodyText"/>
        <w:spacing w:before="5"/>
        <w:rPr>
          <w:sz w:val="12"/>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710"/>
        <w:gridCol w:w="720"/>
        <w:gridCol w:w="720"/>
        <w:gridCol w:w="991"/>
        <w:gridCol w:w="809"/>
        <w:gridCol w:w="632"/>
        <w:gridCol w:w="1529"/>
      </w:tblGrid>
      <w:tr w:rsidR="00F3177F">
        <w:trPr>
          <w:trHeight w:hRule="exact" w:val="650"/>
        </w:trPr>
        <w:tc>
          <w:tcPr>
            <w:tcW w:w="3061" w:type="dxa"/>
            <w:gridSpan w:val="2"/>
          </w:tcPr>
          <w:p w:rsidR="00F3177F" w:rsidRDefault="00F3177F">
            <w:pPr>
              <w:pStyle w:val="TableParagraph"/>
              <w:spacing w:before="4"/>
              <w:rPr>
                <w:sz w:val="23"/>
              </w:rPr>
            </w:pPr>
          </w:p>
          <w:p w:rsidR="00F3177F" w:rsidRDefault="0089671D">
            <w:pPr>
              <w:pStyle w:val="TableParagraph"/>
              <w:ind w:left="1285" w:right="1286"/>
              <w:jc w:val="center"/>
              <w:rPr>
                <w:sz w:val="18"/>
              </w:rPr>
            </w:pPr>
            <w:r>
              <w:rPr>
                <w:sz w:val="18"/>
              </w:rPr>
              <w:t>Effect</w:t>
            </w:r>
          </w:p>
        </w:tc>
        <w:tc>
          <w:tcPr>
            <w:tcW w:w="720" w:type="dxa"/>
          </w:tcPr>
          <w:p w:rsidR="00F3177F" w:rsidRDefault="00F3177F">
            <w:pPr>
              <w:pStyle w:val="TableParagraph"/>
              <w:spacing w:before="4"/>
              <w:rPr>
                <w:sz w:val="23"/>
              </w:rPr>
            </w:pPr>
          </w:p>
          <w:p w:rsidR="00F3177F" w:rsidRDefault="0089671D">
            <w:pPr>
              <w:pStyle w:val="TableParagraph"/>
              <w:ind w:left="139"/>
              <w:rPr>
                <w:sz w:val="18"/>
              </w:rPr>
            </w:pPr>
            <w:r>
              <w:rPr>
                <w:sz w:val="18"/>
              </w:rPr>
              <w:t>Value</w:t>
            </w:r>
          </w:p>
        </w:tc>
        <w:tc>
          <w:tcPr>
            <w:tcW w:w="720" w:type="dxa"/>
          </w:tcPr>
          <w:p w:rsidR="00F3177F" w:rsidRDefault="00F3177F">
            <w:pPr>
              <w:pStyle w:val="TableParagraph"/>
              <w:spacing w:before="4"/>
              <w:rPr>
                <w:sz w:val="23"/>
              </w:rPr>
            </w:pPr>
          </w:p>
          <w:p w:rsidR="00F3177F" w:rsidRDefault="0089671D">
            <w:pPr>
              <w:pStyle w:val="TableParagraph"/>
              <w:ind w:right="1"/>
              <w:jc w:val="center"/>
              <w:rPr>
                <w:sz w:val="18"/>
              </w:rPr>
            </w:pPr>
            <w:r>
              <w:rPr>
                <w:w w:val="99"/>
                <w:sz w:val="18"/>
              </w:rPr>
              <w:t>F</w:t>
            </w:r>
          </w:p>
        </w:tc>
        <w:tc>
          <w:tcPr>
            <w:tcW w:w="991" w:type="dxa"/>
          </w:tcPr>
          <w:p w:rsidR="00F3177F" w:rsidRDefault="0089671D">
            <w:pPr>
              <w:pStyle w:val="TableParagraph"/>
              <w:spacing w:before="22" w:line="320" w:lineRule="exact"/>
              <w:ind w:left="415" w:right="68" w:hanging="332"/>
              <w:rPr>
                <w:sz w:val="18"/>
              </w:rPr>
            </w:pPr>
            <w:r>
              <w:rPr>
                <w:sz w:val="18"/>
              </w:rPr>
              <w:t>Hypothesis df</w:t>
            </w:r>
          </w:p>
        </w:tc>
        <w:tc>
          <w:tcPr>
            <w:tcW w:w="809" w:type="dxa"/>
          </w:tcPr>
          <w:p w:rsidR="00F3177F" w:rsidRDefault="00F3177F">
            <w:pPr>
              <w:pStyle w:val="TableParagraph"/>
              <w:spacing w:before="4"/>
              <w:rPr>
                <w:sz w:val="23"/>
              </w:rPr>
            </w:pPr>
          </w:p>
          <w:p w:rsidR="00F3177F" w:rsidRDefault="0089671D">
            <w:pPr>
              <w:pStyle w:val="TableParagraph"/>
              <w:ind w:right="106"/>
              <w:jc w:val="right"/>
              <w:rPr>
                <w:sz w:val="18"/>
              </w:rPr>
            </w:pPr>
            <w:r>
              <w:rPr>
                <w:sz w:val="18"/>
              </w:rPr>
              <w:t>Error df</w:t>
            </w:r>
          </w:p>
        </w:tc>
        <w:tc>
          <w:tcPr>
            <w:tcW w:w="632" w:type="dxa"/>
          </w:tcPr>
          <w:p w:rsidR="00F3177F" w:rsidRDefault="00F3177F">
            <w:pPr>
              <w:pStyle w:val="TableParagraph"/>
              <w:spacing w:before="4"/>
              <w:rPr>
                <w:sz w:val="23"/>
              </w:rPr>
            </w:pPr>
          </w:p>
          <w:p w:rsidR="00F3177F" w:rsidRDefault="0089671D">
            <w:pPr>
              <w:pStyle w:val="TableParagraph"/>
              <w:ind w:left="165"/>
              <w:rPr>
                <w:sz w:val="18"/>
              </w:rPr>
            </w:pPr>
            <w:r>
              <w:rPr>
                <w:sz w:val="18"/>
              </w:rPr>
              <w:t>Sig.</w:t>
            </w:r>
          </w:p>
        </w:tc>
        <w:tc>
          <w:tcPr>
            <w:tcW w:w="1529" w:type="dxa"/>
          </w:tcPr>
          <w:p w:rsidR="00F3177F" w:rsidRDefault="00F3177F">
            <w:pPr>
              <w:pStyle w:val="TableParagraph"/>
              <w:spacing w:before="4"/>
              <w:rPr>
                <w:sz w:val="23"/>
              </w:rPr>
            </w:pPr>
          </w:p>
          <w:p w:rsidR="00F3177F" w:rsidRDefault="0089671D">
            <w:pPr>
              <w:pStyle w:val="TableParagraph"/>
              <w:ind w:right="62"/>
              <w:jc w:val="right"/>
              <w:rPr>
                <w:sz w:val="18"/>
              </w:rPr>
            </w:pPr>
            <w:r>
              <w:rPr>
                <w:sz w:val="18"/>
              </w:rPr>
              <w:t>Partial Eta Squared</w:t>
            </w:r>
          </w:p>
        </w:tc>
      </w:tr>
      <w:tr w:rsidR="00F3177F">
        <w:trPr>
          <w:trHeight w:hRule="exact" w:val="331"/>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6"/>
              </w:rPr>
            </w:pPr>
          </w:p>
          <w:p w:rsidR="00F3177F" w:rsidRDefault="0089671D">
            <w:pPr>
              <w:pStyle w:val="TableParagraph"/>
              <w:spacing w:before="1"/>
              <w:ind w:left="348" w:right="43"/>
              <w:rPr>
                <w:sz w:val="18"/>
              </w:rPr>
            </w:pPr>
            <w:r>
              <w:rPr>
                <w:sz w:val="18"/>
              </w:rPr>
              <w:t>Intercept</w:t>
            </w:r>
          </w:p>
        </w:tc>
        <w:tc>
          <w:tcPr>
            <w:tcW w:w="1709" w:type="dxa"/>
          </w:tcPr>
          <w:p w:rsidR="00F3177F" w:rsidRDefault="0089671D">
            <w:pPr>
              <w:pStyle w:val="TableParagraph"/>
              <w:spacing w:before="108"/>
              <w:ind w:left="60"/>
              <w:rPr>
                <w:sz w:val="18"/>
              </w:rPr>
            </w:pPr>
            <w:r>
              <w:rPr>
                <w:sz w:val="18"/>
              </w:rPr>
              <w:t>Pillai's Trace</w:t>
            </w:r>
          </w:p>
        </w:tc>
        <w:tc>
          <w:tcPr>
            <w:tcW w:w="720" w:type="dxa"/>
          </w:tcPr>
          <w:p w:rsidR="00F3177F" w:rsidRDefault="0089671D">
            <w:pPr>
              <w:pStyle w:val="TableParagraph"/>
              <w:spacing w:before="108"/>
              <w:ind w:right="57"/>
              <w:jc w:val="right"/>
              <w:rPr>
                <w:sz w:val="18"/>
              </w:rPr>
            </w:pPr>
            <w:r>
              <w:rPr>
                <w:sz w:val="18"/>
              </w:rPr>
              <w:t>.834</w:t>
            </w:r>
          </w:p>
        </w:tc>
        <w:tc>
          <w:tcPr>
            <w:tcW w:w="720" w:type="dxa"/>
          </w:tcPr>
          <w:p w:rsidR="00F3177F" w:rsidRDefault="0089671D">
            <w:pPr>
              <w:pStyle w:val="TableParagraph"/>
              <w:spacing w:before="84"/>
              <w:ind w:right="55"/>
              <w:jc w:val="right"/>
              <w:rPr>
                <w:sz w:val="12"/>
              </w:rPr>
            </w:pPr>
            <w:r>
              <w:rPr>
                <w:sz w:val="18"/>
              </w:rPr>
              <w:t>71.910</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.834</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.166</w:t>
            </w:r>
          </w:p>
        </w:tc>
        <w:tc>
          <w:tcPr>
            <w:tcW w:w="720" w:type="dxa"/>
          </w:tcPr>
          <w:p w:rsidR="00F3177F" w:rsidRDefault="0089671D">
            <w:pPr>
              <w:pStyle w:val="TableParagraph"/>
              <w:spacing w:before="84"/>
              <w:ind w:right="55"/>
              <w:jc w:val="right"/>
              <w:rPr>
                <w:sz w:val="12"/>
              </w:rPr>
            </w:pPr>
            <w:r>
              <w:rPr>
                <w:sz w:val="18"/>
              </w:rPr>
              <w:t>71.910</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.834</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Hotelling's Trace</w:t>
            </w:r>
          </w:p>
        </w:tc>
        <w:tc>
          <w:tcPr>
            <w:tcW w:w="720" w:type="dxa"/>
          </w:tcPr>
          <w:p w:rsidR="00F3177F" w:rsidRDefault="0089671D">
            <w:pPr>
              <w:pStyle w:val="TableParagraph"/>
              <w:spacing w:before="108"/>
              <w:ind w:right="57"/>
              <w:jc w:val="right"/>
              <w:rPr>
                <w:sz w:val="18"/>
              </w:rPr>
            </w:pPr>
            <w:r>
              <w:rPr>
                <w:sz w:val="18"/>
              </w:rPr>
              <w:t>5.017</w:t>
            </w:r>
          </w:p>
        </w:tc>
        <w:tc>
          <w:tcPr>
            <w:tcW w:w="720" w:type="dxa"/>
          </w:tcPr>
          <w:p w:rsidR="00F3177F" w:rsidRDefault="0089671D">
            <w:pPr>
              <w:pStyle w:val="TableParagraph"/>
              <w:spacing w:before="84"/>
              <w:ind w:right="55"/>
              <w:jc w:val="right"/>
              <w:rPr>
                <w:sz w:val="12"/>
              </w:rPr>
            </w:pPr>
            <w:r>
              <w:rPr>
                <w:sz w:val="18"/>
              </w:rPr>
              <w:t>71.910</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.834</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5.017</w:t>
            </w:r>
          </w:p>
        </w:tc>
        <w:tc>
          <w:tcPr>
            <w:tcW w:w="720" w:type="dxa"/>
          </w:tcPr>
          <w:p w:rsidR="00F3177F" w:rsidRDefault="0089671D">
            <w:pPr>
              <w:pStyle w:val="TableParagraph"/>
              <w:spacing w:before="84"/>
              <w:ind w:right="55"/>
              <w:jc w:val="right"/>
              <w:rPr>
                <w:sz w:val="12"/>
              </w:rPr>
            </w:pPr>
            <w:r>
              <w:rPr>
                <w:sz w:val="18"/>
              </w:rPr>
              <w:t>71.910</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.834</w:t>
            </w:r>
          </w:p>
        </w:tc>
      </w:tr>
      <w:tr w:rsidR="00F3177F">
        <w:trPr>
          <w:trHeight w:hRule="exact" w:val="331"/>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6"/>
              </w:rPr>
            </w:pPr>
          </w:p>
          <w:p w:rsidR="00F3177F" w:rsidRDefault="0089671D">
            <w:pPr>
              <w:pStyle w:val="TableParagraph"/>
              <w:spacing w:before="1"/>
              <w:ind w:left="91" w:right="43"/>
              <w:rPr>
                <w:sz w:val="18"/>
              </w:rPr>
            </w:pPr>
            <w:r>
              <w:rPr>
                <w:sz w:val="18"/>
              </w:rPr>
              <w:t>Student Density</w:t>
            </w:r>
          </w:p>
        </w:tc>
        <w:tc>
          <w:tcPr>
            <w:tcW w:w="1709" w:type="dxa"/>
          </w:tcPr>
          <w:p w:rsidR="00F3177F" w:rsidRDefault="0089671D">
            <w:pPr>
              <w:pStyle w:val="TableParagraph"/>
              <w:spacing w:before="108"/>
              <w:ind w:left="60"/>
              <w:rPr>
                <w:sz w:val="18"/>
              </w:rPr>
            </w:pPr>
            <w:r>
              <w:rPr>
                <w:sz w:val="18"/>
              </w:rPr>
              <w:t>Pillai's Trace</w:t>
            </w:r>
          </w:p>
        </w:tc>
        <w:tc>
          <w:tcPr>
            <w:tcW w:w="720" w:type="dxa"/>
          </w:tcPr>
          <w:p w:rsidR="00F3177F" w:rsidRDefault="0089671D">
            <w:pPr>
              <w:pStyle w:val="TableParagraph"/>
              <w:spacing w:before="108"/>
              <w:ind w:right="57"/>
              <w:jc w:val="right"/>
              <w:rPr>
                <w:sz w:val="18"/>
              </w:rPr>
            </w:pPr>
            <w:r>
              <w:rPr>
                <w:sz w:val="18"/>
              </w:rPr>
              <w:t>.488</w:t>
            </w:r>
          </w:p>
        </w:tc>
        <w:tc>
          <w:tcPr>
            <w:tcW w:w="720" w:type="dxa"/>
          </w:tcPr>
          <w:p w:rsidR="00F3177F" w:rsidRDefault="0089671D">
            <w:pPr>
              <w:pStyle w:val="TableParagraph"/>
              <w:spacing w:before="84"/>
              <w:ind w:right="55"/>
              <w:jc w:val="right"/>
              <w:rPr>
                <w:sz w:val="12"/>
              </w:rPr>
            </w:pPr>
            <w:r>
              <w:rPr>
                <w:sz w:val="18"/>
              </w:rPr>
              <w:t>13.689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.488</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.512</w:t>
            </w:r>
          </w:p>
        </w:tc>
        <w:tc>
          <w:tcPr>
            <w:tcW w:w="720" w:type="dxa"/>
          </w:tcPr>
          <w:p w:rsidR="00F3177F" w:rsidRDefault="0089671D">
            <w:pPr>
              <w:pStyle w:val="TableParagraph"/>
              <w:spacing w:before="84"/>
              <w:ind w:right="55"/>
              <w:jc w:val="right"/>
              <w:rPr>
                <w:sz w:val="12"/>
              </w:rPr>
            </w:pPr>
            <w:r>
              <w:rPr>
                <w:sz w:val="18"/>
              </w:rPr>
              <w:t>13.689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.488</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Hotelling's Trace</w:t>
            </w:r>
          </w:p>
        </w:tc>
        <w:tc>
          <w:tcPr>
            <w:tcW w:w="720" w:type="dxa"/>
          </w:tcPr>
          <w:p w:rsidR="00F3177F" w:rsidRDefault="0089671D">
            <w:pPr>
              <w:pStyle w:val="TableParagraph"/>
              <w:spacing w:before="108"/>
              <w:ind w:right="57"/>
              <w:jc w:val="right"/>
              <w:rPr>
                <w:sz w:val="18"/>
              </w:rPr>
            </w:pPr>
            <w:r>
              <w:rPr>
                <w:sz w:val="18"/>
              </w:rPr>
              <w:t>.955</w:t>
            </w:r>
          </w:p>
        </w:tc>
        <w:tc>
          <w:tcPr>
            <w:tcW w:w="720" w:type="dxa"/>
          </w:tcPr>
          <w:p w:rsidR="00F3177F" w:rsidRDefault="0089671D">
            <w:pPr>
              <w:pStyle w:val="TableParagraph"/>
              <w:spacing w:before="84"/>
              <w:ind w:right="55"/>
              <w:jc w:val="right"/>
              <w:rPr>
                <w:sz w:val="12"/>
              </w:rPr>
            </w:pPr>
            <w:r>
              <w:rPr>
                <w:sz w:val="18"/>
              </w:rPr>
              <w:t>13.689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.488</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.955</w:t>
            </w:r>
          </w:p>
        </w:tc>
        <w:tc>
          <w:tcPr>
            <w:tcW w:w="720" w:type="dxa"/>
          </w:tcPr>
          <w:p w:rsidR="00F3177F" w:rsidRDefault="0089671D">
            <w:pPr>
              <w:pStyle w:val="TableParagraph"/>
              <w:spacing w:before="84"/>
              <w:ind w:right="55"/>
              <w:jc w:val="right"/>
              <w:rPr>
                <w:sz w:val="12"/>
              </w:rPr>
            </w:pPr>
            <w:r>
              <w:rPr>
                <w:sz w:val="18"/>
              </w:rPr>
              <w:t>13.689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.488</w:t>
            </w:r>
          </w:p>
        </w:tc>
      </w:tr>
      <w:tr w:rsidR="00F3177F">
        <w:trPr>
          <w:trHeight w:hRule="exact" w:val="331"/>
        </w:trPr>
        <w:tc>
          <w:tcPr>
            <w:tcW w:w="1351" w:type="dxa"/>
            <w:vMerge w:val="restart"/>
          </w:tcPr>
          <w:p w:rsidR="00F3177F" w:rsidRDefault="00F3177F">
            <w:pPr>
              <w:pStyle w:val="TableParagraph"/>
              <w:spacing w:before="7"/>
              <w:rPr>
                <w:sz w:val="24"/>
              </w:rPr>
            </w:pPr>
          </w:p>
          <w:p w:rsidR="00F3177F" w:rsidRDefault="0089671D">
            <w:pPr>
              <w:pStyle w:val="TableParagraph"/>
              <w:spacing w:line="372" w:lineRule="auto"/>
              <w:ind w:left="81" w:right="81" w:firstLine="1"/>
              <w:jc w:val="center"/>
              <w:rPr>
                <w:sz w:val="18"/>
              </w:rPr>
            </w:pPr>
            <w:r>
              <w:rPr>
                <w:sz w:val="18"/>
              </w:rPr>
              <w:t>Number of School Building Floors</w:t>
            </w:r>
          </w:p>
        </w:tc>
        <w:tc>
          <w:tcPr>
            <w:tcW w:w="1709" w:type="dxa"/>
          </w:tcPr>
          <w:p w:rsidR="00F3177F" w:rsidRDefault="0089671D">
            <w:pPr>
              <w:pStyle w:val="TableParagraph"/>
              <w:spacing w:before="108"/>
              <w:ind w:left="60"/>
              <w:rPr>
                <w:sz w:val="18"/>
              </w:rPr>
            </w:pPr>
            <w:r>
              <w:rPr>
                <w:sz w:val="18"/>
              </w:rPr>
              <w:t>Pillai's Trace</w:t>
            </w:r>
          </w:p>
        </w:tc>
        <w:tc>
          <w:tcPr>
            <w:tcW w:w="720" w:type="dxa"/>
          </w:tcPr>
          <w:p w:rsidR="00F3177F" w:rsidRDefault="0089671D">
            <w:pPr>
              <w:pStyle w:val="TableParagraph"/>
              <w:spacing w:before="108"/>
              <w:ind w:right="57"/>
              <w:jc w:val="right"/>
              <w:rPr>
                <w:sz w:val="18"/>
              </w:rPr>
            </w:pPr>
            <w:r>
              <w:rPr>
                <w:sz w:val="18"/>
              </w:rPr>
              <w:t>.177</w:t>
            </w:r>
          </w:p>
        </w:tc>
        <w:tc>
          <w:tcPr>
            <w:tcW w:w="720" w:type="dxa"/>
          </w:tcPr>
          <w:p w:rsidR="00F3177F" w:rsidRDefault="0089671D">
            <w:pPr>
              <w:pStyle w:val="TableParagraph"/>
              <w:spacing w:before="108"/>
              <w:ind w:right="57"/>
              <w:jc w:val="right"/>
              <w:rPr>
                <w:sz w:val="18"/>
              </w:rPr>
            </w:pPr>
            <w:r>
              <w:rPr>
                <w:sz w:val="18"/>
              </w:rPr>
              <w:t>1.428</w:t>
            </w:r>
          </w:p>
        </w:tc>
        <w:tc>
          <w:tcPr>
            <w:tcW w:w="991" w:type="dxa"/>
          </w:tcPr>
          <w:p w:rsidR="00F3177F" w:rsidRDefault="0089671D">
            <w:pPr>
              <w:pStyle w:val="TableParagraph"/>
              <w:spacing w:before="108"/>
              <w:ind w:right="59"/>
              <w:jc w:val="right"/>
              <w:rPr>
                <w:sz w:val="18"/>
              </w:rPr>
            </w:pPr>
            <w:r>
              <w:rPr>
                <w:sz w:val="18"/>
              </w:rPr>
              <w:t>6.000</w:t>
            </w:r>
          </w:p>
        </w:tc>
        <w:tc>
          <w:tcPr>
            <w:tcW w:w="809" w:type="dxa"/>
          </w:tcPr>
          <w:p w:rsidR="00F3177F" w:rsidRDefault="0089671D">
            <w:pPr>
              <w:pStyle w:val="TableParagraph"/>
              <w:spacing w:before="108"/>
              <w:ind w:right="57"/>
              <w:jc w:val="right"/>
              <w:rPr>
                <w:sz w:val="18"/>
              </w:rPr>
            </w:pPr>
            <w:r>
              <w:rPr>
                <w:sz w:val="18"/>
              </w:rPr>
              <w:t>88.000</w:t>
            </w:r>
          </w:p>
        </w:tc>
        <w:tc>
          <w:tcPr>
            <w:tcW w:w="632" w:type="dxa"/>
          </w:tcPr>
          <w:p w:rsidR="00F3177F" w:rsidRDefault="0089671D">
            <w:pPr>
              <w:pStyle w:val="TableParagraph"/>
              <w:spacing w:before="108"/>
              <w:ind w:right="60"/>
              <w:jc w:val="right"/>
              <w:rPr>
                <w:sz w:val="18"/>
              </w:rPr>
            </w:pPr>
            <w:r>
              <w:rPr>
                <w:sz w:val="18"/>
              </w:rPr>
              <w:t>.213</w:t>
            </w:r>
          </w:p>
        </w:tc>
        <w:tc>
          <w:tcPr>
            <w:tcW w:w="1529" w:type="dxa"/>
          </w:tcPr>
          <w:p w:rsidR="00F3177F" w:rsidRDefault="0089671D">
            <w:pPr>
              <w:pStyle w:val="TableParagraph"/>
              <w:spacing w:before="108"/>
              <w:ind w:right="57"/>
              <w:jc w:val="right"/>
              <w:rPr>
                <w:sz w:val="18"/>
              </w:rPr>
            </w:pPr>
            <w:r>
              <w:rPr>
                <w:sz w:val="18"/>
              </w:rPr>
              <w:t>.089</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.823</w:t>
            </w:r>
          </w:p>
        </w:tc>
        <w:tc>
          <w:tcPr>
            <w:tcW w:w="720" w:type="dxa"/>
          </w:tcPr>
          <w:p w:rsidR="00F3177F" w:rsidRDefault="0089671D">
            <w:pPr>
              <w:pStyle w:val="TableParagraph"/>
              <w:spacing w:before="84"/>
              <w:ind w:right="55"/>
              <w:jc w:val="right"/>
              <w:rPr>
                <w:sz w:val="12"/>
              </w:rPr>
            </w:pPr>
            <w:r>
              <w:rPr>
                <w:sz w:val="18"/>
              </w:rPr>
              <w:t>1.467</w:t>
            </w:r>
            <w:r>
              <w:rPr>
                <w:position w:val="8"/>
                <w:sz w:val="12"/>
              </w:rPr>
              <w:t>b</w:t>
            </w:r>
          </w:p>
        </w:tc>
        <w:tc>
          <w:tcPr>
            <w:tcW w:w="991" w:type="dxa"/>
          </w:tcPr>
          <w:p w:rsidR="00F3177F" w:rsidRDefault="0089671D">
            <w:pPr>
              <w:pStyle w:val="TableParagraph"/>
              <w:spacing w:before="108"/>
              <w:ind w:right="59"/>
              <w:jc w:val="right"/>
              <w:rPr>
                <w:sz w:val="18"/>
              </w:rPr>
            </w:pPr>
            <w:r>
              <w:rPr>
                <w:sz w:val="18"/>
              </w:rPr>
              <w:t>6.000</w:t>
            </w:r>
          </w:p>
        </w:tc>
        <w:tc>
          <w:tcPr>
            <w:tcW w:w="809" w:type="dxa"/>
          </w:tcPr>
          <w:p w:rsidR="00F3177F" w:rsidRDefault="0089671D">
            <w:pPr>
              <w:pStyle w:val="TableParagraph"/>
              <w:spacing w:before="108"/>
              <w:ind w:right="57"/>
              <w:jc w:val="right"/>
              <w:rPr>
                <w:sz w:val="18"/>
              </w:rPr>
            </w:pPr>
            <w:r>
              <w:rPr>
                <w:sz w:val="18"/>
              </w:rPr>
              <w:t>86.000</w:t>
            </w:r>
          </w:p>
        </w:tc>
        <w:tc>
          <w:tcPr>
            <w:tcW w:w="632" w:type="dxa"/>
          </w:tcPr>
          <w:p w:rsidR="00F3177F" w:rsidRDefault="0089671D">
            <w:pPr>
              <w:pStyle w:val="TableParagraph"/>
              <w:spacing w:before="108"/>
              <w:ind w:right="60"/>
              <w:jc w:val="right"/>
              <w:rPr>
                <w:sz w:val="18"/>
              </w:rPr>
            </w:pPr>
            <w:r>
              <w:rPr>
                <w:sz w:val="18"/>
              </w:rPr>
              <w:t>.199</w:t>
            </w:r>
          </w:p>
        </w:tc>
        <w:tc>
          <w:tcPr>
            <w:tcW w:w="1529" w:type="dxa"/>
          </w:tcPr>
          <w:p w:rsidR="00F3177F" w:rsidRDefault="0089671D">
            <w:pPr>
              <w:pStyle w:val="TableParagraph"/>
              <w:spacing w:before="108"/>
              <w:ind w:right="57"/>
              <w:jc w:val="right"/>
              <w:rPr>
                <w:sz w:val="18"/>
              </w:rPr>
            </w:pPr>
            <w:r>
              <w:rPr>
                <w:sz w:val="18"/>
              </w:rPr>
              <w:t>.093</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Hotelling's Trace</w:t>
            </w:r>
          </w:p>
        </w:tc>
        <w:tc>
          <w:tcPr>
            <w:tcW w:w="720" w:type="dxa"/>
          </w:tcPr>
          <w:p w:rsidR="00F3177F" w:rsidRDefault="0089671D">
            <w:pPr>
              <w:pStyle w:val="TableParagraph"/>
              <w:spacing w:before="108"/>
              <w:ind w:right="57"/>
              <w:jc w:val="right"/>
              <w:rPr>
                <w:sz w:val="18"/>
              </w:rPr>
            </w:pPr>
            <w:r>
              <w:rPr>
                <w:sz w:val="18"/>
              </w:rPr>
              <w:t>.215</w:t>
            </w:r>
          </w:p>
        </w:tc>
        <w:tc>
          <w:tcPr>
            <w:tcW w:w="720" w:type="dxa"/>
          </w:tcPr>
          <w:p w:rsidR="00F3177F" w:rsidRDefault="0089671D">
            <w:pPr>
              <w:pStyle w:val="TableParagraph"/>
              <w:spacing w:before="108"/>
              <w:ind w:right="57"/>
              <w:jc w:val="right"/>
              <w:rPr>
                <w:sz w:val="18"/>
              </w:rPr>
            </w:pPr>
            <w:r>
              <w:rPr>
                <w:sz w:val="18"/>
              </w:rPr>
              <w:t>1.502</w:t>
            </w:r>
          </w:p>
        </w:tc>
        <w:tc>
          <w:tcPr>
            <w:tcW w:w="991" w:type="dxa"/>
          </w:tcPr>
          <w:p w:rsidR="00F3177F" w:rsidRDefault="0089671D">
            <w:pPr>
              <w:pStyle w:val="TableParagraph"/>
              <w:spacing w:before="108"/>
              <w:ind w:right="59"/>
              <w:jc w:val="right"/>
              <w:rPr>
                <w:sz w:val="18"/>
              </w:rPr>
            </w:pPr>
            <w:r>
              <w:rPr>
                <w:sz w:val="18"/>
              </w:rPr>
              <w:t>6.000</w:t>
            </w:r>
          </w:p>
        </w:tc>
        <w:tc>
          <w:tcPr>
            <w:tcW w:w="809" w:type="dxa"/>
          </w:tcPr>
          <w:p w:rsidR="00F3177F" w:rsidRDefault="0089671D">
            <w:pPr>
              <w:pStyle w:val="TableParagraph"/>
              <w:spacing w:before="108"/>
              <w:ind w:right="57"/>
              <w:jc w:val="right"/>
              <w:rPr>
                <w:sz w:val="18"/>
              </w:rPr>
            </w:pPr>
            <w:r>
              <w:rPr>
                <w:sz w:val="18"/>
              </w:rPr>
              <w:t>84.000</w:t>
            </w:r>
          </w:p>
        </w:tc>
        <w:tc>
          <w:tcPr>
            <w:tcW w:w="632" w:type="dxa"/>
          </w:tcPr>
          <w:p w:rsidR="00F3177F" w:rsidRDefault="0089671D">
            <w:pPr>
              <w:pStyle w:val="TableParagraph"/>
              <w:spacing w:before="108"/>
              <w:ind w:right="60"/>
              <w:jc w:val="right"/>
              <w:rPr>
                <w:sz w:val="18"/>
              </w:rPr>
            </w:pPr>
            <w:r>
              <w:rPr>
                <w:sz w:val="18"/>
              </w:rPr>
              <w:t>.187</w:t>
            </w:r>
          </w:p>
        </w:tc>
        <w:tc>
          <w:tcPr>
            <w:tcW w:w="1529" w:type="dxa"/>
          </w:tcPr>
          <w:p w:rsidR="00F3177F" w:rsidRDefault="0089671D">
            <w:pPr>
              <w:pStyle w:val="TableParagraph"/>
              <w:spacing w:before="108"/>
              <w:ind w:right="57"/>
              <w:jc w:val="right"/>
              <w:rPr>
                <w:sz w:val="18"/>
              </w:rPr>
            </w:pPr>
            <w:r>
              <w:rPr>
                <w:sz w:val="18"/>
              </w:rPr>
              <w:t>.097</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.212</w:t>
            </w:r>
          </w:p>
        </w:tc>
        <w:tc>
          <w:tcPr>
            <w:tcW w:w="720" w:type="dxa"/>
          </w:tcPr>
          <w:p w:rsidR="00F3177F" w:rsidRDefault="0089671D">
            <w:pPr>
              <w:pStyle w:val="TableParagraph"/>
              <w:spacing w:before="84"/>
              <w:ind w:right="55"/>
              <w:jc w:val="right"/>
              <w:rPr>
                <w:sz w:val="12"/>
              </w:rPr>
            </w:pPr>
            <w:r>
              <w:rPr>
                <w:sz w:val="18"/>
              </w:rPr>
              <w:t>3.115</w:t>
            </w:r>
            <w:r>
              <w:rPr>
                <w:position w:val="8"/>
                <w:sz w:val="12"/>
              </w:rPr>
              <w:t>c</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44.000</w:t>
            </w:r>
          </w:p>
        </w:tc>
        <w:tc>
          <w:tcPr>
            <w:tcW w:w="632" w:type="dxa"/>
          </w:tcPr>
          <w:p w:rsidR="00F3177F" w:rsidRDefault="0089671D">
            <w:pPr>
              <w:pStyle w:val="TableParagraph"/>
              <w:spacing w:before="108"/>
              <w:ind w:right="60"/>
              <w:jc w:val="right"/>
              <w:rPr>
                <w:sz w:val="18"/>
              </w:rPr>
            </w:pPr>
            <w:r>
              <w:rPr>
                <w:sz w:val="18"/>
              </w:rPr>
              <w:t>.036</w:t>
            </w:r>
          </w:p>
        </w:tc>
        <w:tc>
          <w:tcPr>
            <w:tcW w:w="1529" w:type="dxa"/>
          </w:tcPr>
          <w:p w:rsidR="00F3177F" w:rsidRDefault="0089671D">
            <w:pPr>
              <w:pStyle w:val="TableParagraph"/>
              <w:spacing w:before="108"/>
              <w:ind w:right="57"/>
              <w:jc w:val="right"/>
              <w:rPr>
                <w:sz w:val="18"/>
              </w:rPr>
            </w:pPr>
            <w:r>
              <w:rPr>
                <w:sz w:val="18"/>
              </w:rPr>
              <w:t>.175</w:t>
            </w:r>
          </w:p>
        </w:tc>
      </w:tr>
      <w:tr w:rsidR="00F3177F">
        <w:trPr>
          <w:trHeight w:hRule="exact" w:val="331"/>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6"/>
              </w:rPr>
            </w:pPr>
          </w:p>
          <w:p w:rsidR="00F3177F" w:rsidRDefault="0089671D">
            <w:pPr>
              <w:pStyle w:val="TableParagraph"/>
              <w:spacing w:before="1"/>
              <w:ind w:left="261" w:right="43"/>
              <w:rPr>
                <w:sz w:val="18"/>
              </w:rPr>
            </w:pPr>
            <w:r>
              <w:rPr>
                <w:sz w:val="18"/>
              </w:rPr>
              <w:t>Study Shift</w:t>
            </w:r>
          </w:p>
        </w:tc>
        <w:tc>
          <w:tcPr>
            <w:tcW w:w="1709" w:type="dxa"/>
          </w:tcPr>
          <w:p w:rsidR="00F3177F" w:rsidRDefault="0089671D">
            <w:pPr>
              <w:pStyle w:val="TableParagraph"/>
              <w:spacing w:before="108"/>
              <w:ind w:left="60"/>
              <w:rPr>
                <w:sz w:val="18"/>
              </w:rPr>
            </w:pPr>
            <w:r>
              <w:rPr>
                <w:sz w:val="18"/>
              </w:rPr>
              <w:t>Pillai's Trace</w:t>
            </w:r>
          </w:p>
        </w:tc>
        <w:tc>
          <w:tcPr>
            <w:tcW w:w="720" w:type="dxa"/>
          </w:tcPr>
          <w:p w:rsidR="00F3177F" w:rsidRDefault="0089671D">
            <w:pPr>
              <w:pStyle w:val="TableParagraph"/>
              <w:spacing w:before="108"/>
              <w:ind w:right="57"/>
              <w:jc w:val="right"/>
              <w:rPr>
                <w:sz w:val="18"/>
              </w:rPr>
            </w:pPr>
            <w:r>
              <w:rPr>
                <w:sz w:val="18"/>
              </w:rPr>
              <w:t>.374</w:t>
            </w:r>
          </w:p>
        </w:tc>
        <w:tc>
          <w:tcPr>
            <w:tcW w:w="720" w:type="dxa"/>
          </w:tcPr>
          <w:p w:rsidR="00F3177F" w:rsidRDefault="0089671D">
            <w:pPr>
              <w:pStyle w:val="TableParagraph"/>
              <w:spacing w:before="84"/>
              <w:ind w:right="55"/>
              <w:jc w:val="right"/>
              <w:rPr>
                <w:sz w:val="12"/>
              </w:rPr>
            </w:pPr>
            <w:r>
              <w:rPr>
                <w:sz w:val="18"/>
              </w:rPr>
              <w:t>8.573</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.374</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.626</w:t>
            </w:r>
          </w:p>
        </w:tc>
        <w:tc>
          <w:tcPr>
            <w:tcW w:w="720" w:type="dxa"/>
          </w:tcPr>
          <w:p w:rsidR="00F3177F" w:rsidRDefault="0089671D">
            <w:pPr>
              <w:pStyle w:val="TableParagraph"/>
              <w:spacing w:before="84"/>
              <w:ind w:right="55"/>
              <w:jc w:val="right"/>
              <w:rPr>
                <w:sz w:val="12"/>
              </w:rPr>
            </w:pPr>
            <w:r>
              <w:rPr>
                <w:sz w:val="18"/>
              </w:rPr>
              <w:t>8.573</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.374</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Hotelling's Trace</w:t>
            </w:r>
          </w:p>
        </w:tc>
        <w:tc>
          <w:tcPr>
            <w:tcW w:w="720" w:type="dxa"/>
          </w:tcPr>
          <w:p w:rsidR="00F3177F" w:rsidRDefault="0089671D">
            <w:pPr>
              <w:pStyle w:val="TableParagraph"/>
              <w:spacing w:before="108"/>
              <w:ind w:right="57"/>
              <w:jc w:val="right"/>
              <w:rPr>
                <w:sz w:val="18"/>
              </w:rPr>
            </w:pPr>
            <w:r>
              <w:rPr>
                <w:sz w:val="18"/>
              </w:rPr>
              <w:t>.598</w:t>
            </w:r>
          </w:p>
        </w:tc>
        <w:tc>
          <w:tcPr>
            <w:tcW w:w="720" w:type="dxa"/>
          </w:tcPr>
          <w:p w:rsidR="00F3177F" w:rsidRDefault="0089671D">
            <w:pPr>
              <w:pStyle w:val="TableParagraph"/>
              <w:spacing w:before="84"/>
              <w:ind w:right="55"/>
              <w:jc w:val="right"/>
              <w:rPr>
                <w:sz w:val="12"/>
              </w:rPr>
            </w:pPr>
            <w:r>
              <w:rPr>
                <w:sz w:val="18"/>
              </w:rPr>
              <w:t>8.573</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.374</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.598</w:t>
            </w:r>
          </w:p>
        </w:tc>
        <w:tc>
          <w:tcPr>
            <w:tcW w:w="720" w:type="dxa"/>
          </w:tcPr>
          <w:p w:rsidR="00F3177F" w:rsidRDefault="0089671D">
            <w:pPr>
              <w:pStyle w:val="TableParagraph"/>
              <w:spacing w:before="84"/>
              <w:ind w:right="55"/>
              <w:jc w:val="right"/>
              <w:rPr>
                <w:sz w:val="12"/>
              </w:rPr>
            </w:pPr>
            <w:r>
              <w:rPr>
                <w:sz w:val="18"/>
              </w:rPr>
              <w:t>8.573</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.000</w:t>
            </w:r>
          </w:p>
        </w:tc>
        <w:tc>
          <w:tcPr>
            <w:tcW w:w="1529" w:type="dxa"/>
          </w:tcPr>
          <w:p w:rsidR="00F3177F" w:rsidRDefault="0089671D">
            <w:pPr>
              <w:pStyle w:val="TableParagraph"/>
              <w:spacing w:before="108"/>
              <w:ind w:right="57"/>
              <w:jc w:val="right"/>
              <w:rPr>
                <w:sz w:val="18"/>
              </w:rPr>
            </w:pPr>
            <w:r>
              <w:rPr>
                <w:sz w:val="18"/>
              </w:rPr>
              <w:t>.374</w:t>
            </w:r>
          </w:p>
        </w:tc>
      </w:tr>
      <w:tr w:rsidR="00F3177F">
        <w:trPr>
          <w:trHeight w:hRule="exact" w:val="331"/>
        </w:trPr>
        <w:tc>
          <w:tcPr>
            <w:tcW w:w="1351" w:type="dxa"/>
            <w:vMerge w:val="restart"/>
          </w:tcPr>
          <w:p w:rsidR="00F3177F" w:rsidRDefault="0089671D">
            <w:pPr>
              <w:pStyle w:val="TableParagraph"/>
              <w:spacing w:before="124"/>
              <w:ind w:left="73" w:right="73"/>
              <w:jc w:val="center"/>
              <w:rPr>
                <w:sz w:val="18"/>
              </w:rPr>
            </w:pPr>
            <w:r>
              <w:rPr>
                <w:sz w:val="18"/>
              </w:rPr>
              <w:t>Student Density</w:t>
            </w:r>
          </w:p>
          <w:p w:rsidR="00F3177F" w:rsidRDefault="0089671D">
            <w:pPr>
              <w:pStyle w:val="TableParagraph"/>
              <w:spacing w:before="112" w:line="372" w:lineRule="auto"/>
              <w:ind w:left="81" w:right="81" w:firstLine="1"/>
              <w:jc w:val="center"/>
              <w:rPr>
                <w:sz w:val="18"/>
              </w:rPr>
            </w:pPr>
            <w:r>
              <w:rPr>
                <w:sz w:val="18"/>
              </w:rPr>
              <w:t>* Number of School Building</w:t>
            </w:r>
          </w:p>
          <w:p w:rsidR="00F3177F" w:rsidRDefault="0089671D">
            <w:pPr>
              <w:pStyle w:val="TableParagraph"/>
              <w:spacing w:before="5"/>
              <w:ind w:left="73" w:right="73"/>
              <w:jc w:val="center"/>
              <w:rPr>
                <w:sz w:val="18"/>
              </w:rPr>
            </w:pPr>
            <w:r>
              <w:rPr>
                <w:sz w:val="18"/>
              </w:rPr>
              <w:t>Floors</w:t>
            </w:r>
          </w:p>
        </w:tc>
        <w:tc>
          <w:tcPr>
            <w:tcW w:w="1709" w:type="dxa"/>
          </w:tcPr>
          <w:p w:rsidR="00F3177F" w:rsidRDefault="0089671D">
            <w:pPr>
              <w:pStyle w:val="TableParagraph"/>
              <w:spacing w:before="108"/>
              <w:ind w:left="60"/>
              <w:rPr>
                <w:sz w:val="18"/>
              </w:rPr>
            </w:pPr>
            <w:r>
              <w:rPr>
                <w:sz w:val="18"/>
              </w:rPr>
              <w:t>Pillai's Trace</w:t>
            </w:r>
          </w:p>
        </w:tc>
        <w:tc>
          <w:tcPr>
            <w:tcW w:w="720" w:type="dxa"/>
          </w:tcPr>
          <w:p w:rsidR="00F3177F" w:rsidRDefault="0089671D">
            <w:pPr>
              <w:pStyle w:val="TableParagraph"/>
              <w:spacing w:before="108"/>
              <w:ind w:right="57"/>
              <w:jc w:val="right"/>
              <w:rPr>
                <w:sz w:val="18"/>
              </w:rPr>
            </w:pPr>
            <w:r>
              <w:rPr>
                <w:sz w:val="18"/>
              </w:rPr>
              <w:t>.011</w:t>
            </w:r>
          </w:p>
        </w:tc>
        <w:tc>
          <w:tcPr>
            <w:tcW w:w="720" w:type="dxa"/>
          </w:tcPr>
          <w:p w:rsidR="00F3177F" w:rsidRDefault="0089671D">
            <w:pPr>
              <w:pStyle w:val="TableParagraph"/>
              <w:spacing w:before="84"/>
              <w:ind w:right="55"/>
              <w:jc w:val="right"/>
              <w:rPr>
                <w:sz w:val="12"/>
              </w:rPr>
            </w:pPr>
            <w:r>
              <w:rPr>
                <w:sz w:val="18"/>
              </w:rPr>
              <w:t>.159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.924</w:t>
            </w:r>
          </w:p>
        </w:tc>
        <w:tc>
          <w:tcPr>
            <w:tcW w:w="1529" w:type="dxa"/>
          </w:tcPr>
          <w:p w:rsidR="00F3177F" w:rsidRDefault="0089671D">
            <w:pPr>
              <w:pStyle w:val="TableParagraph"/>
              <w:spacing w:before="108"/>
              <w:ind w:right="57"/>
              <w:jc w:val="right"/>
              <w:rPr>
                <w:sz w:val="18"/>
              </w:rPr>
            </w:pPr>
            <w:r>
              <w:rPr>
                <w:sz w:val="18"/>
              </w:rPr>
              <w:t>.011</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.989</w:t>
            </w:r>
          </w:p>
        </w:tc>
        <w:tc>
          <w:tcPr>
            <w:tcW w:w="720" w:type="dxa"/>
          </w:tcPr>
          <w:p w:rsidR="00F3177F" w:rsidRDefault="0089671D">
            <w:pPr>
              <w:pStyle w:val="TableParagraph"/>
              <w:spacing w:before="84"/>
              <w:ind w:right="55"/>
              <w:jc w:val="right"/>
              <w:rPr>
                <w:sz w:val="12"/>
              </w:rPr>
            </w:pPr>
            <w:r>
              <w:rPr>
                <w:sz w:val="18"/>
              </w:rPr>
              <w:t>.159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.924</w:t>
            </w:r>
          </w:p>
        </w:tc>
        <w:tc>
          <w:tcPr>
            <w:tcW w:w="1529" w:type="dxa"/>
          </w:tcPr>
          <w:p w:rsidR="00F3177F" w:rsidRDefault="0089671D">
            <w:pPr>
              <w:pStyle w:val="TableParagraph"/>
              <w:spacing w:before="108"/>
              <w:ind w:right="57"/>
              <w:jc w:val="right"/>
              <w:rPr>
                <w:sz w:val="18"/>
              </w:rPr>
            </w:pPr>
            <w:r>
              <w:rPr>
                <w:sz w:val="18"/>
              </w:rPr>
              <w:t>.011</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Hotelling's Trace</w:t>
            </w:r>
          </w:p>
        </w:tc>
        <w:tc>
          <w:tcPr>
            <w:tcW w:w="720" w:type="dxa"/>
          </w:tcPr>
          <w:p w:rsidR="00F3177F" w:rsidRDefault="0089671D">
            <w:pPr>
              <w:pStyle w:val="TableParagraph"/>
              <w:spacing w:before="108"/>
              <w:ind w:right="57"/>
              <w:jc w:val="right"/>
              <w:rPr>
                <w:sz w:val="18"/>
              </w:rPr>
            </w:pPr>
            <w:r>
              <w:rPr>
                <w:sz w:val="18"/>
              </w:rPr>
              <w:t>.011</w:t>
            </w:r>
          </w:p>
        </w:tc>
        <w:tc>
          <w:tcPr>
            <w:tcW w:w="720" w:type="dxa"/>
          </w:tcPr>
          <w:p w:rsidR="00F3177F" w:rsidRDefault="0089671D">
            <w:pPr>
              <w:pStyle w:val="TableParagraph"/>
              <w:spacing w:before="84"/>
              <w:ind w:right="55"/>
              <w:jc w:val="right"/>
              <w:rPr>
                <w:sz w:val="12"/>
              </w:rPr>
            </w:pPr>
            <w:r>
              <w:rPr>
                <w:sz w:val="18"/>
              </w:rPr>
              <w:t>.159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.924</w:t>
            </w:r>
          </w:p>
        </w:tc>
        <w:tc>
          <w:tcPr>
            <w:tcW w:w="1529" w:type="dxa"/>
          </w:tcPr>
          <w:p w:rsidR="00F3177F" w:rsidRDefault="0089671D">
            <w:pPr>
              <w:pStyle w:val="TableParagraph"/>
              <w:spacing w:before="108"/>
              <w:ind w:right="57"/>
              <w:jc w:val="right"/>
              <w:rPr>
                <w:sz w:val="18"/>
              </w:rPr>
            </w:pPr>
            <w:r>
              <w:rPr>
                <w:sz w:val="18"/>
              </w:rPr>
              <w:t>.011</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.011</w:t>
            </w:r>
          </w:p>
        </w:tc>
        <w:tc>
          <w:tcPr>
            <w:tcW w:w="720" w:type="dxa"/>
          </w:tcPr>
          <w:p w:rsidR="00F3177F" w:rsidRDefault="0089671D">
            <w:pPr>
              <w:pStyle w:val="TableParagraph"/>
              <w:spacing w:before="84"/>
              <w:ind w:right="55"/>
              <w:jc w:val="right"/>
              <w:rPr>
                <w:sz w:val="12"/>
              </w:rPr>
            </w:pPr>
            <w:r>
              <w:rPr>
                <w:sz w:val="18"/>
              </w:rPr>
              <w:t>.159</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.924</w:t>
            </w:r>
          </w:p>
        </w:tc>
        <w:tc>
          <w:tcPr>
            <w:tcW w:w="1529" w:type="dxa"/>
          </w:tcPr>
          <w:p w:rsidR="00F3177F" w:rsidRDefault="0089671D">
            <w:pPr>
              <w:pStyle w:val="TableParagraph"/>
              <w:spacing w:before="108"/>
              <w:ind w:right="57"/>
              <w:jc w:val="right"/>
              <w:rPr>
                <w:sz w:val="18"/>
              </w:rPr>
            </w:pPr>
            <w:r>
              <w:rPr>
                <w:sz w:val="18"/>
              </w:rPr>
              <w:t>.011</w:t>
            </w:r>
          </w:p>
        </w:tc>
      </w:tr>
    </w:tbl>
    <w:p w:rsidR="00F3177F" w:rsidRDefault="00F3177F">
      <w:pPr>
        <w:jc w:val="right"/>
        <w:rPr>
          <w:sz w:val="18"/>
        </w:rPr>
        <w:sectPr w:rsidR="00F3177F">
          <w:pgSz w:w="12240" w:h="15840"/>
          <w:pgMar w:top="1380" w:right="1320" w:bottom="2320" w:left="1720" w:header="0" w:footer="2072" w:gutter="0"/>
          <w:cols w:space="720"/>
        </w:sectPr>
      </w:pPr>
    </w:p>
    <w:p w:rsidR="00F3177F" w:rsidRDefault="0089671D">
      <w:pPr>
        <w:pStyle w:val="BodyText"/>
        <w:spacing w:before="62" w:after="6"/>
        <w:ind w:left="658" w:right="151"/>
      </w:pPr>
      <w:proofErr w:type="gramStart"/>
      <w:r>
        <w:lastRenderedPageBreak/>
        <w:t>Table  25</w:t>
      </w:r>
      <w:proofErr w:type="gramEnd"/>
      <w:r>
        <w:t>: Multivariate Tests</w:t>
      </w:r>
      <w:r>
        <w:rPr>
          <w:position w:val="11"/>
          <w:sz w:val="16"/>
        </w:rPr>
        <w:t xml:space="preserve">a </w:t>
      </w:r>
      <w:r>
        <w:t>for Hypothesis 1 (continued)</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709"/>
        <w:gridCol w:w="720"/>
        <w:gridCol w:w="720"/>
        <w:gridCol w:w="991"/>
        <w:gridCol w:w="809"/>
        <w:gridCol w:w="632"/>
        <w:gridCol w:w="1529"/>
      </w:tblGrid>
      <w:tr w:rsidR="00F3177F">
        <w:trPr>
          <w:trHeight w:hRule="exact" w:val="331"/>
        </w:trPr>
        <w:tc>
          <w:tcPr>
            <w:tcW w:w="1351" w:type="dxa"/>
            <w:vMerge w:val="restart"/>
          </w:tcPr>
          <w:p w:rsidR="00F3177F" w:rsidRDefault="00F3177F">
            <w:pPr>
              <w:pStyle w:val="TableParagraph"/>
              <w:rPr>
                <w:sz w:val="18"/>
              </w:rPr>
            </w:pPr>
          </w:p>
          <w:p w:rsidR="00F3177F" w:rsidRDefault="00F3177F">
            <w:pPr>
              <w:pStyle w:val="TableParagraph"/>
              <w:spacing w:before="7"/>
              <w:rPr>
                <w:sz w:val="20"/>
              </w:rPr>
            </w:pPr>
          </w:p>
          <w:p w:rsidR="00F3177F" w:rsidRDefault="0089671D">
            <w:pPr>
              <w:pStyle w:val="TableParagraph"/>
              <w:ind w:left="73" w:right="73"/>
              <w:jc w:val="center"/>
              <w:rPr>
                <w:sz w:val="18"/>
              </w:rPr>
            </w:pPr>
            <w:r>
              <w:rPr>
                <w:sz w:val="18"/>
              </w:rPr>
              <w:t>Student Density</w:t>
            </w:r>
          </w:p>
          <w:p w:rsidR="00F3177F" w:rsidRDefault="0089671D">
            <w:pPr>
              <w:pStyle w:val="TableParagraph"/>
              <w:spacing w:before="112"/>
              <w:ind w:left="69" w:right="73"/>
              <w:jc w:val="center"/>
              <w:rPr>
                <w:sz w:val="18"/>
              </w:rPr>
            </w:pPr>
            <w:r>
              <w:rPr>
                <w:sz w:val="18"/>
              </w:rPr>
              <w:t>* Study Shift</w:t>
            </w:r>
          </w:p>
        </w:tc>
        <w:tc>
          <w:tcPr>
            <w:tcW w:w="1709" w:type="dxa"/>
          </w:tcPr>
          <w:p w:rsidR="00F3177F" w:rsidRDefault="0089671D">
            <w:pPr>
              <w:pStyle w:val="TableParagraph"/>
              <w:spacing w:before="110"/>
              <w:ind w:left="60"/>
              <w:rPr>
                <w:sz w:val="18"/>
              </w:rPr>
            </w:pPr>
            <w:r>
              <w:rPr>
                <w:sz w:val="18"/>
              </w:rPr>
              <w:t>Pillai's Trace</w:t>
            </w:r>
          </w:p>
        </w:tc>
        <w:tc>
          <w:tcPr>
            <w:tcW w:w="720" w:type="dxa"/>
          </w:tcPr>
          <w:p w:rsidR="00F3177F" w:rsidRDefault="0089671D">
            <w:pPr>
              <w:pStyle w:val="TableParagraph"/>
              <w:spacing w:before="110"/>
              <w:ind w:right="57"/>
              <w:jc w:val="right"/>
              <w:rPr>
                <w:sz w:val="18"/>
              </w:rPr>
            </w:pPr>
            <w:r>
              <w:rPr>
                <w:sz w:val="18"/>
              </w:rPr>
              <w:t>.292</w:t>
            </w:r>
          </w:p>
        </w:tc>
        <w:tc>
          <w:tcPr>
            <w:tcW w:w="720" w:type="dxa"/>
          </w:tcPr>
          <w:p w:rsidR="00F3177F" w:rsidRDefault="0089671D">
            <w:pPr>
              <w:pStyle w:val="TableParagraph"/>
              <w:spacing w:before="86"/>
              <w:ind w:right="55"/>
              <w:jc w:val="right"/>
              <w:rPr>
                <w:sz w:val="12"/>
              </w:rPr>
            </w:pPr>
            <w:r>
              <w:rPr>
                <w:sz w:val="18"/>
              </w:rPr>
              <w:t>5.901</w:t>
            </w:r>
            <w:r>
              <w:rPr>
                <w:position w:val="8"/>
                <w:sz w:val="12"/>
              </w:rPr>
              <w:t>b</w:t>
            </w:r>
          </w:p>
        </w:tc>
        <w:tc>
          <w:tcPr>
            <w:tcW w:w="991" w:type="dxa"/>
          </w:tcPr>
          <w:p w:rsidR="00F3177F" w:rsidRDefault="0089671D">
            <w:pPr>
              <w:pStyle w:val="TableParagraph"/>
              <w:spacing w:before="110"/>
              <w:ind w:right="59"/>
              <w:jc w:val="right"/>
              <w:rPr>
                <w:sz w:val="18"/>
              </w:rPr>
            </w:pPr>
            <w:r>
              <w:rPr>
                <w:sz w:val="18"/>
              </w:rPr>
              <w:t>3.000</w:t>
            </w:r>
          </w:p>
        </w:tc>
        <w:tc>
          <w:tcPr>
            <w:tcW w:w="809" w:type="dxa"/>
          </w:tcPr>
          <w:p w:rsidR="00F3177F" w:rsidRDefault="0089671D">
            <w:pPr>
              <w:pStyle w:val="TableParagraph"/>
              <w:spacing w:before="110"/>
              <w:ind w:right="57"/>
              <w:jc w:val="right"/>
              <w:rPr>
                <w:sz w:val="18"/>
              </w:rPr>
            </w:pPr>
            <w:r>
              <w:rPr>
                <w:sz w:val="18"/>
              </w:rPr>
              <w:t>43.000</w:t>
            </w:r>
          </w:p>
        </w:tc>
        <w:tc>
          <w:tcPr>
            <w:tcW w:w="632" w:type="dxa"/>
          </w:tcPr>
          <w:p w:rsidR="00F3177F" w:rsidRDefault="0089671D">
            <w:pPr>
              <w:pStyle w:val="TableParagraph"/>
              <w:spacing w:before="110"/>
              <w:ind w:right="60"/>
              <w:jc w:val="right"/>
              <w:rPr>
                <w:sz w:val="18"/>
              </w:rPr>
            </w:pPr>
            <w:r>
              <w:rPr>
                <w:sz w:val="18"/>
              </w:rPr>
              <w:t>.002</w:t>
            </w:r>
          </w:p>
        </w:tc>
        <w:tc>
          <w:tcPr>
            <w:tcW w:w="1529" w:type="dxa"/>
          </w:tcPr>
          <w:p w:rsidR="00F3177F" w:rsidRDefault="0089671D">
            <w:pPr>
              <w:pStyle w:val="TableParagraph"/>
              <w:spacing w:before="110"/>
              <w:ind w:right="57"/>
              <w:jc w:val="right"/>
              <w:rPr>
                <w:sz w:val="18"/>
              </w:rPr>
            </w:pPr>
            <w:r>
              <w:rPr>
                <w:sz w:val="18"/>
              </w:rPr>
              <w:t>.292</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.708</w:t>
            </w:r>
          </w:p>
        </w:tc>
        <w:tc>
          <w:tcPr>
            <w:tcW w:w="720" w:type="dxa"/>
          </w:tcPr>
          <w:p w:rsidR="00F3177F" w:rsidRDefault="0089671D">
            <w:pPr>
              <w:pStyle w:val="TableParagraph"/>
              <w:spacing w:before="84"/>
              <w:ind w:right="55"/>
              <w:jc w:val="right"/>
              <w:rPr>
                <w:sz w:val="12"/>
              </w:rPr>
            </w:pPr>
            <w:r>
              <w:rPr>
                <w:sz w:val="18"/>
              </w:rPr>
              <w:t>5.901</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.002</w:t>
            </w:r>
          </w:p>
        </w:tc>
        <w:tc>
          <w:tcPr>
            <w:tcW w:w="1529" w:type="dxa"/>
          </w:tcPr>
          <w:p w:rsidR="00F3177F" w:rsidRDefault="0089671D">
            <w:pPr>
              <w:pStyle w:val="TableParagraph"/>
              <w:spacing w:before="108"/>
              <w:ind w:right="57"/>
              <w:jc w:val="right"/>
              <w:rPr>
                <w:sz w:val="18"/>
              </w:rPr>
            </w:pPr>
            <w:r>
              <w:rPr>
                <w:sz w:val="18"/>
              </w:rPr>
              <w:t>.292</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10"/>
              <w:ind w:left="60"/>
              <w:rPr>
                <w:sz w:val="18"/>
              </w:rPr>
            </w:pPr>
            <w:r>
              <w:rPr>
                <w:sz w:val="18"/>
              </w:rPr>
              <w:t>Hotelling's Trace</w:t>
            </w:r>
          </w:p>
        </w:tc>
        <w:tc>
          <w:tcPr>
            <w:tcW w:w="720" w:type="dxa"/>
          </w:tcPr>
          <w:p w:rsidR="00F3177F" w:rsidRDefault="0089671D">
            <w:pPr>
              <w:pStyle w:val="TableParagraph"/>
              <w:spacing w:before="110"/>
              <w:ind w:right="57"/>
              <w:jc w:val="right"/>
              <w:rPr>
                <w:sz w:val="18"/>
              </w:rPr>
            </w:pPr>
            <w:r>
              <w:rPr>
                <w:sz w:val="18"/>
              </w:rPr>
              <w:t>.412</w:t>
            </w:r>
          </w:p>
        </w:tc>
        <w:tc>
          <w:tcPr>
            <w:tcW w:w="720" w:type="dxa"/>
          </w:tcPr>
          <w:p w:rsidR="00F3177F" w:rsidRDefault="0089671D">
            <w:pPr>
              <w:pStyle w:val="TableParagraph"/>
              <w:spacing w:before="86"/>
              <w:ind w:right="55"/>
              <w:jc w:val="right"/>
              <w:rPr>
                <w:sz w:val="12"/>
              </w:rPr>
            </w:pPr>
            <w:r>
              <w:rPr>
                <w:sz w:val="18"/>
              </w:rPr>
              <w:t>5.901</w:t>
            </w:r>
            <w:r>
              <w:rPr>
                <w:position w:val="8"/>
                <w:sz w:val="12"/>
              </w:rPr>
              <w:t>b</w:t>
            </w:r>
          </w:p>
        </w:tc>
        <w:tc>
          <w:tcPr>
            <w:tcW w:w="991" w:type="dxa"/>
          </w:tcPr>
          <w:p w:rsidR="00F3177F" w:rsidRDefault="0089671D">
            <w:pPr>
              <w:pStyle w:val="TableParagraph"/>
              <w:spacing w:before="110"/>
              <w:ind w:right="59"/>
              <w:jc w:val="right"/>
              <w:rPr>
                <w:sz w:val="18"/>
              </w:rPr>
            </w:pPr>
            <w:r>
              <w:rPr>
                <w:sz w:val="18"/>
              </w:rPr>
              <w:t>3.000</w:t>
            </w:r>
          </w:p>
        </w:tc>
        <w:tc>
          <w:tcPr>
            <w:tcW w:w="809" w:type="dxa"/>
          </w:tcPr>
          <w:p w:rsidR="00F3177F" w:rsidRDefault="0089671D">
            <w:pPr>
              <w:pStyle w:val="TableParagraph"/>
              <w:spacing w:before="110"/>
              <w:ind w:right="57"/>
              <w:jc w:val="right"/>
              <w:rPr>
                <w:sz w:val="18"/>
              </w:rPr>
            </w:pPr>
            <w:r>
              <w:rPr>
                <w:sz w:val="18"/>
              </w:rPr>
              <w:t>43.000</w:t>
            </w:r>
          </w:p>
        </w:tc>
        <w:tc>
          <w:tcPr>
            <w:tcW w:w="632" w:type="dxa"/>
          </w:tcPr>
          <w:p w:rsidR="00F3177F" w:rsidRDefault="0089671D">
            <w:pPr>
              <w:pStyle w:val="TableParagraph"/>
              <w:spacing w:before="110"/>
              <w:ind w:right="60"/>
              <w:jc w:val="right"/>
              <w:rPr>
                <w:sz w:val="18"/>
              </w:rPr>
            </w:pPr>
            <w:r>
              <w:rPr>
                <w:sz w:val="18"/>
              </w:rPr>
              <w:t>.002</w:t>
            </w:r>
          </w:p>
        </w:tc>
        <w:tc>
          <w:tcPr>
            <w:tcW w:w="1529" w:type="dxa"/>
          </w:tcPr>
          <w:p w:rsidR="00F3177F" w:rsidRDefault="0089671D">
            <w:pPr>
              <w:pStyle w:val="TableParagraph"/>
              <w:spacing w:before="110"/>
              <w:ind w:right="57"/>
              <w:jc w:val="right"/>
              <w:rPr>
                <w:sz w:val="18"/>
              </w:rPr>
            </w:pPr>
            <w:r>
              <w:rPr>
                <w:sz w:val="18"/>
              </w:rPr>
              <w:t>.292</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.412</w:t>
            </w:r>
          </w:p>
        </w:tc>
        <w:tc>
          <w:tcPr>
            <w:tcW w:w="720" w:type="dxa"/>
          </w:tcPr>
          <w:p w:rsidR="00F3177F" w:rsidRDefault="0089671D">
            <w:pPr>
              <w:pStyle w:val="TableParagraph"/>
              <w:spacing w:before="84"/>
              <w:ind w:right="55"/>
              <w:jc w:val="right"/>
              <w:rPr>
                <w:sz w:val="12"/>
              </w:rPr>
            </w:pPr>
            <w:r>
              <w:rPr>
                <w:sz w:val="18"/>
              </w:rPr>
              <w:t>5.901</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.002</w:t>
            </w:r>
          </w:p>
        </w:tc>
        <w:tc>
          <w:tcPr>
            <w:tcW w:w="1529" w:type="dxa"/>
          </w:tcPr>
          <w:p w:rsidR="00F3177F" w:rsidRDefault="0089671D">
            <w:pPr>
              <w:pStyle w:val="TableParagraph"/>
              <w:spacing w:before="108"/>
              <w:ind w:right="57"/>
              <w:jc w:val="right"/>
              <w:rPr>
                <w:sz w:val="18"/>
              </w:rPr>
            </w:pPr>
            <w:r>
              <w:rPr>
                <w:sz w:val="18"/>
              </w:rPr>
              <w:t>.292</w:t>
            </w:r>
          </w:p>
        </w:tc>
      </w:tr>
      <w:tr w:rsidR="00F3177F">
        <w:trPr>
          <w:trHeight w:hRule="exact" w:val="331"/>
        </w:trPr>
        <w:tc>
          <w:tcPr>
            <w:tcW w:w="1351" w:type="dxa"/>
            <w:vMerge w:val="restart"/>
          </w:tcPr>
          <w:p w:rsidR="00F3177F" w:rsidRDefault="0089671D">
            <w:pPr>
              <w:pStyle w:val="TableParagraph"/>
              <w:spacing w:before="124" w:line="369" w:lineRule="auto"/>
              <w:ind w:left="81" w:right="81" w:firstLine="1"/>
              <w:jc w:val="center"/>
              <w:rPr>
                <w:sz w:val="18"/>
              </w:rPr>
            </w:pPr>
            <w:r>
              <w:rPr>
                <w:sz w:val="18"/>
              </w:rPr>
              <w:t>Number of School Building Floors * Study</w:t>
            </w:r>
          </w:p>
          <w:p w:rsidR="00F3177F" w:rsidRDefault="0089671D">
            <w:pPr>
              <w:pStyle w:val="TableParagraph"/>
              <w:spacing w:before="7"/>
              <w:ind w:left="72" w:right="73"/>
              <w:jc w:val="center"/>
              <w:rPr>
                <w:sz w:val="18"/>
              </w:rPr>
            </w:pPr>
            <w:r>
              <w:rPr>
                <w:sz w:val="18"/>
              </w:rPr>
              <w:t>Shift</w:t>
            </w:r>
          </w:p>
        </w:tc>
        <w:tc>
          <w:tcPr>
            <w:tcW w:w="1709" w:type="dxa"/>
          </w:tcPr>
          <w:p w:rsidR="00F3177F" w:rsidRDefault="0089671D">
            <w:pPr>
              <w:pStyle w:val="TableParagraph"/>
              <w:spacing w:before="110"/>
              <w:ind w:left="60"/>
              <w:rPr>
                <w:sz w:val="18"/>
              </w:rPr>
            </w:pPr>
            <w:r>
              <w:rPr>
                <w:sz w:val="18"/>
              </w:rPr>
              <w:t>Pillai's Trace</w:t>
            </w:r>
          </w:p>
        </w:tc>
        <w:tc>
          <w:tcPr>
            <w:tcW w:w="720" w:type="dxa"/>
          </w:tcPr>
          <w:p w:rsidR="00F3177F" w:rsidRDefault="0089671D">
            <w:pPr>
              <w:pStyle w:val="TableParagraph"/>
              <w:spacing w:before="110"/>
              <w:ind w:right="57"/>
              <w:jc w:val="right"/>
              <w:rPr>
                <w:sz w:val="18"/>
              </w:rPr>
            </w:pPr>
            <w:r>
              <w:rPr>
                <w:sz w:val="18"/>
              </w:rPr>
              <w:t>.147</w:t>
            </w:r>
          </w:p>
        </w:tc>
        <w:tc>
          <w:tcPr>
            <w:tcW w:w="720" w:type="dxa"/>
          </w:tcPr>
          <w:p w:rsidR="00F3177F" w:rsidRDefault="0089671D">
            <w:pPr>
              <w:pStyle w:val="TableParagraph"/>
              <w:spacing w:before="110"/>
              <w:ind w:right="57"/>
              <w:jc w:val="right"/>
              <w:rPr>
                <w:sz w:val="18"/>
              </w:rPr>
            </w:pPr>
            <w:r>
              <w:rPr>
                <w:sz w:val="18"/>
              </w:rPr>
              <w:t>1.159</w:t>
            </w:r>
          </w:p>
        </w:tc>
        <w:tc>
          <w:tcPr>
            <w:tcW w:w="991" w:type="dxa"/>
          </w:tcPr>
          <w:p w:rsidR="00F3177F" w:rsidRDefault="0089671D">
            <w:pPr>
              <w:pStyle w:val="TableParagraph"/>
              <w:spacing w:before="110"/>
              <w:ind w:right="59"/>
              <w:jc w:val="right"/>
              <w:rPr>
                <w:sz w:val="18"/>
              </w:rPr>
            </w:pPr>
            <w:r>
              <w:rPr>
                <w:sz w:val="18"/>
              </w:rPr>
              <w:t>6.000</w:t>
            </w:r>
          </w:p>
        </w:tc>
        <w:tc>
          <w:tcPr>
            <w:tcW w:w="809" w:type="dxa"/>
          </w:tcPr>
          <w:p w:rsidR="00F3177F" w:rsidRDefault="0089671D">
            <w:pPr>
              <w:pStyle w:val="TableParagraph"/>
              <w:spacing w:before="110"/>
              <w:ind w:right="57"/>
              <w:jc w:val="right"/>
              <w:rPr>
                <w:sz w:val="18"/>
              </w:rPr>
            </w:pPr>
            <w:r>
              <w:rPr>
                <w:sz w:val="18"/>
              </w:rPr>
              <w:t>88.000</w:t>
            </w:r>
          </w:p>
        </w:tc>
        <w:tc>
          <w:tcPr>
            <w:tcW w:w="632" w:type="dxa"/>
          </w:tcPr>
          <w:p w:rsidR="00F3177F" w:rsidRDefault="0089671D">
            <w:pPr>
              <w:pStyle w:val="TableParagraph"/>
              <w:spacing w:before="110"/>
              <w:ind w:right="60"/>
              <w:jc w:val="right"/>
              <w:rPr>
                <w:sz w:val="18"/>
              </w:rPr>
            </w:pPr>
            <w:r>
              <w:rPr>
                <w:sz w:val="18"/>
              </w:rPr>
              <w:t>.335</w:t>
            </w:r>
          </w:p>
        </w:tc>
        <w:tc>
          <w:tcPr>
            <w:tcW w:w="1529" w:type="dxa"/>
          </w:tcPr>
          <w:p w:rsidR="00F3177F" w:rsidRDefault="0089671D">
            <w:pPr>
              <w:pStyle w:val="TableParagraph"/>
              <w:spacing w:before="110"/>
              <w:ind w:right="57"/>
              <w:jc w:val="right"/>
              <w:rPr>
                <w:sz w:val="18"/>
              </w:rPr>
            </w:pPr>
            <w:r>
              <w:rPr>
                <w:sz w:val="18"/>
              </w:rPr>
              <w:t>.073</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.854</w:t>
            </w:r>
          </w:p>
        </w:tc>
        <w:tc>
          <w:tcPr>
            <w:tcW w:w="720" w:type="dxa"/>
          </w:tcPr>
          <w:p w:rsidR="00F3177F" w:rsidRDefault="0089671D">
            <w:pPr>
              <w:pStyle w:val="TableParagraph"/>
              <w:spacing w:before="84"/>
              <w:ind w:right="55"/>
              <w:jc w:val="right"/>
              <w:rPr>
                <w:sz w:val="12"/>
              </w:rPr>
            </w:pPr>
            <w:r>
              <w:rPr>
                <w:sz w:val="18"/>
              </w:rPr>
              <w:t>1.173</w:t>
            </w:r>
            <w:r>
              <w:rPr>
                <w:position w:val="8"/>
                <w:sz w:val="12"/>
              </w:rPr>
              <w:t>b</w:t>
            </w:r>
          </w:p>
        </w:tc>
        <w:tc>
          <w:tcPr>
            <w:tcW w:w="991" w:type="dxa"/>
          </w:tcPr>
          <w:p w:rsidR="00F3177F" w:rsidRDefault="0089671D">
            <w:pPr>
              <w:pStyle w:val="TableParagraph"/>
              <w:spacing w:before="108"/>
              <w:ind w:right="59"/>
              <w:jc w:val="right"/>
              <w:rPr>
                <w:sz w:val="18"/>
              </w:rPr>
            </w:pPr>
            <w:r>
              <w:rPr>
                <w:sz w:val="18"/>
              </w:rPr>
              <w:t>6.000</w:t>
            </w:r>
          </w:p>
        </w:tc>
        <w:tc>
          <w:tcPr>
            <w:tcW w:w="809" w:type="dxa"/>
          </w:tcPr>
          <w:p w:rsidR="00F3177F" w:rsidRDefault="0089671D">
            <w:pPr>
              <w:pStyle w:val="TableParagraph"/>
              <w:spacing w:before="108"/>
              <w:ind w:right="57"/>
              <w:jc w:val="right"/>
              <w:rPr>
                <w:sz w:val="18"/>
              </w:rPr>
            </w:pPr>
            <w:r>
              <w:rPr>
                <w:sz w:val="18"/>
              </w:rPr>
              <w:t>86.000</w:t>
            </w:r>
          </w:p>
        </w:tc>
        <w:tc>
          <w:tcPr>
            <w:tcW w:w="632" w:type="dxa"/>
          </w:tcPr>
          <w:p w:rsidR="00F3177F" w:rsidRDefault="0089671D">
            <w:pPr>
              <w:pStyle w:val="TableParagraph"/>
              <w:spacing w:before="108"/>
              <w:ind w:right="60"/>
              <w:jc w:val="right"/>
              <w:rPr>
                <w:sz w:val="18"/>
              </w:rPr>
            </w:pPr>
            <w:r>
              <w:rPr>
                <w:sz w:val="18"/>
              </w:rPr>
              <w:t>.328</w:t>
            </w:r>
          </w:p>
        </w:tc>
        <w:tc>
          <w:tcPr>
            <w:tcW w:w="1529" w:type="dxa"/>
          </w:tcPr>
          <w:p w:rsidR="00F3177F" w:rsidRDefault="0089671D">
            <w:pPr>
              <w:pStyle w:val="TableParagraph"/>
              <w:spacing w:before="108"/>
              <w:ind w:right="57"/>
              <w:jc w:val="right"/>
              <w:rPr>
                <w:sz w:val="18"/>
              </w:rPr>
            </w:pPr>
            <w:r>
              <w:rPr>
                <w:sz w:val="18"/>
              </w:rPr>
              <w:t>.076</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10"/>
              <w:ind w:left="60"/>
              <w:rPr>
                <w:sz w:val="18"/>
              </w:rPr>
            </w:pPr>
            <w:r>
              <w:rPr>
                <w:sz w:val="18"/>
              </w:rPr>
              <w:t>Hotelling's Trace</w:t>
            </w:r>
          </w:p>
        </w:tc>
        <w:tc>
          <w:tcPr>
            <w:tcW w:w="720" w:type="dxa"/>
          </w:tcPr>
          <w:p w:rsidR="00F3177F" w:rsidRDefault="0089671D">
            <w:pPr>
              <w:pStyle w:val="TableParagraph"/>
              <w:spacing w:before="110"/>
              <w:ind w:right="57"/>
              <w:jc w:val="right"/>
              <w:rPr>
                <w:sz w:val="18"/>
              </w:rPr>
            </w:pPr>
            <w:r>
              <w:rPr>
                <w:sz w:val="18"/>
              </w:rPr>
              <w:t>.169</w:t>
            </w:r>
          </w:p>
        </w:tc>
        <w:tc>
          <w:tcPr>
            <w:tcW w:w="720" w:type="dxa"/>
          </w:tcPr>
          <w:p w:rsidR="00F3177F" w:rsidRDefault="0089671D">
            <w:pPr>
              <w:pStyle w:val="TableParagraph"/>
              <w:spacing w:before="110"/>
              <w:ind w:right="57"/>
              <w:jc w:val="right"/>
              <w:rPr>
                <w:sz w:val="18"/>
              </w:rPr>
            </w:pPr>
            <w:r>
              <w:rPr>
                <w:sz w:val="18"/>
              </w:rPr>
              <w:t>1.184</w:t>
            </w:r>
          </w:p>
        </w:tc>
        <w:tc>
          <w:tcPr>
            <w:tcW w:w="991" w:type="dxa"/>
          </w:tcPr>
          <w:p w:rsidR="00F3177F" w:rsidRDefault="0089671D">
            <w:pPr>
              <w:pStyle w:val="TableParagraph"/>
              <w:spacing w:before="110"/>
              <w:ind w:right="59"/>
              <w:jc w:val="right"/>
              <w:rPr>
                <w:sz w:val="18"/>
              </w:rPr>
            </w:pPr>
            <w:r>
              <w:rPr>
                <w:sz w:val="18"/>
              </w:rPr>
              <w:t>6.000</w:t>
            </w:r>
          </w:p>
        </w:tc>
        <w:tc>
          <w:tcPr>
            <w:tcW w:w="809" w:type="dxa"/>
          </w:tcPr>
          <w:p w:rsidR="00F3177F" w:rsidRDefault="0089671D">
            <w:pPr>
              <w:pStyle w:val="TableParagraph"/>
              <w:spacing w:before="110"/>
              <w:ind w:right="57"/>
              <w:jc w:val="right"/>
              <w:rPr>
                <w:sz w:val="18"/>
              </w:rPr>
            </w:pPr>
            <w:r>
              <w:rPr>
                <w:sz w:val="18"/>
              </w:rPr>
              <w:t>84.000</w:t>
            </w:r>
          </w:p>
        </w:tc>
        <w:tc>
          <w:tcPr>
            <w:tcW w:w="632" w:type="dxa"/>
          </w:tcPr>
          <w:p w:rsidR="00F3177F" w:rsidRDefault="0089671D">
            <w:pPr>
              <w:pStyle w:val="TableParagraph"/>
              <w:spacing w:before="110"/>
              <w:ind w:right="60"/>
              <w:jc w:val="right"/>
              <w:rPr>
                <w:sz w:val="18"/>
              </w:rPr>
            </w:pPr>
            <w:r>
              <w:rPr>
                <w:sz w:val="18"/>
              </w:rPr>
              <w:t>.323</w:t>
            </w:r>
          </w:p>
        </w:tc>
        <w:tc>
          <w:tcPr>
            <w:tcW w:w="1529" w:type="dxa"/>
          </w:tcPr>
          <w:p w:rsidR="00F3177F" w:rsidRDefault="0089671D">
            <w:pPr>
              <w:pStyle w:val="TableParagraph"/>
              <w:spacing w:before="110"/>
              <w:ind w:right="57"/>
              <w:jc w:val="right"/>
              <w:rPr>
                <w:sz w:val="18"/>
              </w:rPr>
            </w:pPr>
            <w:r>
              <w:rPr>
                <w:sz w:val="18"/>
              </w:rPr>
              <w:t>.078</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89671D">
            <w:pPr>
              <w:pStyle w:val="TableParagraph"/>
              <w:spacing w:before="108"/>
              <w:ind w:right="57"/>
              <w:jc w:val="right"/>
              <w:rPr>
                <w:sz w:val="18"/>
              </w:rPr>
            </w:pPr>
            <w:r>
              <w:rPr>
                <w:sz w:val="18"/>
              </w:rPr>
              <w:t>.162</w:t>
            </w:r>
          </w:p>
        </w:tc>
        <w:tc>
          <w:tcPr>
            <w:tcW w:w="720" w:type="dxa"/>
          </w:tcPr>
          <w:p w:rsidR="00F3177F" w:rsidRDefault="0089671D">
            <w:pPr>
              <w:pStyle w:val="TableParagraph"/>
              <w:spacing w:before="84"/>
              <w:ind w:right="55"/>
              <w:jc w:val="right"/>
              <w:rPr>
                <w:sz w:val="12"/>
              </w:rPr>
            </w:pPr>
            <w:r>
              <w:rPr>
                <w:sz w:val="18"/>
              </w:rPr>
              <w:t>2.379</w:t>
            </w:r>
            <w:r>
              <w:rPr>
                <w:position w:val="8"/>
                <w:sz w:val="12"/>
              </w:rPr>
              <w:t>c</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44.000</w:t>
            </w:r>
          </w:p>
        </w:tc>
        <w:tc>
          <w:tcPr>
            <w:tcW w:w="632" w:type="dxa"/>
          </w:tcPr>
          <w:p w:rsidR="00F3177F" w:rsidRDefault="0089671D">
            <w:pPr>
              <w:pStyle w:val="TableParagraph"/>
              <w:spacing w:before="108"/>
              <w:ind w:right="60"/>
              <w:jc w:val="right"/>
              <w:rPr>
                <w:sz w:val="18"/>
              </w:rPr>
            </w:pPr>
            <w:r>
              <w:rPr>
                <w:sz w:val="18"/>
              </w:rPr>
              <w:t>.083</w:t>
            </w:r>
          </w:p>
        </w:tc>
        <w:tc>
          <w:tcPr>
            <w:tcW w:w="1529" w:type="dxa"/>
          </w:tcPr>
          <w:p w:rsidR="00F3177F" w:rsidRDefault="0089671D">
            <w:pPr>
              <w:pStyle w:val="TableParagraph"/>
              <w:spacing w:before="108"/>
              <w:ind w:right="57"/>
              <w:jc w:val="right"/>
              <w:rPr>
                <w:sz w:val="18"/>
              </w:rPr>
            </w:pPr>
            <w:r>
              <w:rPr>
                <w:sz w:val="18"/>
              </w:rPr>
              <w:t>.140</w:t>
            </w:r>
          </w:p>
        </w:tc>
      </w:tr>
      <w:tr w:rsidR="00F3177F">
        <w:trPr>
          <w:trHeight w:hRule="exact" w:val="331"/>
        </w:trPr>
        <w:tc>
          <w:tcPr>
            <w:tcW w:w="1351" w:type="dxa"/>
            <w:vMerge w:val="restart"/>
          </w:tcPr>
          <w:p w:rsidR="00F3177F" w:rsidRDefault="0089671D">
            <w:pPr>
              <w:pStyle w:val="TableParagraph"/>
              <w:spacing w:before="110"/>
              <w:ind w:left="73" w:right="73"/>
              <w:jc w:val="center"/>
              <w:rPr>
                <w:sz w:val="18"/>
              </w:rPr>
            </w:pPr>
            <w:r>
              <w:rPr>
                <w:sz w:val="18"/>
              </w:rPr>
              <w:t>Student Density</w:t>
            </w:r>
          </w:p>
          <w:p w:rsidR="00F3177F" w:rsidRDefault="0089671D">
            <w:pPr>
              <w:pStyle w:val="TableParagraph"/>
              <w:spacing w:before="112" w:line="372" w:lineRule="auto"/>
              <w:ind w:left="81" w:right="81" w:firstLine="1"/>
              <w:jc w:val="center"/>
              <w:rPr>
                <w:sz w:val="18"/>
              </w:rPr>
            </w:pPr>
            <w:r>
              <w:rPr>
                <w:sz w:val="18"/>
              </w:rPr>
              <w:t>* Number of School Building Floors * Study</w:t>
            </w:r>
          </w:p>
          <w:p w:rsidR="00F3177F" w:rsidRDefault="0089671D">
            <w:pPr>
              <w:pStyle w:val="TableParagraph"/>
              <w:spacing w:before="2"/>
              <w:ind w:left="72" w:right="73"/>
              <w:jc w:val="center"/>
              <w:rPr>
                <w:sz w:val="18"/>
              </w:rPr>
            </w:pPr>
            <w:r>
              <w:rPr>
                <w:sz w:val="18"/>
              </w:rPr>
              <w:t>Shift</w:t>
            </w:r>
          </w:p>
        </w:tc>
        <w:tc>
          <w:tcPr>
            <w:tcW w:w="1709" w:type="dxa"/>
          </w:tcPr>
          <w:p w:rsidR="00F3177F" w:rsidRDefault="0089671D">
            <w:pPr>
              <w:pStyle w:val="TableParagraph"/>
              <w:spacing w:before="110"/>
              <w:ind w:left="60"/>
              <w:rPr>
                <w:sz w:val="18"/>
              </w:rPr>
            </w:pPr>
            <w:r>
              <w:rPr>
                <w:sz w:val="18"/>
              </w:rPr>
              <w:t>Pillai's Trace</w:t>
            </w:r>
          </w:p>
        </w:tc>
        <w:tc>
          <w:tcPr>
            <w:tcW w:w="720" w:type="dxa"/>
          </w:tcPr>
          <w:p w:rsidR="00F3177F" w:rsidRDefault="0089671D">
            <w:pPr>
              <w:pStyle w:val="TableParagraph"/>
              <w:spacing w:before="110"/>
              <w:ind w:right="57"/>
              <w:jc w:val="right"/>
              <w:rPr>
                <w:sz w:val="18"/>
              </w:rPr>
            </w:pPr>
            <w:r>
              <w:rPr>
                <w:sz w:val="18"/>
              </w:rPr>
              <w:t>.012</w:t>
            </w:r>
          </w:p>
        </w:tc>
        <w:tc>
          <w:tcPr>
            <w:tcW w:w="720" w:type="dxa"/>
          </w:tcPr>
          <w:p w:rsidR="00F3177F" w:rsidRDefault="0089671D">
            <w:pPr>
              <w:pStyle w:val="TableParagraph"/>
              <w:spacing w:before="86"/>
              <w:ind w:right="55"/>
              <w:jc w:val="right"/>
              <w:rPr>
                <w:sz w:val="12"/>
              </w:rPr>
            </w:pPr>
            <w:r>
              <w:rPr>
                <w:sz w:val="18"/>
              </w:rPr>
              <w:t>.172</w:t>
            </w:r>
            <w:r>
              <w:rPr>
                <w:position w:val="8"/>
                <w:sz w:val="12"/>
              </w:rPr>
              <w:t>b</w:t>
            </w:r>
          </w:p>
        </w:tc>
        <w:tc>
          <w:tcPr>
            <w:tcW w:w="991" w:type="dxa"/>
          </w:tcPr>
          <w:p w:rsidR="00F3177F" w:rsidRDefault="0089671D">
            <w:pPr>
              <w:pStyle w:val="TableParagraph"/>
              <w:spacing w:before="110"/>
              <w:ind w:right="59"/>
              <w:jc w:val="right"/>
              <w:rPr>
                <w:sz w:val="18"/>
              </w:rPr>
            </w:pPr>
            <w:r>
              <w:rPr>
                <w:sz w:val="18"/>
              </w:rPr>
              <w:t>3.000</w:t>
            </w:r>
          </w:p>
        </w:tc>
        <w:tc>
          <w:tcPr>
            <w:tcW w:w="809" w:type="dxa"/>
          </w:tcPr>
          <w:p w:rsidR="00F3177F" w:rsidRDefault="0089671D">
            <w:pPr>
              <w:pStyle w:val="TableParagraph"/>
              <w:spacing w:before="110"/>
              <w:ind w:right="57"/>
              <w:jc w:val="right"/>
              <w:rPr>
                <w:sz w:val="18"/>
              </w:rPr>
            </w:pPr>
            <w:r>
              <w:rPr>
                <w:sz w:val="18"/>
              </w:rPr>
              <w:t>43.000</w:t>
            </w:r>
          </w:p>
        </w:tc>
        <w:tc>
          <w:tcPr>
            <w:tcW w:w="632" w:type="dxa"/>
          </w:tcPr>
          <w:p w:rsidR="00F3177F" w:rsidRDefault="0089671D">
            <w:pPr>
              <w:pStyle w:val="TableParagraph"/>
              <w:spacing w:before="110"/>
              <w:ind w:right="60"/>
              <w:jc w:val="right"/>
              <w:rPr>
                <w:sz w:val="18"/>
              </w:rPr>
            </w:pPr>
            <w:r>
              <w:rPr>
                <w:sz w:val="18"/>
              </w:rPr>
              <w:t>.915</w:t>
            </w:r>
          </w:p>
        </w:tc>
        <w:tc>
          <w:tcPr>
            <w:tcW w:w="1529" w:type="dxa"/>
          </w:tcPr>
          <w:p w:rsidR="00F3177F" w:rsidRDefault="0089671D">
            <w:pPr>
              <w:pStyle w:val="TableParagraph"/>
              <w:spacing w:before="110"/>
              <w:ind w:right="57"/>
              <w:jc w:val="right"/>
              <w:rPr>
                <w:sz w:val="18"/>
              </w:rPr>
            </w:pPr>
            <w:r>
              <w:rPr>
                <w:sz w:val="18"/>
              </w:rPr>
              <w:t>.012</w:t>
            </w:r>
          </w:p>
        </w:tc>
      </w:tr>
      <w:tr w:rsidR="00F3177F">
        <w:trPr>
          <w:trHeight w:hRule="exact" w:val="32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Wilks' Lambda</w:t>
            </w:r>
          </w:p>
        </w:tc>
        <w:tc>
          <w:tcPr>
            <w:tcW w:w="720" w:type="dxa"/>
          </w:tcPr>
          <w:p w:rsidR="00F3177F" w:rsidRDefault="0089671D">
            <w:pPr>
              <w:pStyle w:val="TableParagraph"/>
              <w:spacing w:before="108"/>
              <w:ind w:right="57"/>
              <w:jc w:val="right"/>
              <w:rPr>
                <w:sz w:val="18"/>
              </w:rPr>
            </w:pPr>
            <w:r>
              <w:rPr>
                <w:sz w:val="18"/>
              </w:rPr>
              <w:t>.988</w:t>
            </w:r>
          </w:p>
        </w:tc>
        <w:tc>
          <w:tcPr>
            <w:tcW w:w="720" w:type="dxa"/>
          </w:tcPr>
          <w:p w:rsidR="00F3177F" w:rsidRDefault="0089671D">
            <w:pPr>
              <w:pStyle w:val="TableParagraph"/>
              <w:spacing w:before="84"/>
              <w:ind w:right="55"/>
              <w:jc w:val="right"/>
              <w:rPr>
                <w:sz w:val="12"/>
              </w:rPr>
            </w:pPr>
            <w:r>
              <w:rPr>
                <w:sz w:val="18"/>
              </w:rPr>
              <w:t>.172</w:t>
            </w:r>
            <w:r>
              <w:rPr>
                <w:position w:val="8"/>
                <w:sz w:val="12"/>
              </w:rPr>
              <w:t>b</w:t>
            </w:r>
          </w:p>
        </w:tc>
        <w:tc>
          <w:tcPr>
            <w:tcW w:w="991" w:type="dxa"/>
          </w:tcPr>
          <w:p w:rsidR="00F3177F" w:rsidRDefault="0089671D">
            <w:pPr>
              <w:pStyle w:val="TableParagraph"/>
              <w:spacing w:before="108"/>
              <w:ind w:right="59"/>
              <w:jc w:val="right"/>
              <w:rPr>
                <w:sz w:val="18"/>
              </w:rPr>
            </w:pPr>
            <w:r>
              <w:rPr>
                <w:sz w:val="18"/>
              </w:rPr>
              <w:t>3.000</w:t>
            </w:r>
          </w:p>
        </w:tc>
        <w:tc>
          <w:tcPr>
            <w:tcW w:w="809" w:type="dxa"/>
          </w:tcPr>
          <w:p w:rsidR="00F3177F" w:rsidRDefault="0089671D">
            <w:pPr>
              <w:pStyle w:val="TableParagraph"/>
              <w:spacing w:before="108"/>
              <w:ind w:right="57"/>
              <w:jc w:val="right"/>
              <w:rPr>
                <w:sz w:val="18"/>
              </w:rPr>
            </w:pPr>
            <w:r>
              <w:rPr>
                <w:sz w:val="18"/>
              </w:rPr>
              <w:t>43.000</w:t>
            </w:r>
          </w:p>
        </w:tc>
        <w:tc>
          <w:tcPr>
            <w:tcW w:w="632" w:type="dxa"/>
          </w:tcPr>
          <w:p w:rsidR="00F3177F" w:rsidRDefault="0089671D">
            <w:pPr>
              <w:pStyle w:val="TableParagraph"/>
              <w:spacing w:before="108"/>
              <w:ind w:right="60"/>
              <w:jc w:val="right"/>
              <w:rPr>
                <w:sz w:val="18"/>
              </w:rPr>
            </w:pPr>
            <w:r>
              <w:rPr>
                <w:sz w:val="18"/>
              </w:rPr>
              <w:t>.915</w:t>
            </w:r>
          </w:p>
        </w:tc>
        <w:tc>
          <w:tcPr>
            <w:tcW w:w="1529" w:type="dxa"/>
          </w:tcPr>
          <w:p w:rsidR="00F3177F" w:rsidRDefault="0089671D">
            <w:pPr>
              <w:pStyle w:val="TableParagraph"/>
              <w:spacing w:before="108"/>
              <w:ind w:right="57"/>
              <w:jc w:val="right"/>
              <w:rPr>
                <w:sz w:val="18"/>
              </w:rPr>
            </w:pPr>
            <w:r>
              <w:rPr>
                <w:sz w:val="18"/>
              </w:rPr>
              <w:t>.012</w:t>
            </w:r>
          </w:p>
        </w:tc>
      </w:tr>
      <w:tr w:rsidR="00F3177F">
        <w:trPr>
          <w:trHeight w:hRule="exact" w:val="331"/>
        </w:trPr>
        <w:tc>
          <w:tcPr>
            <w:tcW w:w="1351" w:type="dxa"/>
            <w:vMerge/>
          </w:tcPr>
          <w:p w:rsidR="00F3177F" w:rsidRDefault="00F3177F"/>
        </w:tc>
        <w:tc>
          <w:tcPr>
            <w:tcW w:w="1709" w:type="dxa"/>
          </w:tcPr>
          <w:p w:rsidR="00F3177F" w:rsidRDefault="0089671D">
            <w:pPr>
              <w:pStyle w:val="TableParagraph"/>
              <w:spacing w:before="110"/>
              <w:ind w:left="60"/>
              <w:rPr>
                <w:sz w:val="18"/>
              </w:rPr>
            </w:pPr>
            <w:r>
              <w:rPr>
                <w:sz w:val="18"/>
              </w:rPr>
              <w:t>Hotelling's Trace</w:t>
            </w:r>
          </w:p>
        </w:tc>
        <w:tc>
          <w:tcPr>
            <w:tcW w:w="720" w:type="dxa"/>
          </w:tcPr>
          <w:p w:rsidR="00F3177F" w:rsidRDefault="0089671D">
            <w:pPr>
              <w:pStyle w:val="TableParagraph"/>
              <w:spacing w:before="110"/>
              <w:ind w:right="57"/>
              <w:jc w:val="right"/>
              <w:rPr>
                <w:sz w:val="18"/>
              </w:rPr>
            </w:pPr>
            <w:r>
              <w:rPr>
                <w:sz w:val="18"/>
              </w:rPr>
              <w:t>.012</w:t>
            </w:r>
          </w:p>
        </w:tc>
        <w:tc>
          <w:tcPr>
            <w:tcW w:w="720" w:type="dxa"/>
          </w:tcPr>
          <w:p w:rsidR="00F3177F" w:rsidRDefault="0089671D">
            <w:pPr>
              <w:pStyle w:val="TableParagraph"/>
              <w:spacing w:before="86"/>
              <w:ind w:right="55"/>
              <w:jc w:val="right"/>
              <w:rPr>
                <w:sz w:val="12"/>
              </w:rPr>
            </w:pPr>
            <w:r>
              <w:rPr>
                <w:sz w:val="18"/>
              </w:rPr>
              <w:t>.172</w:t>
            </w:r>
            <w:r>
              <w:rPr>
                <w:position w:val="8"/>
                <w:sz w:val="12"/>
              </w:rPr>
              <w:t>b</w:t>
            </w:r>
          </w:p>
        </w:tc>
        <w:tc>
          <w:tcPr>
            <w:tcW w:w="991" w:type="dxa"/>
          </w:tcPr>
          <w:p w:rsidR="00F3177F" w:rsidRDefault="0089671D">
            <w:pPr>
              <w:pStyle w:val="TableParagraph"/>
              <w:spacing w:before="110"/>
              <w:ind w:right="59"/>
              <w:jc w:val="right"/>
              <w:rPr>
                <w:sz w:val="18"/>
              </w:rPr>
            </w:pPr>
            <w:r>
              <w:rPr>
                <w:sz w:val="18"/>
              </w:rPr>
              <w:t>3.000</w:t>
            </w:r>
          </w:p>
        </w:tc>
        <w:tc>
          <w:tcPr>
            <w:tcW w:w="809" w:type="dxa"/>
          </w:tcPr>
          <w:p w:rsidR="00F3177F" w:rsidRDefault="0089671D">
            <w:pPr>
              <w:pStyle w:val="TableParagraph"/>
              <w:spacing w:before="110"/>
              <w:ind w:right="57"/>
              <w:jc w:val="right"/>
              <w:rPr>
                <w:sz w:val="18"/>
              </w:rPr>
            </w:pPr>
            <w:r>
              <w:rPr>
                <w:sz w:val="18"/>
              </w:rPr>
              <w:t>43.000</w:t>
            </w:r>
          </w:p>
        </w:tc>
        <w:tc>
          <w:tcPr>
            <w:tcW w:w="632" w:type="dxa"/>
          </w:tcPr>
          <w:p w:rsidR="00F3177F" w:rsidRDefault="0089671D">
            <w:pPr>
              <w:pStyle w:val="TableParagraph"/>
              <w:spacing w:before="110"/>
              <w:ind w:right="60"/>
              <w:jc w:val="right"/>
              <w:rPr>
                <w:sz w:val="18"/>
              </w:rPr>
            </w:pPr>
            <w:r>
              <w:rPr>
                <w:sz w:val="18"/>
              </w:rPr>
              <w:t>.915</w:t>
            </w:r>
          </w:p>
        </w:tc>
        <w:tc>
          <w:tcPr>
            <w:tcW w:w="1529" w:type="dxa"/>
          </w:tcPr>
          <w:p w:rsidR="00F3177F" w:rsidRDefault="0089671D">
            <w:pPr>
              <w:pStyle w:val="TableParagraph"/>
              <w:spacing w:before="110"/>
              <w:ind w:right="57"/>
              <w:jc w:val="right"/>
              <w:rPr>
                <w:sz w:val="18"/>
              </w:rPr>
            </w:pPr>
            <w:r>
              <w:rPr>
                <w:sz w:val="18"/>
              </w:rPr>
              <w:t>.012</w:t>
            </w:r>
          </w:p>
        </w:tc>
      </w:tr>
      <w:tr w:rsidR="00F3177F">
        <w:trPr>
          <w:trHeight w:hRule="exact" w:val="619"/>
        </w:trPr>
        <w:tc>
          <w:tcPr>
            <w:tcW w:w="1351" w:type="dxa"/>
            <w:vMerge/>
          </w:tcPr>
          <w:p w:rsidR="00F3177F" w:rsidRDefault="00F3177F"/>
        </w:tc>
        <w:tc>
          <w:tcPr>
            <w:tcW w:w="1709" w:type="dxa"/>
          </w:tcPr>
          <w:p w:rsidR="00F3177F" w:rsidRDefault="0089671D">
            <w:pPr>
              <w:pStyle w:val="TableParagraph"/>
              <w:spacing w:before="108"/>
              <w:ind w:left="60"/>
              <w:rPr>
                <w:sz w:val="18"/>
              </w:rPr>
            </w:pPr>
            <w:r>
              <w:rPr>
                <w:sz w:val="18"/>
              </w:rPr>
              <w:t>Roy's Largest Root</w:t>
            </w:r>
          </w:p>
        </w:tc>
        <w:tc>
          <w:tcPr>
            <w:tcW w:w="720" w:type="dxa"/>
          </w:tcPr>
          <w:p w:rsidR="00F3177F" w:rsidRDefault="00F3177F">
            <w:pPr>
              <w:pStyle w:val="TableParagraph"/>
              <w:spacing w:before="10"/>
              <w:rPr>
                <w:sz w:val="21"/>
              </w:rPr>
            </w:pPr>
          </w:p>
          <w:p w:rsidR="00F3177F" w:rsidRDefault="0089671D">
            <w:pPr>
              <w:pStyle w:val="TableParagraph"/>
              <w:ind w:right="57"/>
              <w:jc w:val="right"/>
              <w:rPr>
                <w:sz w:val="18"/>
              </w:rPr>
            </w:pPr>
            <w:r>
              <w:rPr>
                <w:sz w:val="18"/>
              </w:rPr>
              <w:t>.012</w:t>
            </w:r>
          </w:p>
        </w:tc>
        <w:tc>
          <w:tcPr>
            <w:tcW w:w="720" w:type="dxa"/>
          </w:tcPr>
          <w:p w:rsidR="00F3177F" w:rsidRDefault="00F3177F">
            <w:pPr>
              <w:pStyle w:val="TableParagraph"/>
              <w:spacing w:before="9"/>
              <w:rPr>
                <w:sz w:val="19"/>
              </w:rPr>
            </w:pPr>
          </w:p>
          <w:p w:rsidR="00F3177F" w:rsidRDefault="0089671D">
            <w:pPr>
              <w:pStyle w:val="TableParagraph"/>
              <w:ind w:right="55"/>
              <w:jc w:val="right"/>
              <w:rPr>
                <w:sz w:val="12"/>
              </w:rPr>
            </w:pPr>
            <w:r>
              <w:rPr>
                <w:sz w:val="18"/>
              </w:rPr>
              <w:t>.172</w:t>
            </w:r>
            <w:r>
              <w:rPr>
                <w:position w:val="8"/>
                <w:sz w:val="12"/>
              </w:rPr>
              <w:t>b</w:t>
            </w:r>
          </w:p>
        </w:tc>
        <w:tc>
          <w:tcPr>
            <w:tcW w:w="991" w:type="dxa"/>
          </w:tcPr>
          <w:p w:rsidR="00F3177F" w:rsidRDefault="00F3177F">
            <w:pPr>
              <w:pStyle w:val="TableParagraph"/>
              <w:spacing w:before="10"/>
              <w:rPr>
                <w:sz w:val="21"/>
              </w:rPr>
            </w:pPr>
          </w:p>
          <w:p w:rsidR="00F3177F" w:rsidRDefault="0089671D">
            <w:pPr>
              <w:pStyle w:val="TableParagraph"/>
              <w:ind w:right="59"/>
              <w:jc w:val="right"/>
              <w:rPr>
                <w:sz w:val="18"/>
              </w:rPr>
            </w:pPr>
            <w:r>
              <w:rPr>
                <w:sz w:val="18"/>
              </w:rPr>
              <w:t>3.000</w:t>
            </w:r>
          </w:p>
        </w:tc>
        <w:tc>
          <w:tcPr>
            <w:tcW w:w="809" w:type="dxa"/>
          </w:tcPr>
          <w:p w:rsidR="00F3177F" w:rsidRDefault="00F3177F">
            <w:pPr>
              <w:pStyle w:val="TableParagraph"/>
              <w:spacing w:before="10"/>
              <w:rPr>
                <w:sz w:val="21"/>
              </w:rPr>
            </w:pPr>
          </w:p>
          <w:p w:rsidR="00F3177F" w:rsidRDefault="0089671D">
            <w:pPr>
              <w:pStyle w:val="TableParagraph"/>
              <w:ind w:right="57"/>
              <w:jc w:val="right"/>
              <w:rPr>
                <w:sz w:val="18"/>
              </w:rPr>
            </w:pPr>
            <w:r>
              <w:rPr>
                <w:sz w:val="18"/>
              </w:rPr>
              <w:t>43.000</w:t>
            </w:r>
          </w:p>
        </w:tc>
        <w:tc>
          <w:tcPr>
            <w:tcW w:w="632" w:type="dxa"/>
          </w:tcPr>
          <w:p w:rsidR="00F3177F" w:rsidRDefault="00F3177F">
            <w:pPr>
              <w:pStyle w:val="TableParagraph"/>
              <w:spacing w:before="10"/>
              <w:rPr>
                <w:sz w:val="21"/>
              </w:rPr>
            </w:pPr>
          </w:p>
          <w:p w:rsidR="00F3177F" w:rsidRDefault="0089671D">
            <w:pPr>
              <w:pStyle w:val="TableParagraph"/>
              <w:ind w:right="60"/>
              <w:jc w:val="right"/>
              <w:rPr>
                <w:sz w:val="18"/>
              </w:rPr>
            </w:pPr>
            <w:r>
              <w:rPr>
                <w:sz w:val="18"/>
              </w:rPr>
              <w:t>.915</w:t>
            </w:r>
          </w:p>
        </w:tc>
        <w:tc>
          <w:tcPr>
            <w:tcW w:w="1529" w:type="dxa"/>
          </w:tcPr>
          <w:p w:rsidR="00F3177F" w:rsidRDefault="00F3177F">
            <w:pPr>
              <w:pStyle w:val="TableParagraph"/>
              <w:spacing w:before="10"/>
              <w:rPr>
                <w:sz w:val="21"/>
              </w:rPr>
            </w:pPr>
          </w:p>
          <w:p w:rsidR="00F3177F" w:rsidRDefault="0089671D">
            <w:pPr>
              <w:pStyle w:val="TableParagraph"/>
              <w:ind w:right="57"/>
              <w:jc w:val="right"/>
              <w:rPr>
                <w:sz w:val="18"/>
              </w:rPr>
            </w:pPr>
            <w:r>
              <w:rPr>
                <w:sz w:val="18"/>
              </w:rPr>
              <w:t>.012</w:t>
            </w:r>
          </w:p>
        </w:tc>
      </w:tr>
    </w:tbl>
    <w:p w:rsidR="00F3177F" w:rsidRDefault="0089671D">
      <w:pPr>
        <w:pStyle w:val="ListParagraph"/>
        <w:numPr>
          <w:ilvl w:val="0"/>
          <w:numId w:val="18"/>
        </w:numPr>
        <w:tabs>
          <w:tab w:val="left" w:pos="885"/>
        </w:tabs>
        <w:spacing w:before="37" w:line="278" w:lineRule="auto"/>
        <w:ind w:right="415" w:firstLine="0"/>
        <w:rPr>
          <w:sz w:val="24"/>
        </w:rPr>
      </w:pPr>
      <w:r>
        <w:rPr>
          <w:sz w:val="24"/>
        </w:rPr>
        <w:t>Design: Intercept + Student Density + Number of School Building Floors + Study Shift + Student Density * Number of School Building Floors + Student Density * Study Shift + Number of School Building Floors * Study Shift + Student Density * Number of School Building Floors * Study</w:t>
      </w:r>
      <w:r>
        <w:rPr>
          <w:spacing w:val="-9"/>
          <w:sz w:val="24"/>
        </w:rPr>
        <w:t xml:space="preserve"> </w:t>
      </w:r>
      <w:r>
        <w:rPr>
          <w:sz w:val="24"/>
        </w:rPr>
        <w:t>Shift</w:t>
      </w:r>
    </w:p>
    <w:p w:rsidR="00F3177F" w:rsidRDefault="0089671D">
      <w:pPr>
        <w:pStyle w:val="ListParagraph"/>
        <w:numPr>
          <w:ilvl w:val="0"/>
          <w:numId w:val="18"/>
        </w:numPr>
        <w:tabs>
          <w:tab w:val="left" w:pos="899"/>
        </w:tabs>
        <w:spacing w:before="3"/>
        <w:ind w:left="898" w:hanging="240"/>
        <w:rPr>
          <w:sz w:val="24"/>
        </w:rPr>
      </w:pPr>
      <w:r>
        <w:rPr>
          <w:sz w:val="24"/>
        </w:rPr>
        <w:t>Exact statistic</w:t>
      </w:r>
    </w:p>
    <w:p w:rsidR="00F3177F" w:rsidRDefault="0089671D">
      <w:pPr>
        <w:pStyle w:val="ListParagraph"/>
        <w:numPr>
          <w:ilvl w:val="0"/>
          <w:numId w:val="18"/>
        </w:numPr>
        <w:tabs>
          <w:tab w:val="left" w:pos="885"/>
        </w:tabs>
        <w:spacing w:before="43" w:line="278" w:lineRule="auto"/>
        <w:ind w:right="503" w:firstLine="0"/>
        <w:rPr>
          <w:sz w:val="24"/>
        </w:rPr>
      </w:pPr>
      <w:r>
        <w:rPr>
          <w:sz w:val="24"/>
        </w:rPr>
        <w:t>The statistic is an upper bound on F that yields a lower bound on the</w:t>
      </w:r>
      <w:r>
        <w:rPr>
          <w:spacing w:val="-11"/>
          <w:sz w:val="24"/>
        </w:rPr>
        <w:t xml:space="preserve"> </w:t>
      </w:r>
      <w:r>
        <w:rPr>
          <w:sz w:val="24"/>
        </w:rPr>
        <w:t>significance level.</w:t>
      </w:r>
    </w:p>
    <w:p w:rsidR="00F3177F" w:rsidRDefault="00F3177F">
      <w:pPr>
        <w:pStyle w:val="BodyText"/>
        <w:spacing w:before="5"/>
        <w:rPr>
          <w:sz w:val="32"/>
        </w:rPr>
      </w:pPr>
    </w:p>
    <w:p w:rsidR="00F3177F" w:rsidRDefault="00CA6556">
      <w:pPr>
        <w:pStyle w:val="BodyText"/>
        <w:spacing w:line="720" w:lineRule="auto"/>
        <w:ind w:left="584" w:right="1344"/>
      </w:pPr>
      <w:r>
        <w:pict>
          <v:shape id="_x0000_s1032" type="#_x0000_t202" style="position:absolute;left:0;text-align:left;margin-left:115.7pt;margin-top:62.45pt;width:423.8pt;height:146.45pt;z-index:174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432"/>
                    <w:gridCol w:w="1169"/>
                    <w:gridCol w:w="360"/>
                    <w:gridCol w:w="1260"/>
                    <w:gridCol w:w="721"/>
                    <w:gridCol w:w="631"/>
                    <w:gridCol w:w="809"/>
                  </w:tblGrid>
                  <w:tr w:rsidR="008C4866">
                    <w:trPr>
                      <w:trHeight w:hRule="exact" w:val="970"/>
                    </w:trPr>
                    <w:tc>
                      <w:tcPr>
                        <w:tcW w:w="1080" w:type="dxa"/>
                      </w:tcPr>
                      <w:p w:rsidR="008C4866" w:rsidRDefault="008C4866">
                        <w:pPr>
                          <w:pStyle w:val="TableParagraph"/>
                          <w:rPr>
                            <w:sz w:val="20"/>
                          </w:rPr>
                        </w:pPr>
                      </w:p>
                      <w:p w:rsidR="008C4866" w:rsidRDefault="008C4866">
                        <w:pPr>
                          <w:pStyle w:val="TableParagraph"/>
                          <w:spacing w:before="173"/>
                          <w:ind w:left="256" w:right="123"/>
                          <w:rPr>
                            <w:sz w:val="20"/>
                          </w:rPr>
                        </w:pPr>
                        <w:r>
                          <w:rPr>
                            <w:sz w:val="20"/>
                          </w:rPr>
                          <w:t>Source</w:t>
                        </w:r>
                      </w:p>
                    </w:tc>
                    <w:tc>
                      <w:tcPr>
                        <w:tcW w:w="2432" w:type="dxa"/>
                      </w:tcPr>
                      <w:p w:rsidR="008C4866" w:rsidRDefault="008C4866">
                        <w:pPr>
                          <w:pStyle w:val="TableParagraph"/>
                          <w:rPr>
                            <w:sz w:val="20"/>
                          </w:rPr>
                        </w:pPr>
                      </w:p>
                      <w:p w:rsidR="008C4866" w:rsidRDefault="008C4866">
                        <w:pPr>
                          <w:pStyle w:val="TableParagraph"/>
                          <w:spacing w:before="173"/>
                          <w:ind w:left="405" w:right="87"/>
                          <w:rPr>
                            <w:sz w:val="20"/>
                          </w:rPr>
                        </w:pPr>
                        <w:r>
                          <w:rPr>
                            <w:sz w:val="20"/>
                          </w:rPr>
                          <w:t>Dependent Variable</w:t>
                        </w:r>
                      </w:p>
                    </w:tc>
                    <w:tc>
                      <w:tcPr>
                        <w:tcW w:w="1169" w:type="dxa"/>
                      </w:tcPr>
                      <w:p w:rsidR="008C4866" w:rsidRDefault="008C4866">
                        <w:pPr>
                          <w:pStyle w:val="TableParagraph"/>
                          <w:spacing w:before="15" w:line="320" w:lineRule="exact"/>
                          <w:ind w:left="261" w:right="249" w:hanging="15"/>
                          <w:jc w:val="both"/>
                          <w:rPr>
                            <w:sz w:val="20"/>
                          </w:rPr>
                        </w:pPr>
                        <w:r>
                          <w:rPr>
                            <w:sz w:val="20"/>
                          </w:rPr>
                          <w:t>Type III Sum of Squares</w:t>
                        </w:r>
                      </w:p>
                    </w:tc>
                    <w:tc>
                      <w:tcPr>
                        <w:tcW w:w="360" w:type="dxa"/>
                      </w:tcPr>
                      <w:p w:rsidR="008C4866" w:rsidRDefault="008C4866">
                        <w:pPr>
                          <w:pStyle w:val="TableParagraph"/>
                          <w:rPr>
                            <w:sz w:val="20"/>
                          </w:rPr>
                        </w:pPr>
                      </w:p>
                      <w:p w:rsidR="008C4866" w:rsidRDefault="008C4866">
                        <w:pPr>
                          <w:pStyle w:val="TableParagraph"/>
                          <w:spacing w:before="173"/>
                          <w:ind w:left="55" w:right="55"/>
                          <w:jc w:val="center"/>
                          <w:rPr>
                            <w:sz w:val="20"/>
                          </w:rPr>
                        </w:pPr>
                        <w:r>
                          <w:rPr>
                            <w:sz w:val="20"/>
                          </w:rPr>
                          <w:t>df</w:t>
                        </w:r>
                      </w:p>
                    </w:tc>
                    <w:tc>
                      <w:tcPr>
                        <w:tcW w:w="1260" w:type="dxa"/>
                      </w:tcPr>
                      <w:p w:rsidR="008C4866" w:rsidRDefault="008C4866">
                        <w:pPr>
                          <w:pStyle w:val="TableParagraph"/>
                          <w:rPr>
                            <w:sz w:val="20"/>
                          </w:rPr>
                        </w:pPr>
                      </w:p>
                      <w:p w:rsidR="008C4866" w:rsidRDefault="008C4866">
                        <w:pPr>
                          <w:pStyle w:val="TableParagraph"/>
                          <w:spacing w:before="173"/>
                          <w:ind w:left="72" w:right="76"/>
                          <w:jc w:val="center"/>
                          <w:rPr>
                            <w:sz w:val="20"/>
                          </w:rPr>
                        </w:pPr>
                        <w:r>
                          <w:rPr>
                            <w:sz w:val="20"/>
                          </w:rPr>
                          <w:t>Mean Square</w:t>
                        </w:r>
                      </w:p>
                    </w:tc>
                    <w:tc>
                      <w:tcPr>
                        <w:tcW w:w="721" w:type="dxa"/>
                      </w:tcPr>
                      <w:p w:rsidR="008C4866" w:rsidRDefault="008C4866">
                        <w:pPr>
                          <w:pStyle w:val="TableParagraph"/>
                          <w:rPr>
                            <w:sz w:val="20"/>
                          </w:rPr>
                        </w:pPr>
                      </w:p>
                      <w:p w:rsidR="008C4866" w:rsidRDefault="008C4866">
                        <w:pPr>
                          <w:pStyle w:val="TableParagraph"/>
                          <w:spacing w:before="173"/>
                          <w:jc w:val="center"/>
                          <w:rPr>
                            <w:sz w:val="20"/>
                          </w:rPr>
                        </w:pPr>
                        <w:r>
                          <w:rPr>
                            <w:w w:val="99"/>
                            <w:sz w:val="20"/>
                          </w:rPr>
                          <w:t>F</w:t>
                        </w:r>
                      </w:p>
                    </w:tc>
                    <w:tc>
                      <w:tcPr>
                        <w:tcW w:w="631" w:type="dxa"/>
                      </w:tcPr>
                      <w:p w:rsidR="008C4866" w:rsidRDefault="008C4866">
                        <w:pPr>
                          <w:pStyle w:val="TableParagraph"/>
                          <w:rPr>
                            <w:sz w:val="20"/>
                          </w:rPr>
                        </w:pPr>
                      </w:p>
                      <w:p w:rsidR="008C4866" w:rsidRDefault="008C4866">
                        <w:pPr>
                          <w:pStyle w:val="TableParagraph"/>
                          <w:spacing w:before="173"/>
                          <w:ind w:left="151"/>
                          <w:rPr>
                            <w:sz w:val="20"/>
                          </w:rPr>
                        </w:pPr>
                        <w:r>
                          <w:rPr>
                            <w:sz w:val="20"/>
                          </w:rPr>
                          <w:t>Sig.</w:t>
                        </w:r>
                      </w:p>
                    </w:tc>
                    <w:tc>
                      <w:tcPr>
                        <w:tcW w:w="809" w:type="dxa"/>
                      </w:tcPr>
                      <w:p w:rsidR="008C4866" w:rsidRDefault="008C4866">
                        <w:pPr>
                          <w:pStyle w:val="TableParagraph"/>
                          <w:spacing w:before="15" w:line="320" w:lineRule="exact"/>
                          <w:ind w:left="72" w:right="72" w:hanging="1"/>
                          <w:jc w:val="center"/>
                          <w:rPr>
                            <w:sz w:val="20"/>
                          </w:rPr>
                        </w:pPr>
                        <w:r>
                          <w:rPr>
                            <w:sz w:val="20"/>
                          </w:rPr>
                          <w:t xml:space="preserve">Partial Eta </w:t>
                        </w:r>
                        <w:r>
                          <w:rPr>
                            <w:w w:val="95"/>
                            <w:sz w:val="20"/>
                          </w:rPr>
                          <w:t>Squared</w:t>
                        </w:r>
                      </w:p>
                    </w:tc>
                  </w:tr>
                  <w:tr w:rsidR="008C4866">
                    <w:trPr>
                      <w:trHeight w:hRule="exact" w:val="650"/>
                    </w:trPr>
                    <w:tc>
                      <w:tcPr>
                        <w:tcW w:w="1080" w:type="dxa"/>
                        <w:vMerge w:val="restart"/>
                      </w:tcPr>
                      <w:p w:rsidR="008C4866" w:rsidRDefault="008C4866">
                        <w:pPr>
                          <w:pStyle w:val="TableParagraph"/>
                          <w:rPr>
                            <w:sz w:val="20"/>
                          </w:rPr>
                        </w:pPr>
                      </w:p>
                      <w:p w:rsidR="008C4866" w:rsidRDefault="008C4866">
                        <w:pPr>
                          <w:pStyle w:val="TableParagraph"/>
                          <w:rPr>
                            <w:sz w:val="20"/>
                          </w:rPr>
                        </w:pPr>
                      </w:p>
                      <w:p w:rsidR="008C4866" w:rsidRDefault="008C4866">
                        <w:pPr>
                          <w:pStyle w:val="TableParagraph"/>
                          <w:spacing w:before="11"/>
                          <w:rPr>
                            <w:sz w:val="23"/>
                          </w:rPr>
                        </w:pPr>
                      </w:p>
                      <w:p w:rsidR="008C4866" w:rsidRDefault="008C4866">
                        <w:pPr>
                          <w:pStyle w:val="TableParagraph"/>
                          <w:spacing w:line="333" w:lineRule="auto"/>
                          <w:ind w:left="273" w:right="123" w:hanging="135"/>
                          <w:rPr>
                            <w:sz w:val="20"/>
                          </w:rPr>
                        </w:pPr>
                        <w:r>
                          <w:rPr>
                            <w:sz w:val="20"/>
                          </w:rPr>
                          <w:t>Corrected Model</w:t>
                        </w:r>
                      </w:p>
                    </w:tc>
                    <w:tc>
                      <w:tcPr>
                        <w:tcW w:w="2432" w:type="dxa"/>
                      </w:tcPr>
                      <w:p w:rsidR="008C4866" w:rsidRDefault="008C4866">
                        <w:pPr>
                          <w:pStyle w:val="TableParagraph"/>
                          <w:spacing w:before="15" w:line="320" w:lineRule="exact"/>
                          <w:ind w:left="60" w:right="87"/>
                          <w:rPr>
                            <w:sz w:val="20"/>
                          </w:rPr>
                        </w:pPr>
                        <w:r>
                          <w:rPr>
                            <w:sz w:val="20"/>
                          </w:rPr>
                          <w:t>Annual Energy Consumption per Unit Area</w:t>
                        </w:r>
                      </w:p>
                    </w:tc>
                    <w:tc>
                      <w:tcPr>
                        <w:tcW w:w="1169" w:type="dxa"/>
                      </w:tcPr>
                      <w:p w:rsidR="008C4866" w:rsidRDefault="008C4866">
                        <w:pPr>
                          <w:pStyle w:val="TableParagraph"/>
                          <w:spacing w:before="2"/>
                          <w:rPr>
                            <w:sz w:val="19"/>
                          </w:rPr>
                        </w:pPr>
                      </w:p>
                      <w:p w:rsidR="008C4866" w:rsidRDefault="008C4866">
                        <w:pPr>
                          <w:pStyle w:val="TableParagraph"/>
                          <w:ind w:left="55" w:right="55"/>
                          <w:jc w:val="center"/>
                          <w:rPr>
                            <w:sz w:val="13"/>
                          </w:rPr>
                        </w:pPr>
                        <w:r>
                          <w:rPr>
                            <w:sz w:val="20"/>
                          </w:rPr>
                          <w:t>157354.858</w:t>
                        </w:r>
                        <w:r>
                          <w:rPr>
                            <w:position w:val="9"/>
                            <w:sz w:val="13"/>
                          </w:rPr>
                          <w:t>a</w:t>
                        </w:r>
                      </w:p>
                    </w:tc>
                    <w:tc>
                      <w:tcPr>
                        <w:tcW w:w="360" w:type="dxa"/>
                      </w:tcPr>
                      <w:p w:rsidR="008C4866" w:rsidRDefault="008C4866">
                        <w:pPr>
                          <w:pStyle w:val="TableParagraph"/>
                          <w:spacing w:before="3"/>
                          <w:rPr>
                            <w:sz w:val="21"/>
                          </w:rPr>
                        </w:pPr>
                      </w:p>
                      <w:p w:rsidR="008C4866" w:rsidRDefault="008C4866">
                        <w:pPr>
                          <w:pStyle w:val="TableParagraph"/>
                          <w:spacing w:before="1"/>
                          <w:ind w:right="1"/>
                          <w:jc w:val="center"/>
                          <w:rPr>
                            <w:sz w:val="20"/>
                          </w:rPr>
                        </w:pPr>
                        <w:r>
                          <w:rPr>
                            <w:w w:val="99"/>
                            <w:sz w:val="20"/>
                          </w:rPr>
                          <w:t>9</w:t>
                        </w:r>
                      </w:p>
                    </w:tc>
                    <w:tc>
                      <w:tcPr>
                        <w:tcW w:w="1260" w:type="dxa"/>
                      </w:tcPr>
                      <w:p w:rsidR="008C4866" w:rsidRDefault="008C4866">
                        <w:pPr>
                          <w:pStyle w:val="TableParagraph"/>
                          <w:spacing w:before="3"/>
                          <w:rPr>
                            <w:sz w:val="21"/>
                          </w:rPr>
                        </w:pPr>
                      </w:p>
                      <w:p w:rsidR="008C4866" w:rsidRDefault="008C4866">
                        <w:pPr>
                          <w:pStyle w:val="TableParagraph"/>
                          <w:spacing w:before="1"/>
                          <w:ind w:left="72" w:right="72"/>
                          <w:jc w:val="center"/>
                          <w:rPr>
                            <w:sz w:val="20"/>
                          </w:rPr>
                        </w:pPr>
                        <w:r>
                          <w:rPr>
                            <w:sz w:val="20"/>
                          </w:rPr>
                          <w:t>17483.873</w:t>
                        </w:r>
                      </w:p>
                    </w:tc>
                    <w:tc>
                      <w:tcPr>
                        <w:tcW w:w="721" w:type="dxa"/>
                      </w:tcPr>
                      <w:p w:rsidR="008C4866" w:rsidRDefault="008C4866">
                        <w:pPr>
                          <w:pStyle w:val="TableParagraph"/>
                          <w:spacing w:before="3"/>
                          <w:rPr>
                            <w:sz w:val="21"/>
                          </w:rPr>
                        </w:pPr>
                      </w:p>
                      <w:p w:rsidR="008C4866" w:rsidRDefault="008C4866">
                        <w:pPr>
                          <w:pStyle w:val="TableParagraph"/>
                          <w:spacing w:before="1"/>
                          <w:ind w:left="60" w:right="60"/>
                          <w:jc w:val="center"/>
                          <w:rPr>
                            <w:sz w:val="20"/>
                          </w:rPr>
                        </w:pPr>
                        <w:r>
                          <w:rPr>
                            <w:sz w:val="20"/>
                          </w:rPr>
                          <w:t>24.658</w:t>
                        </w:r>
                      </w:p>
                    </w:tc>
                    <w:tc>
                      <w:tcPr>
                        <w:tcW w:w="631" w:type="dxa"/>
                      </w:tcPr>
                      <w:p w:rsidR="008C4866" w:rsidRDefault="008C4866">
                        <w:pPr>
                          <w:pStyle w:val="TableParagraph"/>
                          <w:spacing w:before="3"/>
                          <w:rPr>
                            <w:sz w:val="21"/>
                          </w:rPr>
                        </w:pPr>
                      </w:p>
                      <w:p w:rsidR="008C4866" w:rsidRDefault="008C4866">
                        <w:pPr>
                          <w:pStyle w:val="TableParagraph"/>
                          <w:spacing w:before="1"/>
                          <w:ind w:left="134"/>
                          <w:rPr>
                            <w:sz w:val="20"/>
                          </w:rPr>
                        </w:pPr>
                        <w:r>
                          <w:rPr>
                            <w:sz w:val="20"/>
                          </w:rPr>
                          <w:t>.000</w:t>
                        </w:r>
                      </w:p>
                    </w:tc>
                    <w:tc>
                      <w:tcPr>
                        <w:tcW w:w="809" w:type="dxa"/>
                      </w:tcPr>
                      <w:p w:rsidR="008C4866" w:rsidRDefault="008C4866">
                        <w:pPr>
                          <w:pStyle w:val="TableParagraph"/>
                          <w:spacing w:before="3"/>
                          <w:rPr>
                            <w:sz w:val="21"/>
                          </w:rPr>
                        </w:pPr>
                      </w:p>
                      <w:p w:rsidR="008C4866" w:rsidRDefault="008C4866">
                        <w:pPr>
                          <w:pStyle w:val="TableParagraph"/>
                          <w:spacing w:before="1"/>
                          <w:ind w:left="223"/>
                          <w:rPr>
                            <w:sz w:val="20"/>
                          </w:rPr>
                        </w:pPr>
                        <w:r>
                          <w:rPr>
                            <w:sz w:val="20"/>
                          </w:rPr>
                          <w:t>.831</w:t>
                        </w:r>
                      </w:p>
                    </w:tc>
                  </w:tr>
                  <w:tr w:rsidR="008C4866">
                    <w:trPr>
                      <w:trHeight w:hRule="exact" w:val="649"/>
                    </w:trPr>
                    <w:tc>
                      <w:tcPr>
                        <w:tcW w:w="1080" w:type="dxa"/>
                        <w:vMerge/>
                      </w:tcPr>
                      <w:p w:rsidR="008C4866" w:rsidRDefault="008C4866"/>
                    </w:tc>
                    <w:tc>
                      <w:tcPr>
                        <w:tcW w:w="2432" w:type="dxa"/>
                      </w:tcPr>
                      <w:p w:rsidR="008C4866" w:rsidRDefault="008C4866">
                        <w:pPr>
                          <w:pStyle w:val="TableParagraph"/>
                          <w:spacing w:before="85"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8C4866" w:rsidRDefault="008C4866">
                        <w:pPr>
                          <w:pStyle w:val="TableParagraph"/>
                          <w:rPr>
                            <w:sz w:val="19"/>
                          </w:rPr>
                        </w:pPr>
                      </w:p>
                      <w:p w:rsidR="008C4866" w:rsidRDefault="008C4866">
                        <w:pPr>
                          <w:pStyle w:val="TableParagraph"/>
                          <w:ind w:left="55" w:right="55"/>
                          <w:jc w:val="center"/>
                          <w:rPr>
                            <w:sz w:val="13"/>
                          </w:rPr>
                        </w:pPr>
                        <w:r>
                          <w:rPr>
                            <w:sz w:val="20"/>
                          </w:rPr>
                          <w:t>4861.297</w:t>
                        </w:r>
                        <w:r>
                          <w:rPr>
                            <w:position w:val="9"/>
                            <w:sz w:val="13"/>
                          </w:rPr>
                          <w:t>b</w:t>
                        </w:r>
                      </w:p>
                    </w:tc>
                    <w:tc>
                      <w:tcPr>
                        <w:tcW w:w="360" w:type="dxa"/>
                      </w:tcPr>
                      <w:p w:rsidR="008C4866" w:rsidRDefault="008C4866">
                        <w:pPr>
                          <w:pStyle w:val="TableParagraph"/>
                          <w:spacing w:before="2"/>
                          <w:rPr>
                            <w:sz w:val="21"/>
                          </w:rPr>
                        </w:pPr>
                      </w:p>
                      <w:p w:rsidR="008C4866" w:rsidRDefault="008C4866">
                        <w:pPr>
                          <w:pStyle w:val="TableParagraph"/>
                          <w:ind w:right="1"/>
                          <w:jc w:val="center"/>
                          <w:rPr>
                            <w:sz w:val="20"/>
                          </w:rPr>
                        </w:pPr>
                        <w:r>
                          <w:rPr>
                            <w:w w:val="99"/>
                            <w:sz w:val="20"/>
                          </w:rPr>
                          <w:t>9</w:t>
                        </w:r>
                      </w:p>
                    </w:tc>
                    <w:tc>
                      <w:tcPr>
                        <w:tcW w:w="1260" w:type="dxa"/>
                      </w:tcPr>
                      <w:p w:rsidR="008C4866" w:rsidRDefault="008C4866">
                        <w:pPr>
                          <w:pStyle w:val="TableParagraph"/>
                          <w:spacing w:before="2"/>
                          <w:rPr>
                            <w:sz w:val="21"/>
                          </w:rPr>
                        </w:pPr>
                      </w:p>
                      <w:p w:rsidR="008C4866" w:rsidRDefault="008C4866">
                        <w:pPr>
                          <w:pStyle w:val="TableParagraph"/>
                          <w:ind w:left="72" w:right="72"/>
                          <w:jc w:val="center"/>
                          <w:rPr>
                            <w:sz w:val="20"/>
                          </w:rPr>
                        </w:pPr>
                        <w:r>
                          <w:rPr>
                            <w:sz w:val="20"/>
                          </w:rPr>
                          <w:t>540.144</w:t>
                        </w:r>
                      </w:p>
                    </w:tc>
                    <w:tc>
                      <w:tcPr>
                        <w:tcW w:w="721" w:type="dxa"/>
                      </w:tcPr>
                      <w:p w:rsidR="008C4866" w:rsidRDefault="008C4866">
                        <w:pPr>
                          <w:pStyle w:val="TableParagraph"/>
                          <w:spacing w:before="2"/>
                          <w:rPr>
                            <w:sz w:val="21"/>
                          </w:rPr>
                        </w:pPr>
                      </w:p>
                      <w:p w:rsidR="008C4866" w:rsidRDefault="008C4866">
                        <w:pPr>
                          <w:pStyle w:val="TableParagraph"/>
                          <w:ind w:left="60" w:right="60"/>
                          <w:jc w:val="center"/>
                          <w:rPr>
                            <w:sz w:val="20"/>
                          </w:rPr>
                        </w:pPr>
                        <w:r>
                          <w:rPr>
                            <w:sz w:val="20"/>
                          </w:rPr>
                          <w:t>4.796</w:t>
                        </w:r>
                      </w:p>
                    </w:tc>
                    <w:tc>
                      <w:tcPr>
                        <w:tcW w:w="631" w:type="dxa"/>
                      </w:tcPr>
                      <w:p w:rsidR="008C4866" w:rsidRDefault="008C4866">
                        <w:pPr>
                          <w:pStyle w:val="TableParagraph"/>
                          <w:spacing w:before="2"/>
                          <w:rPr>
                            <w:sz w:val="21"/>
                          </w:rPr>
                        </w:pPr>
                      </w:p>
                      <w:p w:rsidR="008C4866" w:rsidRDefault="008C4866">
                        <w:pPr>
                          <w:pStyle w:val="TableParagraph"/>
                          <w:ind w:left="134"/>
                          <w:rPr>
                            <w:sz w:val="20"/>
                          </w:rPr>
                        </w:pPr>
                        <w:r>
                          <w:rPr>
                            <w:sz w:val="20"/>
                          </w:rPr>
                          <w:t>.000</w:t>
                        </w:r>
                      </w:p>
                    </w:tc>
                    <w:tc>
                      <w:tcPr>
                        <w:tcW w:w="809" w:type="dxa"/>
                      </w:tcPr>
                      <w:p w:rsidR="008C4866" w:rsidRDefault="008C4866">
                        <w:pPr>
                          <w:pStyle w:val="TableParagraph"/>
                          <w:spacing w:before="2"/>
                          <w:rPr>
                            <w:sz w:val="21"/>
                          </w:rPr>
                        </w:pPr>
                      </w:p>
                      <w:p w:rsidR="008C4866" w:rsidRDefault="008C4866">
                        <w:pPr>
                          <w:pStyle w:val="TableParagraph"/>
                          <w:ind w:left="223"/>
                          <w:rPr>
                            <w:sz w:val="20"/>
                          </w:rPr>
                        </w:pPr>
                        <w:r>
                          <w:rPr>
                            <w:sz w:val="20"/>
                          </w:rPr>
                          <w:t>.490</w:t>
                        </w:r>
                      </w:p>
                    </w:tc>
                  </w:tr>
                  <w:tr w:rsidR="008C4866">
                    <w:trPr>
                      <w:trHeight w:hRule="exact" w:val="650"/>
                    </w:trPr>
                    <w:tc>
                      <w:tcPr>
                        <w:tcW w:w="1080" w:type="dxa"/>
                        <w:vMerge/>
                      </w:tcPr>
                      <w:p w:rsidR="008C4866" w:rsidRDefault="008C4866"/>
                    </w:tc>
                    <w:tc>
                      <w:tcPr>
                        <w:tcW w:w="2432" w:type="dxa"/>
                      </w:tcPr>
                      <w:p w:rsidR="008C4866" w:rsidRDefault="008C4866">
                        <w:pPr>
                          <w:pStyle w:val="TableParagraph"/>
                          <w:spacing w:before="17" w:line="320" w:lineRule="exact"/>
                          <w:ind w:left="60" w:right="87"/>
                          <w:rPr>
                            <w:sz w:val="20"/>
                          </w:rPr>
                        </w:pPr>
                        <w:r>
                          <w:rPr>
                            <w:sz w:val="20"/>
                          </w:rPr>
                          <w:t>Annual Energy Consumption per Student</w:t>
                        </w:r>
                      </w:p>
                    </w:tc>
                    <w:tc>
                      <w:tcPr>
                        <w:tcW w:w="1169" w:type="dxa"/>
                      </w:tcPr>
                      <w:p w:rsidR="008C4866" w:rsidRDefault="008C4866">
                        <w:pPr>
                          <w:pStyle w:val="TableParagraph"/>
                          <w:spacing w:before="87"/>
                          <w:ind w:left="54" w:right="55"/>
                          <w:jc w:val="center"/>
                          <w:rPr>
                            <w:sz w:val="20"/>
                          </w:rPr>
                        </w:pPr>
                        <w:r>
                          <w:rPr>
                            <w:sz w:val="20"/>
                          </w:rPr>
                          <w:t>15027310.0</w:t>
                        </w:r>
                      </w:p>
                      <w:p w:rsidR="008C4866" w:rsidRDefault="008C4866">
                        <w:pPr>
                          <w:pStyle w:val="TableParagraph"/>
                          <w:spacing w:before="64"/>
                          <w:ind w:left="55" w:right="53"/>
                          <w:jc w:val="center"/>
                          <w:rPr>
                            <w:sz w:val="13"/>
                          </w:rPr>
                        </w:pPr>
                        <w:r>
                          <w:rPr>
                            <w:sz w:val="20"/>
                          </w:rPr>
                          <w:t>84</w:t>
                        </w:r>
                        <w:r>
                          <w:rPr>
                            <w:position w:val="9"/>
                            <w:sz w:val="13"/>
                          </w:rPr>
                          <w:t>c</w:t>
                        </w:r>
                      </w:p>
                    </w:tc>
                    <w:tc>
                      <w:tcPr>
                        <w:tcW w:w="360" w:type="dxa"/>
                      </w:tcPr>
                      <w:p w:rsidR="008C4866" w:rsidRDefault="008C4866">
                        <w:pPr>
                          <w:pStyle w:val="TableParagraph"/>
                          <w:spacing w:before="3"/>
                          <w:rPr>
                            <w:sz w:val="21"/>
                          </w:rPr>
                        </w:pPr>
                      </w:p>
                      <w:p w:rsidR="008C4866" w:rsidRDefault="008C4866">
                        <w:pPr>
                          <w:pStyle w:val="TableParagraph"/>
                          <w:spacing w:before="1"/>
                          <w:ind w:right="1"/>
                          <w:jc w:val="center"/>
                          <w:rPr>
                            <w:sz w:val="20"/>
                          </w:rPr>
                        </w:pPr>
                        <w:r>
                          <w:rPr>
                            <w:w w:val="99"/>
                            <w:sz w:val="20"/>
                          </w:rPr>
                          <w:t>9</w:t>
                        </w:r>
                      </w:p>
                    </w:tc>
                    <w:tc>
                      <w:tcPr>
                        <w:tcW w:w="1260" w:type="dxa"/>
                      </w:tcPr>
                      <w:p w:rsidR="008C4866" w:rsidRDefault="008C4866">
                        <w:pPr>
                          <w:pStyle w:val="TableParagraph"/>
                          <w:spacing w:before="3"/>
                          <w:rPr>
                            <w:sz w:val="21"/>
                          </w:rPr>
                        </w:pPr>
                      </w:p>
                      <w:p w:rsidR="008C4866" w:rsidRDefault="008C4866">
                        <w:pPr>
                          <w:pStyle w:val="TableParagraph"/>
                          <w:spacing w:before="1"/>
                          <w:ind w:left="72" w:right="72"/>
                          <w:jc w:val="center"/>
                          <w:rPr>
                            <w:sz w:val="20"/>
                          </w:rPr>
                        </w:pPr>
                        <w:r>
                          <w:rPr>
                            <w:sz w:val="20"/>
                          </w:rPr>
                          <w:t>1669701.120</w:t>
                        </w:r>
                      </w:p>
                    </w:tc>
                    <w:tc>
                      <w:tcPr>
                        <w:tcW w:w="721" w:type="dxa"/>
                      </w:tcPr>
                      <w:p w:rsidR="008C4866" w:rsidRDefault="008C4866">
                        <w:pPr>
                          <w:pStyle w:val="TableParagraph"/>
                          <w:spacing w:before="3"/>
                          <w:rPr>
                            <w:sz w:val="21"/>
                          </w:rPr>
                        </w:pPr>
                      </w:p>
                      <w:p w:rsidR="008C4866" w:rsidRDefault="008C4866">
                        <w:pPr>
                          <w:pStyle w:val="TableParagraph"/>
                          <w:spacing w:before="1"/>
                          <w:ind w:left="60" w:right="60"/>
                          <w:jc w:val="center"/>
                          <w:rPr>
                            <w:sz w:val="20"/>
                          </w:rPr>
                        </w:pPr>
                        <w:r>
                          <w:rPr>
                            <w:sz w:val="20"/>
                          </w:rPr>
                          <w:t>3.936</w:t>
                        </w:r>
                      </w:p>
                    </w:tc>
                    <w:tc>
                      <w:tcPr>
                        <w:tcW w:w="631" w:type="dxa"/>
                      </w:tcPr>
                      <w:p w:rsidR="008C4866" w:rsidRDefault="008C4866">
                        <w:pPr>
                          <w:pStyle w:val="TableParagraph"/>
                          <w:spacing w:before="3"/>
                          <w:rPr>
                            <w:sz w:val="21"/>
                          </w:rPr>
                        </w:pPr>
                      </w:p>
                      <w:p w:rsidR="008C4866" w:rsidRDefault="008C4866">
                        <w:pPr>
                          <w:pStyle w:val="TableParagraph"/>
                          <w:spacing w:before="1"/>
                          <w:ind w:left="134"/>
                          <w:rPr>
                            <w:sz w:val="20"/>
                          </w:rPr>
                        </w:pPr>
                        <w:r>
                          <w:rPr>
                            <w:sz w:val="20"/>
                          </w:rPr>
                          <w:t>.001</w:t>
                        </w:r>
                      </w:p>
                    </w:tc>
                    <w:tc>
                      <w:tcPr>
                        <w:tcW w:w="809" w:type="dxa"/>
                      </w:tcPr>
                      <w:p w:rsidR="008C4866" w:rsidRDefault="008C4866">
                        <w:pPr>
                          <w:pStyle w:val="TableParagraph"/>
                          <w:spacing w:before="3"/>
                          <w:rPr>
                            <w:sz w:val="21"/>
                          </w:rPr>
                        </w:pPr>
                      </w:p>
                      <w:p w:rsidR="008C4866" w:rsidRDefault="008C4866">
                        <w:pPr>
                          <w:pStyle w:val="TableParagraph"/>
                          <w:spacing w:before="1"/>
                          <w:ind w:left="223"/>
                          <w:rPr>
                            <w:sz w:val="20"/>
                          </w:rPr>
                        </w:pPr>
                        <w:r>
                          <w:rPr>
                            <w:sz w:val="20"/>
                          </w:rPr>
                          <w:t>.440</w:t>
                        </w:r>
                      </w:p>
                    </w:tc>
                  </w:tr>
                </w:tbl>
                <w:p w:rsidR="008C4866" w:rsidRDefault="008C4866">
                  <w:pPr>
                    <w:pStyle w:val="BodyText"/>
                  </w:pPr>
                </w:p>
              </w:txbxContent>
            </v:textbox>
            <w10:wrap anchorx="page"/>
          </v:shape>
        </w:pict>
      </w:r>
      <w:r w:rsidR="0089671D">
        <w:t>Table 26 below shows Tests of Between-Subjects Effects for Hypothesis 1. Table 26: Tests of Between-Subjects Effects for Hypothesis 1</w:t>
      </w:r>
    </w:p>
    <w:p w:rsidR="00F3177F" w:rsidRDefault="00F3177F">
      <w:pPr>
        <w:spacing w:line="720" w:lineRule="auto"/>
        <w:sectPr w:rsidR="00F3177F">
          <w:pgSz w:w="12240" w:h="15840"/>
          <w:pgMar w:top="1380" w:right="1340" w:bottom="2320" w:left="1720" w:header="0" w:footer="2072" w:gutter="0"/>
          <w:cols w:space="720"/>
        </w:sectPr>
      </w:pPr>
    </w:p>
    <w:p w:rsidR="00F3177F" w:rsidRDefault="0089671D">
      <w:pPr>
        <w:pStyle w:val="BodyText"/>
        <w:spacing w:before="58" w:after="6"/>
        <w:ind w:left="658" w:right="151"/>
      </w:pPr>
      <w:r>
        <w:lastRenderedPageBreak/>
        <w:t>Table 26: Tests of Between-Subjects Effects for Hypothesis 1 (continued)</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432"/>
        <w:gridCol w:w="1169"/>
        <w:gridCol w:w="360"/>
        <w:gridCol w:w="1260"/>
        <w:gridCol w:w="721"/>
        <w:gridCol w:w="631"/>
        <w:gridCol w:w="809"/>
      </w:tblGrid>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180" w:right="123"/>
              <w:rPr>
                <w:sz w:val="20"/>
              </w:rPr>
            </w:pPr>
            <w:r>
              <w:rPr>
                <w:sz w:val="20"/>
              </w:rPr>
              <w:t>Intercept</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4" w:right="55"/>
              <w:jc w:val="center"/>
              <w:rPr>
                <w:sz w:val="20"/>
              </w:rPr>
            </w:pPr>
            <w:r>
              <w:rPr>
                <w:sz w:val="20"/>
              </w:rPr>
              <w:t>153856.238</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148"/>
              <w:rPr>
                <w:sz w:val="20"/>
              </w:rPr>
            </w:pPr>
            <w:r>
              <w:rPr>
                <w:sz w:val="20"/>
              </w:rPr>
              <w:t>153856.238</w:t>
            </w:r>
          </w:p>
        </w:tc>
        <w:tc>
          <w:tcPr>
            <w:tcW w:w="721" w:type="dxa"/>
          </w:tcPr>
          <w:p w:rsidR="00F3177F" w:rsidRDefault="0089671D">
            <w:pPr>
              <w:pStyle w:val="TableParagraph"/>
              <w:spacing w:before="87"/>
              <w:ind w:left="60" w:right="60"/>
              <w:jc w:val="center"/>
              <w:rPr>
                <w:sz w:val="20"/>
              </w:rPr>
            </w:pPr>
            <w:r>
              <w:rPr>
                <w:sz w:val="20"/>
              </w:rPr>
              <w:t>216.98</w:t>
            </w:r>
          </w:p>
          <w:p w:rsidR="00F3177F" w:rsidRDefault="0089671D">
            <w:pPr>
              <w:pStyle w:val="TableParagraph"/>
              <w:spacing w:before="89"/>
              <w:ind w:right="1"/>
              <w:jc w:val="center"/>
              <w:rPr>
                <w:sz w:val="20"/>
              </w:rPr>
            </w:pPr>
            <w:r>
              <w:rPr>
                <w:w w:val="99"/>
                <w:sz w:val="20"/>
              </w:rPr>
              <w:t>9</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.828</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8983.641</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249"/>
              <w:rPr>
                <w:sz w:val="20"/>
              </w:rPr>
            </w:pPr>
            <w:r>
              <w:rPr>
                <w:sz w:val="20"/>
              </w:rPr>
              <w:t>8983.641</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79.763</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.639</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89671D">
            <w:pPr>
              <w:pStyle w:val="TableParagraph"/>
              <w:spacing w:before="84"/>
              <w:ind w:left="54" w:right="55"/>
              <w:jc w:val="center"/>
              <w:rPr>
                <w:sz w:val="20"/>
              </w:rPr>
            </w:pPr>
            <w:r>
              <w:rPr>
                <w:sz w:val="20"/>
              </w:rPr>
              <w:t>6641818.43</w:t>
            </w:r>
          </w:p>
          <w:p w:rsidR="00F3177F" w:rsidRDefault="0089671D">
            <w:pPr>
              <w:pStyle w:val="TableParagraph"/>
              <w:spacing w:before="91"/>
              <w:ind w:right="3"/>
              <w:jc w:val="center"/>
              <w:rPr>
                <w:sz w:val="20"/>
              </w:rPr>
            </w:pPr>
            <w:r>
              <w:rPr>
                <w:w w:val="99"/>
                <w:sz w:val="20"/>
              </w:rPr>
              <w:t>5</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98"/>
              <w:rPr>
                <w:sz w:val="20"/>
              </w:rPr>
            </w:pPr>
            <w:r>
              <w:rPr>
                <w:sz w:val="20"/>
              </w:rPr>
              <w:t>6641818.435</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15.658</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.258</w:t>
            </w:r>
          </w:p>
        </w:tc>
      </w:tr>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23"/>
              </w:rPr>
            </w:pPr>
          </w:p>
          <w:p w:rsidR="00F3177F" w:rsidRDefault="0089671D">
            <w:pPr>
              <w:pStyle w:val="TableParagraph"/>
              <w:spacing w:line="333" w:lineRule="auto"/>
              <w:ind w:left="223" w:right="205" w:firstLine="7"/>
              <w:rPr>
                <w:sz w:val="20"/>
              </w:rPr>
            </w:pPr>
            <w:r>
              <w:rPr>
                <w:sz w:val="20"/>
              </w:rPr>
              <w:t>Student Density</w:t>
            </w:r>
          </w:p>
        </w:tc>
        <w:tc>
          <w:tcPr>
            <w:tcW w:w="2432" w:type="dxa"/>
          </w:tcPr>
          <w:p w:rsidR="00F3177F" w:rsidRDefault="0089671D">
            <w:pPr>
              <w:pStyle w:val="TableParagraph"/>
              <w:spacing w:before="15"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26081.444</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199"/>
              <w:rPr>
                <w:sz w:val="20"/>
              </w:rPr>
            </w:pPr>
            <w:r>
              <w:rPr>
                <w:sz w:val="20"/>
              </w:rPr>
              <w:t>26081.444</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36.784</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.450</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84"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1717.180</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249"/>
              <w:rPr>
                <w:sz w:val="20"/>
              </w:rPr>
            </w:pPr>
            <w:r>
              <w:rPr>
                <w:sz w:val="20"/>
              </w:rPr>
              <w:t>1717.180</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15.246</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.253</w:t>
            </w:r>
          </w:p>
        </w:tc>
      </w:tr>
      <w:tr w:rsidR="00F3177F">
        <w:trPr>
          <w:trHeight w:hRule="exact" w:val="649"/>
        </w:trPr>
        <w:tc>
          <w:tcPr>
            <w:tcW w:w="1080" w:type="dxa"/>
            <w:vMerge/>
          </w:tcPr>
          <w:p w:rsidR="00F3177F" w:rsidRDefault="00F3177F"/>
        </w:tc>
        <w:tc>
          <w:tcPr>
            <w:tcW w:w="2432" w:type="dxa"/>
          </w:tcPr>
          <w:p w:rsidR="00F3177F" w:rsidRDefault="0089671D">
            <w:pPr>
              <w:pStyle w:val="TableParagraph"/>
              <w:spacing w:before="16" w:line="320" w:lineRule="exact"/>
              <w:ind w:left="60" w:right="87"/>
              <w:rPr>
                <w:sz w:val="20"/>
              </w:rPr>
            </w:pPr>
            <w:r>
              <w:rPr>
                <w:sz w:val="20"/>
              </w:rPr>
              <w:t>Annual Energy Consumption per Student</w:t>
            </w:r>
          </w:p>
        </w:tc>
        <w:tc>
          <w:tcPr>
            <w:tcW w:w="1169" w:type="dxa"/>
          </w:tcPr>
          <w:p w:rsidR="00F3177F" w:rsidRDefault="00F3177F">
            <w:pPr>
              <w:pStyle w:val="TableParagraph"/>
              <w:spacing w:before="2"/>
              <w:rPr>
                <w:sz w:val="21"/>
              </w:rPr>
            </w:pPr>
          </w:p>
          <w:p w:rsidR="00F3177F" w:rsidRDefault="0089671D">
            <w:pPr>
              <w:pStyle w:val="TableParagraph"/>
              <w:ind w:left="54" w:right="55"/>
              <w:jc w:val="center"/>
              <w:rPr>
                <w:sz w:val="20"/>
              </w:rPr>
            </w:pPr>
            <w:r>
              <w:rPr>
                <w:sz w:val="20"/>
              </w:rPr>
              <w:t>592175.561</w:t>
            </w:r>
          </w:p>
        </w:tc>
        <w:tc>
          <w:tcPr>
            <w:tcW w:w="360" w:type="dxa"/>
          </w:tcPr>
          <w:p w:rsidR="00F3177F" w:rsidRDefault="00F3177F">
            <w:pPr>
              <w:pStyle w:val="TableParagraph"/>
              <w:spacing w:before="2"/>
              <w:rPr>
                <w:sz w:val="21"/>
              </w:rPr>
            </w:pPr>
          </w:p>
          <w:p w:rsidR="00F3177F" w:rsidRDefault="0089671D">
            <w:pPr>
              <w:pStyle w:val="TableParagraph"/>
              <w:ind w:right="1"/>
              <w:jc w:val="center"/>
              <w:rPr>
                <w:sz w:val="20"/>
              </w:rPr>
            </w:pPr>
            <w:r>
              <w:rPr>
                <w:w w:val="99"/>
                <w:sz w:val="20"/>
              </w:rPr>
              <w:t>1</w:t>
            </w:r>
          </w:p>
        </w:tc>
        <w:tc>
          <w:tcPr>
            <w:tcW w:w="1260" w:type="dxa"/>
          </w:tcPr>
          <w:p w:rsidR="00F3177F" w:rsidRDefault="00F3177F">
            <w:pPr>
              <w:pStyle w:val="TableParagraph"/>
              <w:spacing w:before="2"/>
              <w:rPr>
                <w:sz w:val="21"/>
              </w:rPr>
            </w:pPr>
          </w:p>
          <w:p w:rsidR="00F3177F" w:rsidRDefault="0089671D">
            <w:pPr>
              <w:pStyle w:val="TableParagraph"/>
              <w:ind w:left="148"/>
              <w:rPr>
                <w:sz w:val="20"/>
              </w:rPr>
            </w:pPr>
            <w:r>
              <w:rPr>
                <w:sz w:val="20"/>
              </w:rPr>
              <w:t>592175.561</w:t>
            </w:r>
          </w:p>
        </w:tc>
        <w:tc>
          <w:tcPr>
            <w:tcW w:w="721" w:type="dxa"/>
          </w:tcPr>
          <w:p w:rsidR="00F3177F" w:rsidRDefault="00F3177F">
            <w:pPr>
              <w:pStyle w:val="TableParagraph"/>
              <w:spacing w:before="2"/>
              <w:rPr>
                <w:sz w:val="21"/>
              </w:rPr>
            </w:pPr>
          </w:p>
          <w:p w:rsidR="00F3177F" w:rsidRDefault="0089671D">
            <w:pPr>
              <w:pStyle w:val="TableParagraph"/>
              <w:ind w:left="60" w:right="60"/>
              <w:jc w:val="center"/>
              <w:rPr>
                <w:sz w:val="20"/>
              </w:rPr>
            </w:pPr>
            <w:r>
              <w:rPr>
                <w:sz w:val="20"/>
              </w:rPr>
              <w:t>1.396</w:t>
            </w:r>
          </w:p>
        </w:tc>
        <w:tc>
          <w:tcPr>
            <w:tcW w:w="631" w:type="dxa"/>
          </w:tcPr>
          <w:p w:rsidR="00F3177F" w:rsidRDefault="00F3177F">
            <w:pPr>
              <w:pStyle w:val="TableParagraph"/>
              <w:spacing w:before="2"/>
              <w:rPr>
                <w:sz w:val="21"/>
              </w:rPr>
            </w:pPr>
          </w:p>
          <w:p w:rsidR="00F3177F" w:rsidRDefault="0089671D">
            <w:pPr>
              <w:pStyle w:val="TableParagraph"/>
              <w:ind w:left="134"/>
              <w:rPr>
                <w:sz w:val="20"/>
              </w:rPr>
            </w:pPr>
            <w:r>
              <w:rPr>
                <w:sz w:val="20"/>
              </w:rPr>
              <w:t>.244</w:t>
            </w:r>
          </w:p>
        </w:tc>
        <w:tc>
          <w:tcPr>
            <w:tcW w:w="809" w:type="dxa"/>
          </w:tcPr>
          <w:p w:rsidR="00F3177F" w:rsidRDefault="00F3177F">
            <w:pPr>
              <w:pStyle w:val="TableParagraph"/>
              <w:spacing w:before="2"/>
              <w:rPr>
                <w:sz w:val="21"/>
              </w:rPr>
            </w:pPr>
          </w:p>
          <w:p w:rsidR="00F3177F" w:rsidRDefault="0089671D">
            <w:pPr>
              <w:pStyle w:val="TableParagraph"/>
              <w:ind w:left="223"/>
              <w:rPr>
                <w:sz w:val="20"/>
              </w:rPr>
            </w:pPr>
            <w:r>
              <w:rPr>
                <w:sz w:val="20"/>
              </w:rPr>
              <w:t>.030</w:t>
            </w:r>
          </w:p>
        </w:tc>
      </w:tr>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spacing w:before="1"/>
              <w:rPr>
                <w:sz w:val="16"/>
              </w:rPr>
            </w:pPr>
          </w:p>
          <w:p w:rsidR="00F3177F" w:rsidRDefault="0089671D">
            <w:pPr>
              <w:pStyle w:val="TableParagraph"/>
              <w:spacing w:line="333" w:lineRule="auto"/>
              <w:ind w:left="63" w:right="63"/>
              <w:jc w:val="center"/>
              <w:rPr>
                <w:sz w:val="20"/>
              </w:rPr>
            </w:pPr>
            <w:r>
              <w:rPr>
                <w:sz w:val="20"/>
              </w:rPr>
              <w:t>+ Number</w:t>
            </w:r>
            <w:r>
              <w:rPr>
                <w:w w:val="99"/>
                <w:sz w:val="20"/>
              </w:rPr>
              <w:t xml:space="preserve"> </w:t>
            </w:r>
            <w:r>
              <w:rPr>
                <w:sz w:val="20"/>
              </w:rPr>
              <w:t>of School Building Floors</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4325.641</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249"/>
              <w:rPr>
                <w:sz w:val="20"/>
              </w:rPr>
            </w:pPr>
            <w:r>
              <w:rPr>
                <w:sz w:val="20"/>
              </w:rPr>
              <w:t>2162.821</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3.050</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.057</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.119</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23.227</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350"/>
              <w:rPr>
                <w:sz w:val="20"/>
              </w:rPr>
            </w:pPr>
            <w:r>
              <w:rPr>
                <w:sz w:val="20"/>
              </w:rPr>
              <w:t>11.613</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.103</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.902</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.005</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F3177F">
            <w:pPr>
              <w:pStyle w:val="TableParagraph"/>
              <w:spacing w:before="3"/>
              <w:rPr>
                <w:sz w:val="21"/>
              </w:rPr>
            </w:pPr>
          </w:p>
          <w:p w:rsidR="00F3177F" w:rsidRDefault="0089671D">
            <w:pPr>
              <w:pStyle w:val="TableParagraph"/>
              <w:spacing w:before="1"/>
              <w:ind w:left="54" w:right="55"/>
              <w:jc w:val="center"/>
              <w:rPr>
                <w:sz w:val="20"/>
              </w:rPr>
            </w:pPr>
            <w:r>
              <w:rPr>
                <w:sz w:val="20"/>
              </w:rPr>
              <w:t>537540.031</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148"/>
              <w:rPr>
                <w:sz w:val="20"/>
              </w:rPr>
            </w:pPr>
            <w:r>
              <w:rPr>
                <w:sz w:val="20"/>
              </w:rPr>
              <w:t>268770.015</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.634</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.535</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.027</w:t>
            </w:r>
          </w:p>
        </w:tc>
      </w:tr>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81"/>
              <w:rPr>
                <w:sz w:val="20"/>
              </w:rPr>
            </w:pPr>
            <w:r>
              <w:rPr>
                <w:sz w:val="20"/>
              </w:rPr>
              <w:t>Study Shift</w:t>
            </w:r>
          </w:p>
        </w:tc>
        <w:tc>
          <w:tcPr>
            <w:tcW w:w="2432" w:type="dxa"/>
          </w:tcPr>
          <w:p w:rsidR="00F3177F" w:rsidRDefault="0089671D">
            <w:pPr>
              <w:pStyle w:val="TableParagraph"/>
              <w:spacing w:before="15"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18037.709</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199"/>
              <w:rPr>
                <w:sz w:val="20"/>
              </w:rPr>
            </w:pPr>
            <w:r>
              <w:rPr>
                <w:sz w:val="20"/>
              </w:rPr>
              <w:t>18037.709</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25.439</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.000</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.361</w:t>
            </w:r>
          </w:p>
        </w:tc>
      </w:tr>
      <w:tr w:rsidR="00F3177F">
        <w:trPr>
          <w:trHeight w:hRule="exact" w:val="651"/>
        </w:trPr>
        <w:tc>
          <w:tcPr>
            <w:tcW w:w="1080" w:type="dxa"/>
            <w:vMerge/>
          </w:tcPr>
          <w:p w:rsidR="00F3177F" w:rsidRDefault="00F3177F"/>
        </w:tc>
        <w:tc>
          <w:tcPr>
            <w:tcW w:w="2432" w:type="dxa"/>
          </w:tcPr>
          <w:p w:rsidR="00F3177F" w:rsidRDefault="0089671D">
            <w:pPr>
              <w:pStyle w:val="TableParagraph"/>
              <w:spacing w:before="85"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4"/>
              <w:rPr>
                <w:sz w:val="21"/>
              </w:rPr>
            </w:pPr>
          </w:p>
          <w:p w:rsidR="00F3177F" w:rsidRDefault="0089671D">
            <w:pPr>
              <w:pStyle w:val="TableParagraph"/>
              <w:ind w:left="55" w:right="55"/>
              <w:jc w:val="center"/>
              <w:rPr>
                <w:sz w:val="20"/>
              </w:rPr>
            </w:pPr>
            <w:r>
              <w:rPr>
                <w:sz w:val="20"/>
              </w:rPr>
              <w:t>295.265</w:t>
            </w:r>
          </w:p>
        </w:tc>
        <w:tc>
          <w:tcPr>
            <w:tcW w:w="360" w:type="dxa"/>
          </w:tcPr>
          <w:p w:rsidR="00F3177F" w:rsidRDefault="00F3177F">
            <w:pPr>
              <w:pStyle w:val="TableParagraph"/>
              <w:spacing w:before="4"/>
              <w:rPr>
                <w:sz w:val="21"/>
              </w:rPr>
            </w:pPr>
          </w:p>
          <w:p w:rsidR="00F3177F" w:rsidRDefault="0089671D">
            <w:pPr>
              <w:pStyle w:val="TableParagraph"/>
              <w:ind w:right="1"/>
              <w:jc w:val="center"/>
              <w:rPr>
                <w:sz w:val="20"/>
              </w:rPr>
            </w:pPr>
            <w:r>
              <w:rPr>
                <w:w w:val="99"/>
                <w:sz w:val="20"/>
              </w:rPr>
              <w:t>1</w:t>
            </w:r>
          </w:p>
        </w:tc>
        <w:tc>
          <w:tcPr>
            <w:tcW w:w="1260" w:type="dxa"/>
          </w:tcPr>
          <w:p w:rsidR="00F3177F" w:rsidRDefault="00F3177F">
            <w:pPr>
              <w:pStyle w:val="TableParagraph"/>
              <w:spacing w:before="4"/>
              <w:rPr>
                <w:sz w:val="21"/>
              </w:rPr>
            </w:pPr>
          </w:p>
          <w:p w:rsidR="00F3177F" w:rsidRDefault="0089671D">
            <w:pPr>
              <w:pStyle w:val="TableParagraph"/>
              <w:ind w:left="299"/>
              <w:rPr>
                <w:sz w:val="20"/>
              </w:rPr>
            </w:pPr>
            <w:r>
              <w:rPr>
                <w:sz w:val="20"/>
              </w:rPr>
              <w:t>295.265</w:t>
            </w:r>
          </w:p>
        </w:tc>
        <w:tc>
          <w:tcPr>
            <w:tcW w:w="721" w:type="dxa"/>
          </w:tcPr>
          <w:p w:rsidR="00F3177F" w:rsidRDefault="00F3177F">
            <w:pPr>
              <w:pStyle w:val="TableParagraph"/>
              <w:spacing w:before="4"/>
              <w:rPr>
                <w:sz w:val="21"/>
              </w:rPr>
            </w:pPr>
          </w:p>
          <w:p w:rsidR="00F3177F" w:rsidRDefault="0089671D">
            <w:pPr>
              <w:pStyle w:val="TableParagraph"/>
              <w:ind w:left="60" w:right="60"/>
              <w:jc w:val="center"/>
              <w:rPr>
                <w:sz w:val="20"/>
              </w:rPr>
            </w:pPr>
            <w:r>
              <w:rPr>
                <w:sz w:val="20"/>
              </w:rPr>
              <w:t>2.622</w:t>
            </w:r>
          </w:p>
        </w:tc>
        <w:tc>
          <w:tcPr>
            <w:tcW w:w="631" w:type="dxa"/>
          </w:tcPr>
          <w:p w:rsidR="00F3177F" w:rsidRDefault="00F3177F">
            <w:pPr>
              <w:pStyle w:val="TableParagraph"/>
              <w:spacing w:before="4"/>
              <w:rPr>
                <w:sz w:val="21"/>
              </w:rPr>
            </w:pPr>
          </w:p>
          <w:p w:rsidR="00F3177F" w:rsidRDefault="0089671D">
            <w:pPr>
              <w:pStyle w:val="TableParagraph"/>
              <w:ind w:left="134"/>
              <w:rPr>
                <w:sz w:val="20"/>
              </w:rPr>
            </w:pPr>
            <w:r>
              <w:rPr>
                <w:sz w:val="20"/>
              </w:rPr>
              <w:t>.112</w:t>
            </w:r>
          </w:p>
        </w:tc>
        <w:tc>
          <w:tcPr>
            <w:tcW w:w="809" w:type="dxa"/>
          </w:tcPr>
          <w:p w:rsidR="00F3177F" w:rsidRDefault="00F3177F">
            <w:pPr>
              <w:pStyle w:val="TableParagraph"/>
              <w:spacing w:before="4"/>
              <w:rPr>
                <w:sz w:val="21"/>
              </w:rPr>
            </w:pPr>
          </w:p>
          <w:p w:rsidR="00F3177F" w:rsidRDefault="0089671D">
            <w:pPr>
              <w:pStyle w:val="TableParagraph"/>
              <w:ind w:left="223"/>
              <w:rPr>
                <w:sz w:val="20"/>
              </w:rPr>
            </w:pPr>
            <w:r>
              <w:rPr>
                <w:sz w:val="20"/>
              </w:rPr>
              <w:t>.055</w:t>
            </w:r>
          </w:p>
        </w:tc>
      </w:tr>
      <w:tr w:rsidR="00F3177F">
        <w:trPr>
          <w:trHeight w:hRule="exact" w:val="648"/>
        </w:trPr>
        <w:tc>
          <w:tcPr>
            <w:tcW w:w="1080" w:type="dxa"/>
            <w:vMerge/>
          </w:tcPr>
          <w:p w:rsidR="00F3177F" w:rsidRDefault="00F3177F"/>
        </w:tc>
        <w:tc>
          <w:tcPr>
            <w:tcW w:w="2432" w:type="dxa"/>
          </w:tcPr>
          <w:p w:rsidR="00F3177F" w:rsidRDefault="0089671D">
            <w:pPr>
              <w:pStyle w:val="TableParagraph"/>
              <w:spacing w:before="15" w:line="320" w:lineRule="exact"/>
              <w:ind w:left="60" w:right="87"/>
              <w:rPr>
                <w:sz w:val="20"/>
              </w:rPr>
            </w:pPr>
            <w:r>
              <w:rPr>
                <w:sz w:val="20"/>
              </w:rPr>
              <w:t>Annual Energy Consumption per Student</w:t>
            </w:r>
          </w:p>
        </w:tc>
        <w:tc>
          <w:tcPr>
            <w:tcW w:w="1169" w:type="dxa"/>
          </w:tcPr>
          <w:p w:rsidR="00F3177F" w:rsidRDefault="0089671D">
            <w:pPr>
              <w:pStyle w:val="TableParagraph"/>
              <w:spacing w:before="84"/>
              <w:ind w:left="54" w:right="55"/>
              <w:jc w:val="center"/>
              <w:rPr>
                <w:sz w:val="20"/>
              </w:rPr>
            </w:pPr>
            <w:r>
              <w:rPr>
                <w:sz w:val="20"/>
              </w:rPr>
              <w:t>1195519.84</w:t>
            </w:r>
          </w:p>
          <w:p w:rsidR="00F3177F" w:rsidRDefault="0089671D">
            <w:pPr>
              <w:pStyle w:val="TableParagraph"/>
              <w:spacing w:before="89"/>
              <w:ind w:right="3"/>
              <w:jc w:val="center"/>
              <w:rPr>
                <w:sz w:val="20"/>
              </w:rPr>
            </w:pPr>
            <w:r>
              <w:rPr>
                <w:w w:val="99"/>
                <w:sz w:val="20"/>
              </w:rPr>
              <w:t>7</w:t>
            </w:r>
          </w:p>
        </w:tc>
        <w:tc>
          <w:tcPr>
            <w:tcW w:w="360" w:type="dxa"/>
          </w:tcPr>
          <w:p w:rsidR="00F3177F" w:rsidRDefault="00F3177F">
            <w:pPr>
              <w:pStyle w:val="TableParagraph"/>
              <w:spacing w:before="1"/>
              <w:rPr>
                <w:sz w:val="21"/>
              </w:rPr>
            </w:pPr>
          </w:p>
          <w:p w:rsidR="00F3177F" w:rsidRDefault="0089671D">
            <w:pPr>
              <w:pStyle w:val="TableParagraph"/>
              <w:ind w:right="1"/>
              <w:jc w:val="center"/>
              <w:rPr>
                <w:sz w:val="20"/>
              </w:rPr>
            </w:pPr>
            <w:r>
              <w:rPr>
                <w:w w:val="99"/>
                <w:sz w:val="20"/>
              </w:rPr>
              <w:t>1</w:t>
            </w:r>
          </w:p>
        </w:tc>
        <w:tc>
          <w:tcPr>
            <w:tcW w:w="1260" w:type="dxa"/>
          </w:tcPr>
          <w:p w:rsidR="00F3177F" w:rsidRDefault="00F3177F">
            <w:pPr>
              <w:pStyle w:val="TableParagraph"/>
              <w:spacing w:before="1"/>
              <w:rPr>
                <w:sz w:val="21"/>
              </w:rPr>
            </w:pPr>
          </w:p>
          <w:p w:rsidR="00F3177F" w:rsidRDefault="0089671D">
            <w:pPr>
              <w:pStyle w:val="TableParagraph"/>
              <w:ind w:left="98"/>
              <w:rPr>
                <w:sz w:val="20"/>
              </w:rPr>
            </w:pPr>
            <w:r>
              <w:rPr>
                <w:sz w:val="20"/>
              </w:rPr>
              <w:t>1195519.847</w:t>
            </w:r>
          </w:p>
        </w:tc>
        <w:tc>
          <w:tcPr>
            <w:tcW w:w="721" w:type="dxa"/>
          </w:tcPr>
          <w:p w:rsidR="00F3177F" w:rsidRDefault="00F3177F">
            <w:pPr>
              <w:pStyle w:val="TableParagraph"/>
              <w:spacing w:before="1"/>
              <w:rPr>
                <w:sz w:val="21"/>
              </w:rPr>
            </w:pPr>
          </w:p>
          <w:p w:rsidR="00F3177F" w:rsidRDefault="0089671D">
            <w:pPr>
              <w:pStyle w:val="TableParagraph"/>
              <w:ind w:left="60" w:right="60"/>
              <w:jc w:val="center"/>
              <w:rPr>
                <w:sz w:val="20"/>
              </w:rPr>
            </w:pPr>
            <w:r>
              <w:rPr>
                <w:sz w:val="20"/>
              </w:rPr>
              <w:t>2.818</w:t>
            </w:r>
          </w:p>
        </w:tc>
        <w:tc>
          <w:tcPr>
            <w:tcW w:w="631" w:type="dxa"/>
          </w:tcPr>
          <w:p w:rsidR="00F3177F" w:rsidRDefault="00F3177F">
            <w:pPr>
              <w:pStyle w:val="TableParagraph"/>
              <w:spacing w:before="1"/>
              <w:rPr>
                <w:sz w:val="21"/>
              </w:rPr>
            </w:pPr>
          </w:p>
          <w:p w:rsidR="00F3177F" w:rsidRDefault="0089671D">
            <w:pPr>
              <w:pStyle w:val="TableParagraph"/>
              <w:ind w:left="134"/>
              <w:rPr>
                <w:sz w:val="20"/>
              </w:rPr>
            </w:pPr>
            <w:r>
              <w:rPr>
                <w:sz w:val="20"/>
              </w:rPr>
              <w:t>.100</w:t>
            </w:r>
          </w:p>
        </w:tc>
        <w:tc>
          <w:tcPr>
            <w:tcW w:w="809" w:type="dxa"/>
          </w:tcPr>
          <w:p w:rsidR="00F3177F" w:rsidRDefault="00F3177F">
            <w:pPr>
              <w:pStyle w:val="TableParagraph"/>
              <w:spacing w:before="1"/>
              <w:rPr>
                <w:sz w:val="21"/>
              </w:rPr>
            </w:pPr>
          </w:p>
          <w:p w:rsidR="00F3177F" w:rsidRDefault="0089671D">
            <w:pPr>
              <w:pStyle w:val="TableParagraph"/>
              <w:ind w:left="223"/>
              <w:rPr>
                <w:sz w:val="20"/>
              </w:rPr>
            </w:pPr>
            <w:r>
              <w:rPr>
                <w:sz w:val="20"/>
              </w:rPr>
              <w:t>.059</w:t>
            </w:r>
          </w:p>
        </w:tc>
      </w:tr>
      <w:tr w:rsidR="00F3177F">
        <w:trPr>
          <w:trHeight w:hRule="exact" w:val="650"/>
        </w:trPr>
        <w:tc>
          <w:tcPr>
            <w:tcW w:w="1080" w:type="dxa"/>
            <w:vMerge w:val="restart"/>
          </w:tcPr>
          <w:p w:rsidR="00F3177F" w:rsidRDefault="0089671D">
            <w:pPr>
              <w:pStyle w:val="TableParagraph"/>
              <w:spacing w:before="96" w:line="333" w:lineRule="auto"/>
              <w:ind w:left="67" w:right="68" w:firstLine="3"/>
              <w:jc w:val="center"/>
              <w:rPr>
                <w:sz w:val="20"/>
              </w:rPr>
            </w:pPr>
            <w:r>
              <w:rPr>
                <w:sz w:val="20"/>
              </w:rPr>
              <w:t>Student Density * +</w:t>
            </w:r>
            <w:r>
              <w:rPr>
                <w:w w:val="99"/>
                <w:sz w:val="20"/>
              </w:rPr>
              <w:t xml:space="preserve"> </w:t>
            </w:r>
            <w:r>
              <w:rPr>
                <w:sz w:val="20"/>
              </w:rPr>
              <w:t>Number of School Building</w:t>
            </w:r>
          </w:p>
          <w:p w:rsidR="00F3177F" w:rsidRDefault="0089671D">
            <w:pPr>
              <w:pStyle w:val="TableParagraph"/>
              <w:spacing w:before="3"/>
              <w:ind w:left="63" w:right="63"/>
              <w:jc w:val="center"/>
              <w:rPr>
                <w:sz w:val="20"/>
              </w:rPr>
            </w:pPr>
            <w:r>
              <w:rPr>
                <w:sz w:val="20"/>
              </w:rPr>
              <w:t>Floors</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51.777</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350"/>
              <w:rPr>
                <w:sz w:val="20"/>
              </w:rPr>
            </w:pPr>
            <w:r>
              <w:rPr>
                <w:sz w:val="20"/>
              </w:rPr>
              <w:t>51.777</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.073</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.788</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.002</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8.667</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398"/>
              <w:rPr>
                <w:sz w:val="20"/>
              </w:rPr>
            </w:pPr>
            <w:r>
              <w:rPr>
                <w:sz w:val="20"/>
              </w:rPr>
              <w:t>8.667</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.077</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.783</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.002</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77209.620</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199"/>
              <w:rPr>
                <w:sz w:val="20"/>
              </w:rPr>
            </w:pPr>
            <w:r>
              <w:rPr>
                <w:sz w:val="20"/>
              </w:rPr>
              <w:t>77209.620</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.182</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.672</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.004</w:t>
            </w:r>
          </w:p>
        </w:tc>
      </w:tr>
      <w:tr w:rsidR="00F3177F">
        <w:trPr>
          <w:trHeight w:hRule="exact" w:val="651"/>
        </w:trPr>
        <w:tc>
          <w:tcPr>
            <w:tcW w:w="1080" w:type="dxa"/>
            <w:vMerge w:val="restart"/>
          </w:tcPr>
          <w:p w:rsidR="00F3177F" w:rsidRDefault="00F3177F">
            <w:pPr>
              <w:pStyle w:val="TableParagraph"/>
              <w:rPr>
                <w:sz w:val="20"/>
              </w:rPr>
            </w:pPr>
          </w:p>
          <w:p w:rsidR="00F3177F" w:rsidRDefault="00F3177F">
            <w:pPr>
              <w:pStyle w:val="TableParagraph"/>
              <w:spacing w:before="11"/>
              <w:rPr>
                <w:sz w:val="29"/>
              </w:rPr>
            </w:pPr>
          </w:p>
          <w:p w:rsidR="00F3177F" w:rsidRDefault="0089671D">
            <w:pPr>
              <w:pStyle w:val="TableParagraph"/>
              <w:spacing w:line="333" w:lineRule="auto"/>
              <w:ind w:left="81" w:right="85" w:firstLine="5"/>
              <w:jc w:val="center"/>
              <w:rPr>
                <w:sz w:val="20"/>
              </w:rPr>
            </w:pPr>
            <w:r>
              <w:rPr>
                <w:sz w:val="20"/>
              </w:rPr>
              <w:t>Student Density * Study</w:t>
            </w:r>
            <w:r>
              <w:rPr>
                <w:spacing w:val="-6"/>
                <w:sz w:val="20"/>
              </w:rPr>
              <w:t xml:space="preserve"> </w:t>
            </w:r>
            <w:r>
              <w:rPr>
                <w:sz w:val="20"/>
              </w:rPr>
              <w:t>Shift</w:t>
            </w:r>
          </w:p>
        </w:tc>
        <w:tc>
          <w:tcPr>
            <w:tcW w:w="2432" w:type="dxa"/>
          </w:tcPr>
          <w:p w:rsidR="00F3177F" w:rsidRDefault="0089671D">
            <w:pPr>
              <w:pStyle w:val="TableParagraph"/>
              <w:spacing w:before="16" w:line="320" w:lineRule="exact"/>
              <w:ind w:left="60" w:right="87"/>
              <w:rPr>
                <w:sz w:val="20"/>
              </w:rPr>
            </w:pPr>
            <w:r>
              <w:rPr>
                <w:sz w:val="20"/>
              </w:rPr>
              <w:t>Annual Energy Consumption per Unit Area</w:t>
            </w:r>
          </w:p>
        </w:tc>
        <w:tc>
          <w:tcPr>
            <w:tcW w:w="1169" w:type="dxa"/>
          </w:tcPr>
          <w:p w:rsidR="00F3177F" w:rsidRDefault="00F3177F">
            <w:pPr>
              <w:pStyle w:val="TableParagraph"/>
              <w:spacing w:before="4"/>
              <w:rPr>
                <w:sz w:val="21"/>
              </w:rPr>
            </w:pPr>
          </w:p>
          <w:p w:rsidR="00F3177F" w:rsidRDefault="0089671D">
            <w:pPr>
              <w:pStyle w:val="TableParagraph"/>
              <w:ind w:left="55" w:right="55"/>
              <w:jc w:val="center"/>
              <w:rPr>
                <w:sz w:val="20"/>
              </w:rPr>
            </w:pPr>
            <w:r>
              <w:rPr>
                <w:sz w:val="20"/>
              </w:rPr>
              <w:t>11140.645</w:t>
            </w:r>
          </w:p>
        </w:tc>
        <w:tc>
          <w:tcPr>
            <w:tcW w:w="360" w:type="dxa"/>
          </w:tcPr>
          <w:p w:rsidR="00F3177F" w:rsidRDefault="00F3177F">
            <w:pPr>
              <w:pStyle w:val="TableParagraph"/>
              <w:spacing w:before="4"/>
              <w:rPr>
                <w:sz w:val="21"/>
              </w:rPr>
            </w:pPr>
          </w:p>
          <w:p w:rsidR="00F3177F" w:rsidRDefault="0089671D">
            <w:pPr>
              <w:pStyle w:val="TableParagraph"/>
              <w:ind w:right="1"/>
              <w:jc w:val="center"/>
              <w:rPr>
                <w:sz w:val="20"/>
              </w:rPr>
            </w:pPr>
            <w:r>
              <w:rPr>
                <w:w w:val="99"/>
                <w:sz w:val="20"/>
              </w:rPr>
              <w:t>1</w:t>
            </w:r>
          </w:p>
        </w:tc>
        <w:tc>
          <w:tcPr>
            <w:tcW w:w="1260" w:type="dxa"/>
          </w:tcPr>
          <w:p w:rsidR="00F3177F" w:rsidRDefault="00F3177F">
            <w:pPr>
              <w:pStyle w:val="TableParagraph"/>
              <w:spacing w:before="4"/>
              <w:rPr>
                <w:sz w:val="21"/>
              </w:rPr>
            </w:pPr>
          </w:p>
          <w:p w:rsidR="00F3177F" w:rsidRDefault="0089671D">
            <w:pPr>
              <w:pStyle w:val="TableParagraph"/>
              <w:ind w:left="199"/>
              <w:rPr>
                <w:sz w:val="20"/>
              </w:rPr>
            </w:pPr>
            <w:r>
              <w:rPr>
                <w:sz w:val="20"/>
              </w:rPr>
              <w:t>11140.645</w:t>
            </w:r>
          </w:p>
        </w:tc>
        <w:tc>
          <w:tcPr>
            <w:tcW w:w="721" w:type="dxa"/>
          </w:tcPr>
          <w:p w:rsidR="00F3177F" w:rsidRDefault="00F3177F">
            <w:pPr>
              <w:pStyle w:val="TableParagraph"/>
              <w:spacing w:before="4"/>
              <w:rPr>
                <w:sz w:val="21"/>
              </w:rPr>
            </w:pPr>
          </w:p>
          <w:p w:rsidR="00F3177F" w:rsidRDefault="0089671D">
            <w:pPr>
              <w:pStyle w:val="TableParagraph"/>
              <w:ind w:left="60" w:right="60"/>
              <w:jc w:val="center"/>
              <w:rPr>
                <w:sz w:val="20"/>
              </w:rPr>
            </w:pPr>
            <w:r>
              <w:rPr>
                <w:sz w:val="20"/>
              </w:rPr>
              <w:t>15.712</w:t>
            </w:r>
          </w:p>
        </w:tc>
        <w:tc>
          <w:tcPr>
            <w:tcW w:w="631" w:type="dxa"/>
          </w:tcPr>
          <w:p w:rsidR="00F3177F" w:rsidRDefault="00F3177F">
            <w:pPr>
              <w:pStyle w:val="TableParagraph"/>
              <w:spacing w:before="4"/>
              <w:rPr>
                <w:sz w:val="21"/>
              </w:rPr>
            </w:pPr>
          </w:p>
          <w:p w:rsidR="00F3177F" w:rsidRDefault="0089671D">
            <w:pPr>
              <w:pStyle w:val="TableParagraph"/>
              <w:ind w:left="134"/>
              <w:rPr>
                <w:sz w:val="20"/>
              </w:rPr>
            </w:pPr>
            <w:r>
              <w:rPr>
                <w:sz w:val="20"/>
              </w:rPr>
              <w:t>.000</w:t>
            </w:r>
          </w:p>
        </w:tc>
        <w:tc>
          <w:tcPr>
            <w:tcW w:w="809" w:type="dxa"/>
          </w:tcPr>
          <w:p w:rsidR="00F3177F" w:rsidRDefault="00F3177F">
            <w:pPr>
              <w:pStyle w:val="TableParagraph"/>
              <w:spacing w:before="4"/>
              <w:rPr>
                <w:sz w:val="21"/>
              </w:rPr>
            </w:pPr>
          </w:p>
          <w:p w:rsidR="00F3177F" w:rsidRDefault="0089671D">
            <w:pPr>
              <w:pStyle w:val="TableParagraph"/>
              <w:ind w:left="223"/>
              <w:rPr>
                <w:sz w:val="20"/>
              </w:rPr>
            </w:pPr>
            <w:r>
              <w:rPr>
                <w:sz w:val="20"/>
              </w:rPr>
              <w:t>.259</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84"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647.300</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299"/>
              <w:rPr>
                <w:sz w:val="20"/>
              </w:rPr>
            </w:pPr>
            <w:r>
              <w:rPr>
                <w:sz w:val="20"/>
              </w:rPr>
              <w:t>647.300</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5.747</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.021</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.113</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5" w:line="320" w:lineRule="exact"/>
              <w:ind w:left="60" w:right="87"/>
              <w:rPr>
                <w:sz w:val="20"/>
              </w:rPr>
            </w:pPr>
            <w:r>
              <w:rPr>
                <w:sz w:val="20"/>
              </w:rPr>
              <w:t>Annual Energy Consumption per Student</w:t>
            </w:r>
          </w:p>
        </w:tc>
        <w:tc>
          <w:tcPr>
            <w:tcW w:w="1169" w:type="dxa"/>
          </w:tcPr>
          <w:p w:rsidR="00F3177F" w:rsidRDefault="00F3177F">
            <w:pPr>
              <w:pStyle w:val="TableParagraph"/>
              <w:spacing w:before="1"/>
              <w:rPr>
                <w:sz w:val="21"/>
              </w:rPr>
            </w:pPr>
          </w:p>
          <w:p w:rsidR="00F3177F" w:rsidRDefault="0089671D">
            <w:pPr>
              <w:pStyle w:val="TableParagraph"/>
              <w:ind w:left="54" w:right="55"/>
              <w:jc w:val="center"/>
              <w:rPr>
                <w:sz w:val="20"/>
              </w:rPr>
            </w:pPr>
            <w:r>
              <w:rPr>
                <w:sz w:val="20"/>
              </w:rPr>
              <w:t>355935.285</w:t>
            </w:r>
          </w:p>
        </w:tc>
        <w:tc>
          <w:tcPr>
            <w:tcW w:w="360" w:type="dxa"/>
          </w:tcPr>
          <w:p w:rsidR="00F3177F" w:rsidRDefault="00F3177F">
            <w:pPr>
              <w:pStyle w:val="TableParagraph"/>
              <w:spacing w:before="1"/>
              <w:rPr>
                <w:sz w:val="21"/>
              </w:rPr>
            </w:pPr>
          </w:p>
          <w:p w:rsidR="00F3177F" w:rsidRDefault="0089671D">
            <w:pPr>
              <w:pStyle w:val="TableParagraph"/>
              <w:ind w:right="1"/>
              <w:jc w:val="center"/>
              <w:rPr>
                <w:sz w:val="20"/>
              </w:rPr>
            </w:pPr>
            <w:r>
              <w:rPr>
                <w:w w:val="99"/>
                <w:sz w:val="20"/>
              </w:rPr>
              <w:t>1</w:t>
            </w:r>
          </w:p>
        </w:tc>
        <w:tc>
          <w:tcPr>
            <w:tcW w:w="1260" w:type="dxa"/>
          </w:tcPr>
          <w:p w:rsidR="00F3177F" w:rsidRDefault="00F3177F">
            <w:pPr>
              <w:pStyle w:val="TableParagraph"/>
              <w:spacing w:before="1"/>
              <w:rPr>
                <w:sz w:val="21"/>
              </w:rPr>
            </w:pPr>
          </w:p>
          <w:p w:rsidR="00F3177F" w:rsidRDefault="0089671D">
            <w:pPr>
              <w:pStyle w:val="TableParagraph"/>
              <w:ind w:left="148"/>
              <w:rPr>
                <w:sz w:val="20"/>
              </w:rPr>
            </w:pPr>
            <w:r>
              <w:rPr>
                <w:sz w:val="20"/>
              </w:rPr>
              <w:t>355935.285</w:t>
            </w:r>
          </w:p>
        </w:tc>
        <w:tc>
          <w:tcPr>
            <w:tcW w:w="721" w:type="dxa"/>
          </w:tcPr>
          <w:p w:rsidR="00F3177F" w:rsidRDefault="00F3177F">
            <w:pPr>
              <w:pStyle w:val="TableParagraph"/>
              <w:spacing w:before="1"/>
              <w:rPr>
                <w:sz w:val="21"/>
              </w:rPr>
            </w:pPr>
          </w:p>
          <w:p w:rsidR="00F3177F" w:rsidRDefault="0089671D">
            <w:pPr>
              <w:pStyle w:val="TableParagraph"/>
              <w:ind w:left="60" w:right="60"/>
              <w:jc w:val="center"/>
              <w:rPr>
                <w:sz w:val="20"/>
              </w:rPr>
            </w:pPr>
            <w:r>
              <w:rPr>
                <w:sz w:val="20"/>
              </w:rPr>
              <w:t>.839</w:t>
            </w:r>
          </w:p>
        </w:tc>
        <w:tc>
          <w:tcPr>
            <w:tcW w:w="631" w:type="dxa"/>
          </w:tcPr>
          <w:p w:rsidR="00F3177F" w:rsidRDefault="00F3177F">
            <w:pPr>
              <w:pStyle w:val="TableParagraph"/>
              <w:spacing w:before="1"/>
              <w:rPr>
                <w:sz w:val="21"/>
              </w:rPr>
            </w:pPr>
          </w:p>
          <w:p w:rsidR="00F3177F" w:rsidRDefault="0089671D">
            <w:pPr>
              <w:pStyle w:val="TableParagraph"/>
              <w:ind w:left="134"/>
              <w:rPr>
                <w:sz w:val="20"/>
              </w:rPr>
            </w:pPr>
            <w:r>
              <w:rPr>
                <w:sz w:val="20"/>
              </w:rPr>
              <w:t>.365</w:t>
            </w:r>
          </w:p>
        </w:tc>
        <w:tc>
          <w:tcPr>
            <w:tcW w:w="809" w:type="dxa"/>
          </w:tcPr>
          <w:p w:rsidR="00F3177F" w:rsidRDefault="00F3177F">
            <w:pPr>
              <w:pStyle w:val="TableParagraph"/>
              <w:spacing w:before="1"/>
              <w:rPr>
                <w:sz w:val="21"/>
              </w:rPr>
            </w:pPr>
          </w:p>
          <w:p w:rsidR="00F3177F" w:rsidRDefault="0089671D">
            <w:pPr>
              <w:pStyle w:val="TableParagraph"/>
              <w:ind w:left="223"/>
              <w:rPr>
                <w:sz w:val="20"/>
              </w:rPr>
            </w:pPr>
            <w:r>
              <w:rPr>
                <w:sz w:val="20"/>
              </w:rPr>
              <w:t>.018</w:t>
            </w:r>
          </w:p>
        </w:tc>
      </w:tr>
    </w:tbl>
    <w:p w:rsidR="00F3177F" w:rsidRDefault="00F3177F">
      <w:pPr>
        <w:rPr>
          <w:sz w:val="20"/>
        </w:rPr>
        <w:sectPr w:rsidR="00F3177F">
          <w:pgSz w:w="12240" w:h="15840"/>
          <w:pgMar w:top="1420" w:right="1340" w:bottom="2300" w:left="1720" w:header="0" w:footer="2072" w:gutter="0"/>
          <w:cols w:space="720"/>
        </w:sectPr>
      </w:pPr>
    </w:p>
    <w:p w:rsidR="00F3177F" w:rsidRDefault="0089671D">
      <w:pPr>
        <w:pStyle w:val="BodyText"/>
        <w:spacing w:before="58" w:after="6"/>
        <w:ind w:left="658" w:right="151"/>
      </w:pPr>
      <w:r>
        <w:lastRenderedPageBreak/>
        <w:t>Table 26: Tests of Between-Subjects Effects for Hypothesis 1 (continued)</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432"/>
        <w:gridCol w:w="1169"/>
        <w:gridCol w:w="360"/>
        <w:gridCol w:w="1260"/>
        <w:gridCol w:w="721"/>
        <w:gridCol w:w="631"/>
        <w:gridCol w:w="809"/>
      </w:tblGrid>
      <w:tr w:rsidR="00F3177F">
        <w:trPr>
          <w:trHeight w:hRule="exact" w:val="650"/>
        </w:trPr>
        <w:tc>
          <w:tcPr>
            <w:tcW w:w="1080" w:type="dxa"/>
            <w:vMerge w:val="restart"/>
          </w:tcPr>
          <w:p w:rsidR="00F3177F" w:rsidRDefault="00F3177F">
            <w:pPr>
              <w:pStyle w:val="TableParagraph"/>
              <w:spacing w:before="1"/>
            </w:pPr>
          </w:p>
          <w:p w:rsidR="00F3177F" w:rsidRDefault="0089671D">
            <w:pPr>
              <w:pStyle w:val="TableParagraph"/>
              <w:spacing w:before="1" w:line="333" w:lineRule="auto"/>
              <w:ind w:left="81" w:right="85" w:firstLine="3"/>
              <w:jc w:val="center"/>
              <w:rPr>
                <w:sz w:val="20"/>
              </w:rPr>
            </w:pPr>
            <w:r>
              <w:rPr>
                <w:sz w:val="20"/>
              </w:rPr>
              <w:t>+ Number of School Building Floors * Study</w:t>
            </w:r>
            <w:r>
              <w:rPr>
                <w:spacing w:val="-6"/>
                <w:sz w:val="20"/>
              </w:rPr>
              <w:t xml:space="preserve"> </w:t>
            </w:r>
            <w:r>
              <w:rPr>
                <w:sz w:val="20"/>
              </w:rPr>
              <w:t>Shift</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1745.472</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872.736</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1.231</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.302</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.052</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157.166</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78.583</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.698</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.503</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.030</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F3177F">
            <w:pPr>
              <w:pStyle w:val="TableParagraph"/>
              <w:spacing w:before="3"/>
              <w:rPr>
                <w:sz w:val="21"/>
              </w:rPr>
            </w:pPr>
          </w:p>
          <w:p w:rsidR="00F3177F" w:rsidRDefault="0089671D">
            <w:pPr>
              <w:pStyle w:val="TableParagraph"/>
              <w:spacing w:before="1"/>
              <w:ind w:left="54" w:right="55"/>
              <w:jc w:val="center"/>
              <w:rPr>
                <w:sz w:val="20"/>
              </w:rPr>
            </w:pPr>
            <w:r>
              <w:rPr>
                <w:sz w:val="20"/>
              </w:rPr>
              <w:t>652436.042</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2</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326218.021</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.769</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.469</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.033</w:t>
            </w:r>
          </w:p>
        </w:tc>
      </w:tr>
      <w:tr w:rsidR="00F3177F">
        <w:trPr>
          <w:trHeight w:hRule="exact" w:val="650"/>
        </w:trPr>
        <w:tc>
          <w:tcPr>
            <w:tcW w:w="1080" w:type="dxa"/>
            <w:vMerge w:val="restart"/>
          </w:tcPr>
          <w:p w:rsidR="00F3177F" w:rsidRDefault="0089671D">
            <w:pPr>
              <w:pStyle w:val="TableParagraph"/>
              <w:spacing w:before="84" w:line="333" w:lineRule="auto"/>
              <w:ind w:left="67" w:right="68" w:firstLine="3"/>
              <w:jc w:val="center"/>
              <w:rPr>
                <w:sz w:val="20"/>
              </w:rPr>
            </w:pPr>
            <w:r>
              <w:rPr>
                <w:sz w:val="20"/>
              </w:rPr>
              <w:t>Student Density * +</w:t>
            </w:r>
            <w:r>
              <w:rPr>
                <w:w w:val="99"/>
                <w:sz w:val="20"/>
              </w:rPr>
              <w:t xml:space="preserve"> </w:t>
            </w:r>
            <w:r>
              <w:rPr>
                <w:sz w:val="20"/>
              </w:rPr>
              <w:t>Number of School Building Floors *</w:t>
            </w:r>
          </w:p>
          <w:p w:rsidR="00F3177F" w:rsidRDefault="0089671D">
            <w:pPr>
              <w:pStyle w:val="TableParagraph"/>
              <w:spacing w:before="3"/>
              <w:ind w:left="60" w:right="63"/>
              <w:jc w:val="center"/>
              <w:rPr>
                <w:sz w:val="20"/>
              </w:rPr>
            </w:pPr>
            <w:r>
              <w:rPr>
                <w:sz w:val="20"/>
              </w:rPr>
              <w:t>Study Shift</w:t>
            </w:r>
          </w:p>
        </w:tc>
        <w:tc>
          <w:tcPr>
            <w:tcW w:w="2432" w:type="dxa"/>
          </w:tcPr>
          <w:p w:rsidR="00F3177F" w:rsidRDefault="0089671D">
            <w:pPr>
              <w:pStyle w:val="TableParagraph"/>
              <w:spacing w:before="15"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34.437</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34.437</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.049</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.827</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.001</w:t>
            </w:r>
          </w:p>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84"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6.695</w:t>
            </w:r>
          </w:p>
        </w:tc>
        <w:tc>
          <w:tcPr>
            <w:tcW w:w="360" w:type="dxa"/>
          </w:tcPr>
          <w:p w:rsidR="00F3177F" w:rsidRDefault="00F3177F">
            <w:pPr>
              <w:pStyle w:val="TableParagraph"/>
              <w:spacing w:before="3"/>
              <w:rPr>
                <w:sz w:val="21"/>
              </w:rPr>
            </w:pPr>
          </w:p>
          <w:p w:rsidR="00F3177F" w:rsidRDefault="0089671D">
            <w:pPr>
              <w:pStyle w:val="TableParagraph"/>
              <w:spacing w:before="1"/>
              <w:ind w:right="1"/>
              <w:jc w:val="center"/>
              <w:rPr>
                <w:sz w:val="20"/>
              </w:rPr>
            </w:pPr>
            <w:r>
              <w:rPr>
                <w:w w:val="99"/>
                <w:sz w:val="20"/>
              </w:rPr>
              <w:t>1</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6.695</w:t>
            </w:r>
          </w:p>
        </w:tc>
        <w:tc>
          <w:tcPr>
            <w:tcW w:w="721" w:type="dxa"/>
          </w:tcPr>
          <w:p w:rsidR="00F3177F" w:rsidRDefault="00F3177F">
            <w:pPr>
              <w:pStyle w:val="TableParagraph"/>
              <w:spacing w:before="3"/>
              <w:rPr>
                <w:sz w:val="21"/>
              </w:rPr>
            </w:pPr>
          </w:p>
          <w:p w:rsidR="00F3177F" w:rsidRDefault="0089671D">
            <w:pPr>
              <w:pStyle w:val="TableParagraph"/>
              <w:spacing w:before="1"/>
              <w:ind w:left="60" w:right="60"/>
              <w:jc w:val="center"/>
              <w:rPr>
                <w:sz w:val="20"/>
              </w:rPr>
            </w:pPr>
            <w:r>
              <w:rPr>
                <w:sz w:val="20"/>
              </w:rPr>
              <w:t>.059</w:t>
            </w:r>
          </w:p>
        </w:tc>
        <w:tc>
          <w:tcPr>
            <w:tcW w:w="631" w:type="dxa"/>
          </w:tcPr>
          <w:p w:rsidR="00F3177F" w:rsidRDefault="00F3177F">
            <w:pPr>
              <w:pStyle w:val="TableParagraph"/>
              <w:spacing w:before="3"/>
              <w:rPr>
                <w:sz w:val="21"/>
              </w:rPr>
            </w:pPr>
          </w:p>
          <w:p w:rsidR="00F3177F" w:rsidRDefault="0089671D">
            <w:pPr>
              <w:pStyle w:val="TableParagraph"/>
              <w:spacing w:before="1"/>
              <w:ind w:left="134"/>
              <w:rPr>
                <w:sz w:val="20"/>
              </w:rPr>
            </w:pPr>
            <w:r>
              <w:rPr>
                <w:sz w:val="20"/>
              </w:rPr>
              <w:t>.808</w:t>
            </w:r>
          </w:p>
        </w:tc>
        <w:tc>
          <w:tcPr>
            <w:tcW w:w="809" w:type="dxa"/>
          </w:tcPr>
          <w:p w:rsidR="00F3177F" w:rsidRDefault="00F3177F">
            <w:pPr>
              <w:pStyle w:val="TableParagraph"/>
              <w:spacing w:before="3"/>
              <w:rPr>
                <w:sz w:val="21"/>
              </w:rPr>
            </w:pPr>
          </w:p>
          <w:p w:rsidR="00F3177F" w:rsidRDefault="0089671D">
            <w:pPr>
              <w:pStyle w:val="TableParagraph"/>
              <w:spacing w:before="1"/>
              <w:ind w:left="223"/>
              <w:rPr>
                <w:sz w:val="20"/>
              </w:rPr>
            </w:pPr>
            <w:r>
              <w:rPr>
                <w:sz w:val="20"/>
              </w:rPr>
              <w:t>.001</w:t>
            </w:r>
          </w:p>
        </w:tc>
      </w:tr>
      <w:tr w:rsidR="00F3177F">
        <w:trPr>
          <w:trHeight w:hRule="exact" w:val="949"/>
        </w:trPr>
        <w:tc>
          <w:tcPr>
            <w:tcW w:w="1080" w:type="dxa"/>
            <w:vMerge/>
          </w:tcPr>
          <w:p w:rsidR="00F3177F" w:rsidRDefault="00F3177F"/>
        </w:tc>
        <w:tc>
          <w:tcPr>
            <w:tcW w:w="2432" w:type="dxa"/>
          </w:tcPr>
          <w:p w:rsidR="00F3177F" w:rsidRDefault="0089671D">
            <w:pPr>
              <w:pStyle w:val="TableParagraph"/>
              <w:spacing w:before="85" w:line="333" w:lineRule="auto"/>
              <w:ind w:left="60" w:right="87"/>
              <w:rPr>
                <w:sz w:val="20"/>
              </w:rPr>
            </w:pPr>
            <w:r>
              <w:rPr>
                <w:sz w:val="20"/>
              </w:rPr>
              <w:t>Annual Energy Consumption per Student</w:t>
            </w:r>
          </w:p>
        </w:tc>
        <w:tc>
          <w:tcPr>
            <w:tcW w:w="1169" w:type="dxa"/>
          </w:tcPr>
          <w:p w:rsidR="00F3177F" w:rsidRDefault="00F3177F">
            <w:pPr>
              <w:pStyle w:val="TableParagraph"/>
              <w:rPr>
                <w:sz w:val="20"/>
              </w:rPr>
            </w:pPr>
          </w:p>
          <w:p w:rsidR="00F3177F" w:rsidRDefault="0089671D">
            <w:pPr>
              <w:pStyle w:val="TableParagraph"/>
              <w:spacing w:before="164"/>
              <w:ind w:left="54" w:right="55"/>
              <w:jc w:val="center"/>
              <w:rPr>
                <w:sz w:val="20"/>
              </w:rPr>
            </w:pPr>
            <w:r>
              <w:rPr>
                <w:sz w:val="20"/>
              </w:rPr>
              <w:t>126031.842</w:t>
            </w:r>
          </w:p>
        </w:tc>
        <w:tc>
          <w:tcPr>
            <w:tcW w:w="360" w:type="dxa"/>
          </w:tcPr>
          <w:p w:rsidR="00F3177F" w:rsidRDefault="00F3177F">
            <w:pPr>
              <w:pStyle w:val="TableParagraph"/>
              <w:rPr>
                <w:sz w:val="20"/>
              </w:rPr>
            </w:pPr>
          </w:p>
          <w:p w:rsidR="00F3177F" w:rsidRDefault="0089671D">
            <w:pPr>
              <w:pStyle w:val="TableParagraph"/>
              <w:spacing w:before="164"/>
              <w:ind w:right="1"/>
              <w:jc w:val="center"/>
              <w:rPr>
                <w:sz w:val="20"/>
              </w:rPr>
            </w:pPr>
            <w:r>
              <w:rPr>
                <w:w w:val="99"/>
                <w:sz w:val="20"/>
              </w:rPr>
              <w:t>1</w:t>
            </w:r>
          </w:p>
        </w:tc>
        <w:tc>
          <w:tcPr>
            <w:tcW w:w="1260" w:type="dxa"/>
          </w:tcPr>
          <w:p w:rsidR="00F3177F" w:rsidRDefault="00F3177F">
            <w:pPr>
              <w:pStyle w:val="TableParagraph"/>
              <w:rPr>
                <w:sz w:val="20"/>
              </w:rPr>
            </w:pPr>
          </w:p>
          <w:p w:rsidR="00F3177F" w:rsidRDefault="0089671D">
            <w:pPr>
              <w:pStyle w:val="TableParagraph"/>
              <w:spacing w:before="164"/>
              <w:ind w:left="72" w:right="72"/>
              <w:jc w:val="center"/>
              <w:rPr>
                <w:sz w:val="20"/>
              </w:rPr>
            </w:pPr>
            <w:r>
              <w:rPr>
                <w:sz w:val="20"/>
              </w:rPr>
              <w:t>126031.842</w:t>
            </w:r>
          </w:p>
        </w:tc>
        <w:tc>
          <w:tcPr>
            <w:tcW w:w="721" w:type="dxa"/>
          </w:tcPr>
          <w:p w:rsidR="00F3177F" w:rsidRDefault="00F3177F">
            <w:pPr>
              <w:pStyle w:val="TableParagraph"/>
              <w:rPr>
                <w:sz w:val="20"/>
              </w:rPr>
            </w:pPr>
          </w:p>
          <w:p w:rsidR="00F3177F" w:rsidRDefault="0089671D">
            <w:pPr>
              <w:pStyle w:val="TableParagraph"/>
              <w:spacing w:before="164"/>
              <w:ind w:left="60" w:right="60"/>
              <w:jc w:val="center"/>
              <w:rPr>
                <w:sz w:val="20"/>
              </w:rPr>
            </w:pPr>
            <w:r>
              <w:rPr>
                <w:sz w:val="20"/>
              </w:rPr>
              <w:t>.297</w:t>
            </w:r>
          </w:p>
        </w:tc>
        <w:tc>
          <w:tcPr>
            <w:tcW w:w="631" w:type="dxa"/>
          </w:tcPr>
          <w:p w:rsidR="00F3177F" w:rsidRDefault="00F3177F">
            <w:pPr>
              <w:pStyle w:val="TableParagraph"/>
              <w:rPr>
                <w:sz w:val="20"/>
              </w:rPr>
            </w:pPr>
          </w:p>
          <w:p w:rsidR="00F3177F" w:rsidRDefault="0089671D">
            <w:pPr>
              <w:pStyle w:val="TableParagraph"/>
              <w:spacing w:before="164"/>
              <w:ind w:left="134"/>
              <w:rPr>
                <w:sz w:val="20"/>
              </w:rPr>
            </w:pPr>
            <w:r>
              <w:rPr>
                <w:sz w:val="20"/>
              </w:rPr>
              <w:t>.588</w:t>
            </w:r>
          </w:p>
        </w:tc>
        <w:tc>
          <w:tcPr>
            <w:tcW w:w="809" w:type="dxa"/>
          </w:tcPr>
          <w:p w:rsidR="00F3177F" w:rsidRDefault="00F3177F">
            <w:pPr>
              <w:pStyle w:val="TableParagraph"/>
              <w:rPr>
                <w:sz w:val="20"/>
              </w:rPr>
            </w:pPr>
          </w:p>
          <w:p w:rsidR="00F3177F" w:rsidRDefault="0089671D">
            <w:pPr>
              <w:pStyle w:val="TableParagraph"/>
              <w:spacing w:before="164"/>
              <w:ind w:left="223"/>
              <w:rPr>
                <w:sz w:val="20"/>
              </w:rPr>
            </w:pPr>
            <w:r>
              <w:rPr>
                <w:sz w:val="20"/>
              </w:rPr>
              <w:t>.007</w:t>
            </w:r>
          </w:p>
        </w:tc>
      </w:tr>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323" w:right="123"/>
              <w:rPr>
                <w:sz w:val="20"/>
              </w:rPr>
            </w:pPr>
            <w:r>
              <w:rPr>
                <w:sz w:val="20"/>
              </w:rPr>
              <w:t>Error</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31907.338</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45</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709.052</w:t>
            </w:r>
          </w:p>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5068.311</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45</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112.629</w:t>
            </w:r>
          </w:p>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89671D">
            <w:pPr>
              <w:pStyle w:val="TableParagraph"/>
              <w:spacing w:before="84"/>
              <w:ind w:left="54" w:right="55"/>
              <w:jc w:val="center"/>
              <w:rPr>
                <w:sz w:val="20"/>
              </w:rPr>
            </w:pPr>
            <w:r>
              <w:rPr>
                <w:sz w:val="20"/>
              </w:rPr>
              <w:t>19088392.3</w:t>
            </w:r>
          </w:p>
          <w:p w:rsidR="00F3177F" w:rsidRDefault="0089671D">
            <w:pPr>
              <w:pStyle w:val="TableParagraph"/>
              <w:spacing w:before="91"/>
              <w:ind w:left="55" w:right="53"/>
              <w:jc w:val="center"/>
              <w:rPr>
                <w:sz w:val="20"/>
              </w:rPr>
            </w:pPr>
            <w:r>
              <w:rPr>
                <w:sz w:val="20"/>
              </w:rPr>
              <w:t>88</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45</w:t>
            </w:r>
          </w:p>
        </w:tc>
        <w:tc>
          <w:tcPr>
            <w:tcW w:w="1260" w:type="dxa"/>
          </w:tcPr>
          <w:p w:rsidR="00F3177F" w:rsidRDefault="00F3177F">
            <w:pPr>
              <w:pStyle w:val="TableParagraph"/>
              <w:spacing w:before="3"/>
              <w:rPr>
                <w:sz w:val="21"/>
              </w:rPr>
            </w:pPr>
          </w:p>
          <w:p w:rsidR="00F3177F" w:rsidRDefault="0089671D">
            <w:pPr>
              <w:pStyle w:val="TableParagraph"/>
              <w:spacing w:before="1"/>
              <w:ind w:left="72" w:right="72"/>
              <w:jc w:val="center"/>
              <w:rPr>
                <w:sz w:val="20"/>
              </w:rPr>
            </w:pPr>
            <w:r>
              <w:rPr>
                <w:sz w:val="20"/>
              </w:rPr>
              <w:t>424186.498</w:t>
            </w:r>
          </w:p>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1"/>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323" w:right="123"/>
              <w:rPr>
                <w:sz w:val="20"/>
              </w:rPr>
            </w:pPr>
            <w:r>
              <w:rPr>
                <w:sz w:val="20"/>
              </w:rPr>
              <w:t>Total</w:t>
            </w:r>
          </w:p>
        </w:tc>
        <w:tc>
          <w:tcPr>
            <w:tcW w:w="2432" w:type="dxa"/>
          </w:tcPr>
          <w:p w:rsidR="00F3177F" w:rsidRDefault="0089671D">
            <w:pPr>
              <w:pStyle w:val="TableParagraph"/>
              <w:spacing w:before="15"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4" w:right="55"/>
              <w:jc w:val="center"/>
              <w:rPr>
                <w:sz w:val="20"/>
              </w:rPr>
            </w:pPr>
            <w:r>
              <w:rPr>
                <w:sz w:val="20"/>
              </w:rPr>
              <w:t>454495.220</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55</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84" w:line="316" w:lineRule="auto"/>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20260.780</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55</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48"/>
        </w:trPr>
        <w:tc>
          <w:tcPr>
            <w:tcW w:w="1080" w:type="dxa"/>
            <w:vMerge/>
          </w:tcPr>
          <w:p w:rsidR="00F3177F" w:rsidRDefault="00F3177F"/>
        </w:tc>
        <w:tc>
          <w:tcPr>
            <w:tcW w:w="2432" w:type="dxa"/>
          </w:tcPr>
          <w:p w:rsidR="00F3177F" w:rsidRDefault="0089671D">
            <w:pPr>
              <w:pStyle w:val="TableParagraph"/>
              <w:spacing w:before="15" w:line="320" w:lineRule="exact"/>
              <w:ind w:left="60" w:right="87"/>
              <w:rPr>
                <w:sz w:val="20"/>
              </w:rPr>
            </w:pPr>
            <w:r>
              <w:rPr>
                <w:sz w:val="20"/>
              </w:rPr>
              <w:t>Annual Energy Consumption per Student</w:t>
            </w:r>
          </w:p>
        </w:tc>
        <w:tc>
          <w:tcPr>
            <w:tcW w:w="1169" w:type="dxa"/>
          </w:tcPr>
          <w:p w:rsidR="00F3177F" w:rsidRDefault="0089671D">
            <w:pPr>
              <w:pStyle w:val="TableParagraph"/>
              <w:spacing w:before="84"/>
              <w:ind w:left="54" w:right="55"/>
              <w:jc w:val="center"/>
              <w:rPr>
                <w:sz w:val="20"/>
              </w:rPr>
            </w:pPr>
            <w:r>
              <w:rPr>
                <w:sz w:val="20"/>
              </w:rPr>
              <w:t>61696126.7</w:t>
            </w:r>
          </w:p>
          <w:p w:rsidR="00F3177F" w:rsidRDefault="0089671D">
            <w:pPr>
              <w:pStyle w:val="TableParagraph"/>
              <w:spacing w:before="89"/>
              <w:ind w:left="55" w:right="53"/>
              <w:jc w:val="center"/>
              <w:rPr>
                <w:sz w:val="20"/>
              </w:rPr>
            </w:pPr>
            <w:r>
              <w:rPr>
                <w:sz w:val="20"/>
              </w:rPr>
              <w:t>50</w:t>
            </w:r>
          </w:p>
        </w:tc>
        <w:tc>
          <w:tcPr>
            <w:tcW w:w="360" w:type="dxa"/>
          </w:tcPr>
          <w:p w:rsidR="00F3177F" w:rsidRDefault="00F3177F">
            <w:pPr>
              <w:pStyle w:val="TableParagraph"/>
              <w:spacing w:before="1"/>
              <w:rPr>
                <w:sz w:val="21"/>
              </w:rPr>
            </w:pPr>
          </w:p>
          <w:p w:rsidR="00F3177F" w:rsidRDefault="0089671D">
            <w:pPr>
              <w:pStyle w:val="TableParagraph"/>
              <w:ind w:left="55" w:right="55"/>
              <w:jc w:val="center"/>
              <w:rPr>
                <w:sz w:val="20"/>
              </w:rPr>
            </w:pPr>
            <w:r>
              <w:rPr>
                <w:sz w:val="20"/>
              </w:rPr>
              <w:t>55</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0"/>
        </w:trPr>
        <w:tc>
          <w:tcPr>
            <w:tcW w:w="1080"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23"/>
              </w:rPr>
            </w:pPr>
          </w:p>
          <w:p w:rsidR="00F3177F" w:rsidRDefault="0089671D">
            <w:pPr>
              <w:pStyle w:val="TableParagraph"/>
              <w:spacing w:line="336" w:lineRule="auto"/>
              <w:ind w:left="323" w:right="123" w:hanging="185"/>
              <w:rPr>
                <w:sz w:val="20"/>
              </w:rPr>
            </w:pPr>
            <w:r>
              <w:rPr>
                <w:sz w:val="20"/>
              </w:rPr>
              <w:t>Corrected Total</w:t>
            </w:r>
          </w:p>
        </w:tc>
        <w:tc>
          <w:tcPr>
            <w:tcW w:w="2432" w:type="dxa"/>
          </w:tcPr>
          <w:p w:rsidR="00F3177F" w:rsidRDefault="0089671D">
            <w:pPr>
              <w:pStyle w:val="TableParagraph"/>
              <w:spacing w:before="17" w:line="320" w:lineRule="exact"/>
              <w:ind w:left="60" w:right="87"/>
              <w:rPr>
                <w:sz w:val="20"/>
              </w:rPr>
            </w:pPr>
            <w:r>
              <w:rPr>
                <w:sz w:val="20"/>
              </w:rPr>
              <w:t>Annual Energy Consumption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4" w:right="55"/>
              <w:jc w:val="center"/>
              <w:rPr>
                <w:sz w:val="20"/>
              </w:rPr>
            </w:pPr>
            <w:r>
              <w:rPr>
                <w:sz w:val="20"/>
              </w:rPr>
              <w:t>189262.195</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54</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0"/>
        </w:trPr>
        <w:tc>
          <w:tcPr>
            <w:tcW w:w="1080" w:type="dxa"/>
            <w:vMerge/>
          </w:tcPr>
          <w:p w:rsidR="00F3177F" w:rsidRDefault="00F3177F"/>
        </w:tc>
        <w:tc>
          <w:tcPr>
            <w:tcW w:w="2432" w:type="dxa"/>
          </w:tcPr>
          <w:p w:rsidR="00F3177F" w:rsidRDefault="0089671D">
            <w:pPr>
              <w:pStyle w:val="TableParagraph"/>
              <w:spacing w:before="29" w:line="300" w:lineRule="atLeast"/>
              <w:ind w:left="60" w:right="278"/>
              <w:rPr>
                <w:sz w:val="20"/>
              </w:rPr>
            </w:pPr>
            <w:r>
              <w:rPr>
                <w:sz w:val="20"/>
              </w:rPr>
              <w:t>Annual CO</w:t>
            </w:r>
            <w:r>
              <w:rPr>
                <w:position w:val="-2"/>
                <w:sz w:val="13"/>
              </w:rPr>
              <w:t xml:space="preserve">2 </w:t>
            </w:r>
            <w:r>
              <w:rPr>
                <w:sz w:val="20"/>
              </w:rPr>
              <w:t>Emission per Unit Area</w:t>
            </w:r>
          </w:p>
        </w:tc>
        <w:tc>
          <w:tcPr>
            <w:tcW w:w="1169"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9929.608</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54</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r w:rsidR="00F3177F">
        <w:trPr>
          <w:trHeight w:hRule="exact" w:val="651"/>
        </w:trPr>
        <w:tc>
          <w:tcPr>
            <w:tcW w:w="1080" w:type="dxa"/>
            <w:vMerge/>
          </w:tcPr>
          <w:p w:rsidR="00F3177F" w:rsidRDefault="00F3177F"/>
        </w:tc>
        <w:tc>
          <w:tcPr>
            <w:tcW w:w="2432" w:type="dxa"/>
          </w:tcPr>
          <w:p w:rsidR="00F3177F" w:rsidRDefault="0089671D">
            <w:pPr>
              <w:pStyle w:val="TableParagraph"/>
              <w:spacing w:before="13" w:line="322" w:lineRule="exact"/>
              <w:ind w:left="60" w:right="87"/>
              <w:rPr>
                <w:sz w:val="20"/>
              </w:rPr>
            </w:pPr>
            <w:r>
              <w:rPr>
                <w:sz w:val="20"/>
              </w:rPr>
              <w:t>Annual Energy Consumption per Student</w:t>
            </w:r>
          </w:p>
        </w:tc>
        <w:tc>
          <w:tcPr>
            <w:tcW w:w="1169" w:type="dxa"/>
          </w:tcPr>
          <w:p w:rsidR="00F3177F" w:rsidRDefault="0089671D">
            <w:pPr>
              <w:pStyle w:val="TableParagraph"/>
              <w:spacing w:before="84"/>
              <w:ind w:left="54" w:right="55"/>
              <w:jc w:val="center"/>
              <w:rPr>
                <w:sz w:val="20"/>
              </w:rPr>
            </w:pPr>
            <w:r>
              <w:rPr>
                <w:sz w:val="20"/>
              </w:rPr>
              <w:t>34115702.4</w:t>
            </w:r>
          </w:p>
          <w:p w:rsidR="00F3177F" w:rsidRDefault="0089671D">
            <w:pPr>
              <w:pStyle w:val="TableParagraph"/>
              <w:spacing w:before="92"/>
              <w:ind w:left="55" w:right="53"/>
              <w:jc w:val="center"/>
              <w:rPr>
                <w:sz w:val="20"/>
              </w:rPr>
            </w:pPr>
            <w:r>
              <w:rPr>
                <w:sz w:val="20"/>
              </w:rPr>
              <w:t>72</w:t>
            </w:r>
          </w:p>
        </w:tc>
        <w:tc>
          <w:tcPr>
            <w:tcW w:w="360" w:type="dxa"/>
          </w:tcPr>
          <w:p w:rsidR="00F3177F" w:rsidRDefault="00F3177F">
            <w:pPr>
              <w:pStyle w:val="TableParagraph"/>
              <w:spacing w:before="3"/>
              <w:rPr>
                <w:sz w:val="21"/>
              </w:rPr>
            </w:pPr>
          </w:p>
          <w:p w:rsidR="00F3177F" w:rsidRDefault="0089671D">
            <w:pPr>
              <w:pStyle w:val="TableParagraph"/>
              <w:spacing w:before="1"/>
              <w:ind w:left="55" w:right="55"/>
              <w:jc w:val="center"/>
              <w:rPr>
                <w:sz w:val="20"/>
              </w:rPr>
            </w:pPr>
            <w:r>
              <w:rPr>
                <w:sz w:val="20"/>
              </w:rPr>
              <w:t>54</w:t>
            </w:r>
          </w:p>
        </w:tc>
        <w:tc>
          <w:tcPr>
            <w:tcW w:w="1260" w:type="dxa"/>
          </w:tcPr>
          <w:p w:rsidR="00F3177F" w:rsidRDefault="00F3177F"/>
        </w:tc>
        <w:tc>
          <w:tcPr>
            <w:tcW w:w="721" w:type="dxa"/>
          </w:tcPr>
          <w:p w:rsidR="00F3177F" w:rsidRDefault="00F3177F"/>
        </w:tc>
        <w:tc>
          <w:tcPr>
            <w:tcW w:w="631" w:type="dxa"/>
          </w:tcPr>
          <w:p w:rsidR="00F3177F" w:rsidRDefault="00F3177F"/>
        </w:tc>
        <w:tc>
          <w:tcPr>
            <w:tcW w:w="809" w:type="dxa"/>
          </w:tcPr>
          <w:p w:rsidR="00F3177F" w:rsidRDefault="00F3177F"/>
        </w:tc>
      </w:tr>
    </w:tbl>
    <w:p w:rsidR="00F3177F" w:rsidRDefault="0089671D">
      <w:pPr>
        <w:pStyle w:val="ListParagraph"/>
        <w:numPr>
          <w:ilvl w:val="0"/>
          <w:numId w:val="17"/>
        </w:numPr>
        <w:tabs>
          <w:tab w:val="left" w:pos="885"/>
        </w:tabs>
        <w:spacing w:before="37"/>
        <w:rPr>
          <w:sz w:val="24"/>
        </w:rPr>
      </w:pPr>
      <w:r>
        <w:rPr>
          <w:sz w:val="24"/>
        </w:rPr>
        <w:t>R Squared = .831 (Adjusted R Squared =</w:t>
      </w:r>
      <w:r>
        <w:rPr>
          <w:spacing w:val="-5"/>
          <w:sz w:val="24"/>
        </w:rPr>
        <w:t xml:space="preserve"> </w:t>
      </w:r>
      <w:r>
        <w:rPr>
          <w:sz w:val="24"/>
        </w:rPr>
        <w:t>.798)</w:t>
      </w:r>
    </w:p>
    <w:p w:rsidR="00F3177F" w:rsidRDefault="0089671D">
      <w:pPr>
        <w:pStyle w:val="ListParagraph"/>
        <w:numPr>
          <w:ilvl w:val="0"/>
          <w:numId w:val="17"/>
        </w:numPr>
        <w:tabs>
          <w:tab w:val="left" w:pos="899"/>
        </w:tabs>
        <w:spacing w:before="43"/>
        <w:ind w:left="898" w:hanging="240"/>
        <w:rPr>
          <w:sz w:val="24"/>
        </w:rPr>
      </w:pPr>
      <w:r>
        <w:rPr>
          <w:sz w:val="24"/>
        </w:rPr>
        <w:t>R Squared = .490 (Adjusted R Squared =</w:t>
      </w:r>
      <w:r>
        <w:rPr>
          <w:spacing w:val="-6"/>
          <w:sz w:val="24"/>
        </w:rPr>
        <w:t xml:space="preserve"> </w:t>
      </w:r>
      <w:r>
        <w:rPr>
          <w:sz w:val="24"/>
        </w:rPr>
        <w:t>.387)</w:t>
      </w:r>
    </w:p>
    <w:p w:rsidR="00F3177F" w:rsidRDefault="0089671D">
      <w:pPr>
        <w:pStyle w:val="ListParagraph"/>
        <w:numPr>
          <w:ilvl w:val="0"/>
          <w:numId w:val="17"/>
        </w:numPr>
        <w:tabs>
          <w:tab w:val="left" w:pos="885"/>
        </w:tabs>
        <w:spacing w:before="45"/>
        <w:rPr>
          <w:sz w:val="24"/>
        </w:rPr>
      </w:pPr>
      <w:r>
        <w:rPr>
          <w:sz w:val="24"/>
        </w:rPr>
        <w:t>R Squared = .440 (Adjusted R Squared =</w:t>
      </w:r>
      <w:r>
        <w:rPr>
          <w:spacing w:val="-5"/>
          <w:sz w:val="24"/>
        </w:rPr>
        <w:t xml:space="preserve"> </w:t>
      </w:r>
      <w:r>
        <w:rPr>
          <w:sz w:val="24"/>
        </w:rPr>
        <w:t>.329)</w:t>
      </w:r>
    </w:p>
    <w:p w:rsidR="00F3177F" w:rsidRDefault="00F3177F">
      <w:pPr>
        <w:rPr>
          <w:sz w:val="24"/>
        </w:rPr>
        <w:sectPr w:rsidR="00F3177F">
          <w:pgSz w:w="12240" w:h="15840"/>
          <w:pgMar w:top="1420" w:right="1340" w:bottom="2320" w:left="1720" w:header="0" w:footer="2072" w:gutter="0"/>
          <w:cols w:space="720"/>
        </w:sectPr>
      </w:pPr>
    </w:p>
    <w:p w:rsidR="00F3177F" w:rsidRDefault="0089671D">
      <w:pPr>
        <w:pStyle w:val="BodyText"/>
        <w:spacing w:before="54" w:line="360" w:lineRule="auto"/>
        <w:ind w:left="584" w:right="201"/>
      </w:pPr>
      <w:r>
        <w:lastRenderedPageBreak/>
        <w:t>According to Table 26 above, student density has a statistically significant effect on both;</w:t>
      </w:r>
    </w:p>
    <w:p w:rsidR="00F3177F" w:rsidRDefault="0089671D">
      <w:pPr>
        <w:pStyle w:val="ListParagraph"/>
        <w:numPr>
          <w:ilvl w:val="0"/>
          <w:numId w:val="16"/>
        </w:numPr>
        <w:tabs>
          <w:tab w:val="left" w:pos="839"/>
        </w:tabs>
        <w:spacing w:before="0" w:line="282" w:lineRule="exact"/>
        <w:ind w:hanging="254"/>
        <w:rPr>
          <w:sz w:val="24"/>
        </w:rPr>
      </w:pPr>
      <w:r>
        <w:rPr>
          <w:sz w:val="24"/>
        </w:rPr>
        <w:t>Annual energy consumption per unit area (</w:t>
      </w:r>
      <w:r>
        <w:rPr>
          <w:i/>
          <w:sz w:val="24"/>
        </w:rPr>
        <w:t xml:space="preserve">F </w:t>
      </w:r>
      <w:r>
        <w:rPr>
          <w:sz w:val="24"/>
        </w:rPr>
        <w:t xml:space="preserve">(1, 57) = 36.784; </w:t>
      </w:r>
      <w:r>
        <w:rPr>
          <w:i/>
          <w:sz w:val="24"/>
        </w:rPr>
        <w:t xml:space="preserve">p </w:t>
      </w:r>
      <w:r>
        <w:rPr>
          <w:sz w:val="24"/>
        </w:rPr>
        <w:t>&lt; .0005; partial η</w:t>
      </w:r>
      <w:r>
        <w:rPr>
          <w:position w:val="11"/>
          <w:sz w:val="16"/>
        </w:rPr>
        <w:t xml:space="preserve">2   </w:t>
      </w:r>
      <w:r>
        <w:rPr>
          <w:spacing w:val="7"/>
          <w:position w:val="11"/>
          <w:sz w:val="16"/>
        </w:rPr>
        <w:t xml:space="preserve"> </w:t>
      </w:r>
      <w:r>
        <w:rPr>
          <w:sz w:val="24"/>
        </w:rPr>
        <w:t>=</w:t>
      </w:r>
    </w:p>
    <w:p w:rsidR="00F3177F" w:rsidRDefault="0089671D">
      <w:pPr>
        <w:pStyle w:val="BodyText"/>
        <w:spacing w:before="137"/>
        <w:ind w:left="584" w:right="65"/>
      </w:pPr>
      <w:r>
        <w:t>.45)</w:t>
      </w:r>
    </w:p>
    <w:p w:rsidR="00F3177F" w:rsidRDefault="0089671D">
      <w:pPr>
        <w:pStyle w:val="ListParagraph"/>
        <w:numPr>
          <w:ilvl w:val="0"/>
          <w:numId w:val="16"/>
        </w:numPr>
        <w:tabs>
          <w:tab w:val="left" w:pos="844"/>
        </w:tabs>
        <w:spacing w:before="104"/>
        <w:ind w:left="843" w:hanging="259"/>
        <w:rPr>
          <w:sz w:val="24"/>
        </w:rPr>
      </w:pPr>
      <w:r>
        <w:rPr>
          <w:sz w:val="24"/>
        </w:rPr>
        <w:t>Annual CO</w:t>
      </w:r>
      <w:r>
        <w:rPr>
          <w:position w:val="-2"/>
          <w:sz w:val="16"/>
        </w:rPr>
        <w:t xml:space="preserve">2 </w:t>
      </w:r>
      <w:r>
        <w:rPr>
          <w:sz w:val="24"/>
        </w:rPr>
        <w:t>emission per unit area (</w:t>
      </w:r>
      <w:r>
        <w:rPr>
          <w:i/>
          <w:sz w:val="24"/>
        </w:rPr>
        <w:t xml:space="preserve">F </w:t>
      </w:r>
      <w:r>
        <w:rPr>
          <w:sz w:val="24"/>
        </w:rPr>
        <w:t xml:space="preserve">(1, 57) = 15.246; </w:t>
      </w:r>
      <w:r>
        <w:rPr>
          <w:i/>
          <w:sz w:val="24"/>
        </w:rPr>
        <w:t xml:space="preserve">p </w:t>
      </w:r>
      <w:r>
        <w:rPr>
          <w:sz w:val="24"/>
        </w:rPr>
        <w:t>&lt; .0005; partial η</w:t>
      </w:r>
      <w:r>
        <w:rPr>
          <w:position w:val="11"/>
          <w:sz w:val="16"/>
        </w:rPr>
        <w:t xml:space="preserve">2 </w:t>
      </w:r>
      <w:r>
        <w:rPr>
          <w:sz w:val="24"/>
        </w:rPr>
        <w:t>=</w:t>
      </w:r>
      <w:r>
        <w:rPr>
          <w:spacing w:val="32"/>
          <w:sz w:val="24"/>
        </w:rPr>
        <w:t xml:space="preserve"> </w:t>
      </w:r>
      <w:r>
        <w:rPr>
          <w:sz w:val="24"/>
        </w:rPr>
        <w:t>.25)</w:t>
      </w:r>
    </w:p>
    <w:p w:rsidR="00F3177F" w:rsidRDefault="00F3177F">
      <w:pPr>
        <w:pStyle w:val="BodyText"/>
        <w:rPr>
          <w:sz w:val="30"/>
        </w:rPr>
      </w:pPr>
    </w:p>
    <w:p w:rsidR="00F3177F" w:rsidRDefault="0089671D">
      <w:pPr>
        <w:pStyle w:val="BodyText"/>
        <w:spacing w:before="194"/>
        <w:ind w:left="584" w:right="65"/>
      </w:pPr>
      <w:r>
        <w:t>Study Shift density has a statistically significant effect on;</w:t>
      </w:r>
    </w:p>
    <w:p w:rsidR="00F3177F" w:rsidRDefault="0089671D">
      <w:pPr>
        <w:pStyle w:val="BodyText"/>
        <w:spacing w:before="137" w:line="331" w:lineRule="auto"/>
        <w:ind w:left="584" w:right="201"/>
      </w:pPr>
      <w:r>
        <w:t xml:space="preserve">a) Annual energy consumption per </w:t>
      </w:r>
      <w:proofErr w:type="gramStart"/>
      <w:r>
        <w:t>unit  area</w:t>
      </w:r>
      <w:proofErr w:type="gramEnd"/>
      <w:r>
        <w:t xml:space="preserve">  (</w:t>
      </w:r>
      <w:r>
        <w:rPr>
          <w:i/>
        </w:rPr>
        <w:t xml:space="preserve">F </w:t>
      </w:r>
      <w:r>
        <w:t xml:space="preserve">(1, 57)  = 25.439; </w:t>
      </w:r>
      <w:r>
        <w:rPr>
          <w:i/>
        </w:rPr>
        <w:t xml:space="preserve">p </w:t>
      </w:r>
      <w:r>
        <w:t>&lt;  .0005;  partial  η</w:t>
      </w:r>
      <w:r>
        <w:rPr>
          <w:position w:val="11"/>
          <w:sz w:val="16"/>
        </w:rPr>
        <w:t xml:space="preserve">2  </w:t>
      </w:r>
      <w:r>
        <w:t>=</w:t>
      </w:r>
      <w:r>
        <w:rPr>
          <w:spacing w:val="-21"/>
        </w:rPr>
        <w:t xml:space="preserve"> </w:t>
      </w:r>
      <w:r>
        <w:t>.361)</w:t>
      </w:r>
    </w:p>
    <w:p w:rsidR="00F3177F" w:rsidRDefault="00F3177F">
      <w:pPr>
        <w:pStyle w:val="BodyText"/>
        <w:spacing w:before="11"/>
        <w:rPr>
          <w:sz w:val="37"/>
        </w:rPr>
      </w:pPr>
    </w:p>
    <w:p w:rsidR="00F3177F" w:rsidRDefault="0089671D">
      <w:pPr>
        <w:pStyle w:val="BodyText"/>
        <w:ind w:left="584" w:right="65"/>
      </w:pPr>
      <w:r>
        <w:t>Student Density combined with Study Shift has a statistically significant effect on both;</w:t>
      </w:r>
    </w:p>
    <w:p w:rsidR="00F3177F" w:rsidRDefault="0089671D">
      <w:pPr>
        <w:pStyle w:val="ListParagraph"/>
        <w:numPr>
          <w:ilvl w:val="0"/>
          <w:numId w:val="15"/>
        </w:numPr>
        <w:tabs>
          <w:tab w:val="left" w:pos="877"/>
        </w:tabs>
        <w:spacing w:before="137" w:line="331" w:lineRule="auto"/>
        <w:ind w:right="116" w:firstLine="0"/>
        <w:rPr>
          <w:sz w:val="24"/>
        </w:rPr>
      </w:pPr>
      <w:r>
        <w:rPr>
          <w:sz w:val="24"/>
        </w:rPr>
        <w:t>Annual energy consumption per unit area  (</w:t>
      </w:r>
      <w:r>
        <w:rPr>
          <w:i/>
          <w:sz w:val="24"/>
        </w:rPr>
        <w:t xml:space="preserve">F </w:t>
      </w:r>
      <w:r>
        <w:rPr>
          <w:sz w:val="24"/>
        </w:rPr>
        <w:t xml:space="preserve">(1, 57)  = 15.712; </w:t>
      </w:r>
      <w:r>
        <w:rPr>
          <w:i/>
          <w:sz w:val="24"/>
        </w:rPr>
        <w:t xml:space="preserve">p </w:t>
      </w:r>
      <w:r>
        <w:rPr>
          <w:sz w:val="24"/>
        </w:rPr>
        <w:t>&lt;  .0005;  partial  η</w:t>
      </w:r>
      <w:r>
        <w:rPr>
          <w:position w:val="11"/>
          <w:sz w:val="16"/>
        </w:rPr>
        <w:t xml:space="preserve">2  </w:t>
      </w:r>
      <w:r>
        <w:rPr>
          <w:sz w:val="24"/>
        </w:rPr>
        <w:t>=</w:t>
      </w:r>
      <w:r>
        <w:rPr>
          <w:spacing w:val="-21"/>
          <w:sz w:val="24"/>
        </w:rPr>
        <w:t xml:space="preserve"> </w:t>
      </w:r>
      <w:r>
        <w:rPr>
          <w:sz w:val="24"/>
        </w:rPr>
        <w:t>.259)</w:t>
      </w:r>
    </w:p>
    <w:p w:rsidR="00F3177F" w:rsidRDefault="0089671D">
      <w:pPr>
        <w:pStyle w:val="ListParagraph"/>
        <w:numPr>
          <w:ilvl w:val="0"/>
          <w:numId w:val="15"/>
        </w:numPr>
        <w:tabs>
          <w:tab w:val="left" w:pos="844"/>
        </w:tabs>
        <w:spacing w:before="0" w:line="708" w:lineRule="auto"/>
        <w:ind w:right="415" w:firstLine="0"/>
        <w:rPr>
          <w:sz w:val="24"/>
        </w:rPr>
      </w:pPr>
      <w:r>
        <w:rPr>
          <w:sz w:val="24"/>
        </w:rPr>
        <w:t>Annual CO</w:t>
      </w:r>
      <w:r>
        <w:rPr>
          <w:position w:val="-2"/>
          <w:sz w:val="16"/>
        </w:rPr>
        <w:t xml:space="preserve">2 </w:t>
      </w:r>
      <w:r>
        <w:rPr>
          <w:sz w:val="24"/>
        </w:rPr>
        <w:t>emission per unit area (</w:t>
      </w:r>
      <w:r>
        <w:rPr>
          <w:i/>
          <w:sz w:val="24"/>
        </w:rPr>
        <w:t xml:space="preserve">F </w:t>
      </w:r>
      <w:r>
        <w:rPr>
          <w:sz w:val="24"/>
        </w:rPr>
        <w:t xml:space="preserve">(1, 57) = 5.747; </w:t>
      </w:r>
      <w:r>
        <w:rPr>
          <w:i/>
          <w:sz w:val="24"/>
        </w:rPr>
        <w:t xml:space="preserve">p </w:t>
      </w:r>
      <w:r>
        <w:rPr>
          <w:sz w:val="24"/>
        </w:rPr>
        <w:t>&lt; .0005; partial η</w:t>
      </w:r>
      <w:r>
        <w:rPr>
          <w:position w:val="11"/>
          <w:sz w:val="16"/>
        </w:rPr>
        <w:t xml:space="preserve">2 </w:t>
      </w:r>
      <w:r>
        <w:rPr>
          <w:sz w:val="24"/>
        </w:rPr>
        <w:t>= .113) Table 27 below shows Multiple Comparisons (LSD) for Hypothesis</w:t>
      </w:r>
      <w:r>
        <w:rPr>
          <w:spacing w:val="-13"/>
          <w:sz w:val="24"/>
        </w:rPr>
        <w:t xml:space="preserve"> </w:t>
      </w:r>
      <w:r>
        <w:rPr>
          <w:sz w:val="24"/>
        </w:rPr>
        <w:t>1.</w:t>
      </w:r>
    </w:p>
    <w:p w:rsidR="00F3177F" w:rsidRDefault="00F3177F">
      <w:pPr>
        <w:spacing w:line="708" w:lineRule="auto"/>
        <w:rPr>
          <w:sz w:val="24"/>
        </w:rPr>
        <w:sectPr w:rsidR="00F3177F">
          <w:pgSz w:w="12240" w:h="15840"/>
          <w:pgMar w:top="1380" w:right="1320" w:bottom="2320" w:left="1720" w:header="0" w:footer="2072" w:gutter="0"/>
          <w:cols w:space="720"/>
        </w:sectPr>
      </w:pPr>
    </w:p>
    <w:p w:rsidR="00F3177F" w:rsidRDefault="0089671D">
      <w:pPr>
        <w:pStyle w:val="BodyText"/>
        <w:spacing w:before="54"/>
        <w:ind w:left="584" w:right="65"/>
      </w:pPr>
      <w:r>
        <w:lastRenderedPageBreak/>
        <w:t>Table 27: Multiple Comparisons (LSD) for Hypothesis 1</w:t>
      </w:r>
    </w:p>
    <w:p w:rsidR="00F3177F" w:rsidRDefault="00F3177F">
      <w:pPr>
        <w:pStyle w:val="BodyText"/>
        <w:spacing w:before="4" w:after="1"/>
        <w:rPr>
          <w:sz w:val="12"/>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09"/>
        <w:gridCol w:w="811"/>
        <w:gridCol w:w="1349"/>
        <w:gridCol w:w="900"/>
        <w:gridCol w:w="720"/>
        <w:gridCol w:w="1172"/>
        <w:gridCol w:w="1260"/>
      </w:tblGrid>
      <w:tr w:rsidR="00F3177F">
        <w:trPr>
          <w:trHeight w:hRule="exact" w:val="331"/>
        </w:trPr>
        <w:tc>
          <w:tcPr>
            <w:tcW w:w="1440" w:type="dxa"/>
            <w:vMerge w:val="restart"/>
          </w:tcPr>
          <w:p w:rsidR="00F3177F" w:rsidRDefault="0089671D">
            <w:pPr>
              <w:pStyle w:val="TableParagraph"/>
              <w:spacing w:before="2" w:line="320" w:lineRule="atLeast"/>
              <w:ind w:left="405" w:right="307" w:hanging="82"/>
              <w:rPr>
                <w:sz w:val="18"/>
              </w:rPr>
            </w:pPr>
            <w:r>
              <w:rPr>
                <w:sz w:val="18"/>
              </w:rPr>
              <w:t>Dependent Variable</w:t>
            </w:r>
          </w:p>
        </w:tc>
        <w:tc>
          <w:tcPr>
            <w:tcW w:w="809" w:type="dxa"/>
            <w:vMerge w:val="restart"/>
          </w:tcPr>
          <w:p w:rsidR="00F3177F" w:rsidRDefault="0089671D">
            <w:pPr>
              <w:pStyle w:val="TableParagraph"/>
              <w:spacing w:before="2" w:line="320" w:lineRule="atLeast"/>
              <w:ind w:left="125" w:right="95" w:hanging="15"/>
              <w:rPr>
                <w:sz w:val="18"/>
              </w:rPr>
            </w:pPr>
            <w:r>
              <w:rPr>
                <w:sz w:val="18"/>
              </w:rPr>
              <w:t>(I) floor number</w:t>
            </w:r>
          </w:p>
        </w:tc>
        <w:tc>
          <w:tcPr>
            <w:tcW w:w="811" w:type="dxa"/>
            <w:vMerge w:val="restart"/>
          </w:tcPr>
          <w:p w:rsidR="00F3177F" w:rsidRDefault="0089671D">
            <w:pPr>
              <w:pStyle w:val="TableParagraph"/>
              <w:spacing w:before="2" w:line="320" w:lineRule="atLeast"/>
              <w:ind w:left="124" w:right="92" w:hanging="20"/>
              <w:rPr>
                <w:sz w:val="18"/>
              </w:rPr>
            </w:pPr>
            <w:r>
              <w:rPr>
                <w:sz w:val="18"/>
              </w:rPr>
              <w:t>(J) floor number</w:t>
            </w:r>
          </w:p>
        </w:tc>
        <w:tc>
          <w:tcPr>
            <w:tcW w:w="1349" w:type="dxa"/>
            <w:vMerge w:val="restart"/>
          </w:tcPr>
          <w:p w:rsidR="00F3177F" w:rsidRDefault="0089671D">
            <w:pPr>
              <w:pStyle w:val="TableParagraph"/>
              <w:spacing w:before="2" w:line="320" w:lineRule="atLeast"/>
              <w:ind w:left="107" w:right="88" w:firstLine="355"/>
              <w:rPr>
                <w:sz w:val="18"/>
              </w:rPr>
            </w:pPr>
            <w:r>
              <w:rPr>
                <w:sz w:val="18"/>
              </w:rPr>
              <w:t>Mean Difference (I-J)</w:t>
            </w:r>
          </w:p>
        </w:tc>
        <w:tc>
          <w:tcPr>
            <w:tcW w:w="900" w:type="dxa"/>
            <w:vMerge w:val="restart"/>
          </w:tcPr>
          <w:p w:rsidR="00F3177F" w:rsidRDefault="00F3177F">
            <w:pPr>
              <w:pStyle w:val="TableParagraph"/>
              <w:spacing w:before="9"/>
              <w:rPr>
                <w:sz w:val="23"/>
              </w:rPr>
            </w:pPr>
          </w:p>
          <w:p w:rsidR="00F3177F" w:rsidRDefault="0089671D">
            <w:pPr>
              <w:pStyle w:val="TableParagraph"/>
              <w:ind w:left="88"/>
              <w:rPr>
                <w:sz w:val="18"/>
              </w:rPr>
            </w:pPr>
            <w:r>
              <w:rPr>
                <w:sz w:val="18"/>
              </w:rPr>
              <w:t>Std. Error</w:t>
            </w:r>
          </w:p>
        </w:tc>
        <w:tc>
          <w:tcPr>
            <w:tcW w:w="720" w:type="dxa"/>
            <w:vMerge w:val="restart"/>
          </w:tcPr>
          <w:p w:rsidR="00F3177F" w:rsidRDefault="00F3177F">
            <w:pPr>
              <w:pStyle w:val="TableParagraph"/>
              <w:spacing w:before="9"/>
              <w:rPr>
                <w:sz w:val="23"/>
              </w:rPr>
            </w:pPr>
          </w:p>
          <w:p w:rsidR="00F3177F" w:rsidRDefault="0089671D">
            <w:pPr>
              <w:pStyle w:val="TableParagraph"/>
              <w:ind w:left="211"/>
              <w:rPr>
                <w:sz w:val="18"/>
              </w:rPr>
            </w:pPr>
            <w:r>
              <w:rPr>
                <w:sz w:val="18"/>
              </w:rPr>
              <w:t>Sig.</w:t>
            </w:r>
          </w:p>
        </w:tc>
        <w:tc>
          <w:tcPr>
            <w:tcW w:w="2432" w:type="dxa"/>
            <w:gridSpan w:val="2"/>
          </w:tcPr>
          <w:p w:rsidR="00F3177F" w:rsidRDefault="0089671D">
            <w:pPr>
              <w:pStyle w:val="TableParagraph"/>
              <w:spacing w:before="110"/>
              <w:ind w:left="304" w:right="87"/>
              <w:rPr>
                <w:sz w:val="18"/>
              </w:rPr>
            </w:pPr>
            <w:r>
              <w:rPr>
                <w:sz w:val="18"/>
              </w:rPr>
              <w:t>95% Confidence Interval</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vMerge/>
          </w:tcPr>
          <w:p w:rsidR="00F3177F" w:rsidRDefault="00F3177F"/>
        </w:tc>
        <w:tc>
          <w:tcPr>
            <w:tcW w:w="1349" w:type="dxa"/>
            <w:vMerge/>
          </w:tcPr>
          <w:p w:rsidR="00F3177F" w:rsidRDefault="00F3177F"/>
        </w:tc>
        <w:tc>
          <w:tcPr>
            <w:tcW w:w="900" w:type="dxa"/>
            <w:vMerge/>
          </w:tcPr>
          <w:p w:rsidR="00F3177F" w:rsidRDefault="00F3177F"/>
        </w:tc>
        <w:tc>
          <w:tcPr>
            <w:tcW w:w="720" w:type="dxa"/>
            <w:vMerge/>
          </w:tcPr>
          <w:p w:rsidR="00F3177F" w:rsidRDefault="00F3177F"/>
        </w:tc>
        <w:tc>
          <w:tcPr>
            <w:tcW w:w="1172" w:type="dxa"/>
          </w:tcPr>
          <w:p w:rsidR="00F3177F" w:rsidRDefault="0089671D">
            <w:pPr>
              <w:pStyle w:val="TableParagraph"/>
              <w:spacing w:before="108"/>
              <w:ind w:left="63" w:right="63"/>
              <w:jc w:val="center"/>
              <w:rPr>
                <w:sz w:val="18"/>
              </w:rPr>
            </w:pPr>
            <w:r>
              <w:rPr>
                <w:sz w:val="18"/>
              </w:rPr>
              <w:t>Lower Bound</w:t>
            </w:r>
          </w:p>
        </w:tc>
        <w:tc>
          <w:tcPr>
            <w:tcW w:w="1260" w:type="dxa"/>
          </w:tcPr>
          <w:p w:rsidR="00F3177F" w:rsidRDefault="0089671D">
            <w:pPr>
              <w:pStyle w:val="TableParagraph"/>
              <w:spacing w:before="108"/>
              <w:ind w:left="72" w:right="73"/>
              <w:jc w:val="center"/>
              <w:rPr>
                <w:sz w:val="18"/>
              </w:rPr>
            </w:pPr>
            <w:r>
              <w:rPr>
                <w:sz w:val="18"/>
              </w:rPr>
              <w:t>Upper Bound</w:t>
            </w:r>
          </w:p>
        </w:tc>
      </w:tr>
      <w:tr w:rsidR="00F3177F">
        <w:trPr>
          <w:trHeight w:hRule="exact" w:val="331"/>
        </w:trPr>
        <w:tc>
          <w:tcPr>
            <w:tcW w:w="1440"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4"/>
              <w:rPr>
                <w:sz w:val="17"/>
              </w:rPr>
            </w:pPr>
          </w:p>
          <w:p w:rsidR="00F3177F" w:rsidRDefault="0089671D">
            <w:pPr>
              <w:pStyle w:val="TableParagraph"/>
              <w:spacing w:before="1" w:line="372" w:lineRule="auto"/>
              <w:ind w:left="91" w:right="90" w:firstLine="2"/>
              <w:jc w:val="center"/>
              <w:rPr>
                <w:sz w:val="18"/>
              </w:rPr>
            </w:pPr>
            <w:r>
              <w:rPr>
                <w:sz w:val="18"/>
              </w:rPr>
              <w:t>Annual Energy Consumption per Unit Area</w:t>
            </w:r>
          </w:p>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1.00</w:t>
            </w:r>
          </w:p>
        </w:tc>
        <w:tc>
          <w:tcPr>
            <w:tcW w:w="811" w:type="dxa"/>
          </w:tcPr>
          <w:p w:rsidR="00F3177F" w:rsidRDefault="0089671D">
            <w:pPr>
              <w:pStyle w:val="TableParagraph"/>
              <w:spacing w:before="110"/>
              <w:ind w:left="60" w:right="61"/>
              <w:jc w:val="center"/>
              <w:rPr>
                <w:sz w:val="18"/>
              </w:rPr>
            </w:pPr>
            <w:r>
              <w:rPr>
                <w:sz w:val="18"/>
              </w:rPr>
              <w:t>2.00</w:t>
            </w:r>
          </w:p>
        </w:tc>
        <w:tc>
          <w:tcPr>
            <w:tcW w:w="1349" w:type="dxa"/>
          </w:tcPr>
          <w:p w:rsidR="00F3177F" w:rsidRDefault="0089671D">
            <w:pPr>
              <w:pStyle w:val="TableParagraph"/>
              <w:spacing w:before="86"/>
              <w:ind w:left="252" w:right="252"/>
              <w:jc w:val="center"/>
              <w:rPr>
                <w:sz w:val="12"/>
              </w:rPr>
            </w:pPr>
            <w:r>
              <w:rPr>
                <w:sz w:val="18"/>
              </w:rPr>
              <w:t>58.0128</w:t>
            </w:r>
            <w:r>
              <w:rPr>
                <w:position w:val="8"/>
                <w:sz w:val="12"/>
              </w:rPr>
              <w:t>*</w:t>
            </w:r>
          </w:p>
        </w:tc>
        <w:tc>
          <w:tcPr>
            <w:tcW w:w="900" w:type="dxa"/>
          </w:tcPr>
          <w:p w:rsidR="00F3177F" w:rsidRDefault="0089671D">
            <w:pPr>
              <w:pStyle w:val="TableParagraph"/>
              <w:spacing w:before="110"/>
              <w:ind w:left="41" w:right="42"/>
              <w:jc w:val="center"/>
              <w:rPr>
                <w:sz w:val="18"/>
              </w:rPr>
            </w:pPr>
            <w:r>
              <w:rPr>
                <w:sz w:val="18"/>
              </w:rPr>
              <w:t>8.59875</w:t>
            </w:r>
          </w:p>
        </w:tc>
        <w:tc>
          <w:tcPr>
            <w:tcW w:w="720" w:type="dxa"/>
          </w:tcPr>
          <w:p w:rsidR="00F3177F" w:rsidRDefault="0089671D">
            <w:pPr>
              <w:pStyle w:val="TableParagraph"/>
              <w:spacing w:before="110"/>
              <w:ind w:right="196"/>
              <w:jc w:val="right"/>
              <w:rPr>
                <w:sz w:val="18"/>
              </w:rPr>
            </w:pPr>
            <w:r>
              <w:rPr>
                <w:sz w:val="18"/>
              </w:rPr>
              <w:t>.000</w:t>
            </w:r>
          </w:p>
        </w:tc>
        <w:tc>
          <w:tcPr>
            <w:tcW w:w="1172" w:type="dxa"/>
          </w:tcPr>
          <w:p w:rsidR="00F3177F" w:rsidRDefault="0089671D">
            <w:pPr>
              <w:pStyle w:val="TableParagraph"/>
              <w:spacing w:before="110"/>
              <w:ind w:left="61" w:right="63"/>
              <w:jc w:val="center"/>
              <w:rPr>
                <w:sz w:val="18"/>
              </w:rPr>
            </w:pPr>
            <w:r>
              <w:rPr>
                <w:sz w:val="18"/>
              </w:rPr>
              <w:t>40.6941</w:t>
            </w:r>
          </w:p>
        </w:tc>
        <w:tc>
          <w:tcPr>
            <w:tcW w:w="1260" w:type="dxa"/>
          </w:tcPr>
          <w:p w:rsidR="00F3177F" w:rsidRDefault="0089671D">
            <w:pPr>
              <w:pStyle w:val="TableParagraph"/>
              <w:spacing w:before="110"/>
              <w:ind w:left="72" w:right="73"/>
              <w:jc w:val="center"/>
              <w:rPr>
                <w:sz w:val="18"/>
              </w:rPr>
            </w:pPr>
            <w:r>
              <w:rPr>
                <w:sz w:val="18"/>
              </w:rPr>
              <w:t>75.3316</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84"/>
              <w:ind w:left="252" w:right="252"/>
              <w:jc w:val="center"/>
              <w:rPr>
                <w:sz w:val="12"/>
              </w:rPr>
            </w:pPr>
            <w:r>
              <w:rPr>
                <w:sz w:val="18"/>
              </w:rPr>
              <w:t>81.3364</w:t>
            </w:r>
            <w:r>
              <w:rPr>
                <w:position w:val="8"/>
                <w:sz w:val="12"/>
              </w:rPr>
              <w:t>*</w:t>
            </w:r>
          </w:p>
        </w:tc>
        <w:tc>
          <w:tcPr>
            <w:tcW w:w="900" w:type="dxa"/>
          </w:tcPr>
          <w:p w:rsidR="00F3177F" w:rsidRDefault="0089671D">
            <w:pPr>
              <w:pStyle w:val="TableParagraph"/>
              <w:spacing w:before="108"/>
              <w:ind w:left="41" w:right="42"/>
              <w:jc w:val="center"/>
              <w:rPr>
                <w:sz w:val="18"/>
              </w:rPr>
            </w:pPr>
            <w:r>
              <w:rPr>
                <w:sz w:val="18"/>
              </w:rPr>
              <w:t>8.74902</w:t>
            </w:r>
          </w:p>
        </w:tc>
        <w:tc>
          <w:tcPr>
            <w:tcW w:w="720" w:type="dxa"/>
          </w:tcPr>
          <w:p w:rsidR="00F3177F" w:rsidRDefault="0089671D">
            <w:pPr>
              <w:pStyle w:val="TableParagraph"/>
              <w:spacing w:before="108"/>
              <w:ind w:right="196"/>
              <w:jc w:val="right"/>
              <w:rPr>
                <w:sz w:val="18"/>
              </w:rPr>
            </w:pPr>
            <w:r>
              <w:rPr>
                <w:sz w:val="18"/>
              </w:rPr>
              <w:t>.000</w:t>
            </w:r>
          </w:p>
        </w:tc>
        <w:tc>
          <w:tcPr>
            <w:tcW w:w="1172" w:type="dxa"/>
          </w:tcPr>
          <w:p w:rsidR="00F3177F" w:rsidRDefault="0089671D">
            <w:pPr>
              <w:pStyle w:val="TableParagraph"/>
              <w:spacing w:before="108"/>
              <w:ind w:left="61" w:right="63"/>
              <w:jc w:val="center"/>
              <w:rPr>
                <w:sz w:val="18"/>
              </w:rPr>
            </w:pPr>
            <w:r>
              <w:rPr>
                <w:sz w:val="18"/>
              </w:rPr>
              <w:t>63.7149</w:t>
            </w:r>
          </w:p>
        </w:tc>
        <w:tc>
          <w:tcPr>
            <w:tcW w:w="1260" w:type="dxa"/>
          </w:tcPr>
          <w:p w:rsidR="00F3177F" w:rsidRDefault="0089671D">
            <w:pPr>
              <w:pStyle w:val="TableParagraph"/>
              <w:spacing w:before="108"/>
              <w:ind w:left="72" w:right="73"/>
              <w:jc w:val="center"/>
              <w:rPr>
                <w:sz w:val="18"/>
              </w:rPr>
            </w:pPr>
            <w:r>
              <w:rPr>
                <w:sz w:val="18"/>
              </w:rPr>
              <w:t>98.9578</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2.00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86"/>
              <w:ind w:left="252" w:right="251"/>
              <w:jc w:val="center"/>
              <w:rPr>
                <w:sz w:val="12"/>
              </w:rPr>
            </w:pPr>
            <w:r>
              <w:rPr>
                <w:sz w:val="18"/>
              </w:rPr>
              <w:t>-58.0128</w:t>
            </w:r>
            <w:r>
              <w:rPr>
                <w:position w:val="8"/>
                <w:sz w:val="12"/>
              </w:rPr>
              <w:t>*</w:t>
            </w:r>
          </w:p>
        </w:tc>
        <w:tc>
          <w:tcPr>
            <w:tcW w:w="900" w:type="dxa"/>
          </w:tcPr>
          <w:p w:rsidR="00F3177F" w:rsidRDefault="0089671D">
            <w:pPr>
              <w:pStyle w:val="TableParagraph"/>
              <w:spacing w:before="110"/>
              <w:ind w:left="41" w:right="42"/>
              <w:jc w:val="center"/>
              <w:rPr>
                <w:sz w:val="18"/>
              </w:rPr>
            </w:pPr>
            <w:r>
              <w:rPr>
                <w:sz w:val="18"/>
              </w:rPr>
              <w:t>8.59875</w:t>
            </w:r>
          </w:p>
        </w:tc>
        <w:tc>
          <w:tcPr>
            <w:tcW w:w="720" w:type="dxa"/>
          </w:tcPr>
          <w:p w:rsidR="00F3177F" w:rsidRDefault="0089671D">
            <w:pPr>
              <w:pStyle w:val="TableParagraph"/>
              <w:spacing w:before="110"/>
              <w:ind w:right="196"/>
              <w:jc w:val="right"/>
              <w:rPr>
                <w:sz w:val="18"/>
              </w:rPr>
            </w:pPr>
            <w:r>
              <w:rPr>
                <w:sz w:val="18"/>
              </w:rPr>
              <w:t>.000</w:t>
            </w:r>
          </w:p>
        </w:tc>
        <w:tc>
          <w:tcPr>
            <w:tcW w:w="1172" w:type="dxa"/>
          </w:tcPr>
          <w:p w:rsidR="00F3177F" w:rsidRDefault="0089671D">
            <w:pPr>
              <w:pStyle w:val="TableParagraph"/>
              <w:spacing w:before="110"/>
              <w:ind w:left="63" w:right="63"/>
              <w:jc w:val="center"/>
              <w:rPr>
                <w:sz w:val="18"/>
              </w:rPr>
            </w:pPr>
            <w:r>
              <w:rPr>
                <w:sz w:val="18"/>
              </w:rPr>
              <w:t>-75.3316</w:t>
            </w:r>
          </w:p>
        </w:tc>
        <w:tc>
          <w:tcPr>
            <w:tcW w:w="1260" w:type="dxa"/>
          </w:tcPr>
          <w:p w:rsidR="00F3177F" w:rsidRDefault="0089671D">
            <w:pPr>
              <w:pStyle w:val="TableParagraph"/>
              <w:spacing w:before="110"/>
              <w:ind w:left="72" w:right="72"/>
              <w:jc w:val="center"/>
              <w:rPr>
                <w:sz w:val="18"/>
              </w:rPr>
            </w:pPr>
            <w:r>
              <w:rPr>
                <w:sz w:val="18"/>
              </w:rPr>
              <w:t>-40.6941</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84"/>
              <w:ind w:left="252" w:right="252"/>
              <w:jc w:val="center"/>
              <w:rPr>
                <w:sz w:val="12"/>
              </w:rPr>
            </w:pPr>
            <w:r>
              <w:rPr>
                <w:sz w:val="18"/>
              </w:rPr>
              <w:t>23.3235</w:t>
            </w:r>
            <w:r>
              <w:rPr>
                <w:position w:val="8"/>
                <w:sz w:val="12"/>
              </w:rPr>
              <w:t>*</w:t>
            </w:r>
          </w:p>
        </w:tc>
        <w:tc>
          <w:tcPr>
            <w:tcW w:w="900" w:type="dxa"/>
          </w:tcPr>
          <w:p w:rsidR="00F3177F" w:rsidRDefault="0089671D">
            <w:pPr>
              <w:pStyle w:val="TableParagraph"/>
              <w:spacing w:before="108"/>
              <w:ind w:left="41" w:right="42"/>
              <w:jc w:val="center"/>
              <w:rPr>
                <w:sz w:val="18"/>
              </w:rPr>
            </w:pPr>
            <w:r>
              <w:rPr>
                <w:sz w:val="18"/>
              </w:rPr>
              <w:t>9.27495</w:t>
            </w:r>
          </w:p>
        </w:tc>
        <w:tc>
          <w:tcPr>
            <w:tcW w:w="720" w:type="dxa"/>
          </w:tcPr>
          <w:p w:rsidR="00F3177F" w:rsidRDefault="0089671D">
            <w:pPr>
              <w:pStyle w:val="TableParagraph"/>
              <w:spacing w:before="108"/>
              <w:ind w:right="196"/>
              <w:jc w:val="right"/>
              <w:rPr>
                <w:sz w:val="18"/>
              </w:rPr>
            </w:pPr>
            <w:r>
              <w:rPr>
                <w:sz w:val="18"/>
              </w:rPr>
              <w:t>.016</w:t>
            </w:r>
          </w:p>
        </w:tc>
        <w:tc>
          <w:tcPr>
            <w:tcW w:w="1172" w:type="dxa"/>
          </w:tcPr>
          <w:p w:rsidR="00F3177F" w:rsidRDefault="0089671D">
            <w:pPr>
              <w:pStyle w:val="TableParagraph"/>
              <w:spacing w:before="108"/>
              <w:ind w:left="61" w:right="63"/>
              <w:jc w:val="center"/>
              <w:rPr>
                <w:sz w:val="18"/>
              </w:rPr>
            </w:pPr>
            <w:r>
              <w:rPr>
                <w:sz w:val="18"/>
              </w:rPr>
              <w:t>4.6428</w:t>
            </w:r>
          </w:p>
        </w:tc>
        <w:tc>
          <w:tcPr>
            <w:tcW w:w="1260" w:type="dxa"/>
          </w:tcPr>
          <w:p w:rsidR="00F3177F" w:rsidRDefault="0089671D">
            <w:pPr>
              <w:pStyle w:val="TableParagraph"/>
              <w:spacing w:before="108"/>
              <w:ind w:left="72" w:right="73"/>
              <w:jc w:val="center"/>
              <w:rPr>
                <w:sz w:val="18"/>
              </w:rPr>
            </w:pPr>
            <w:r>
              <w:rPr>
                <w:sz w:val="18"/>
              </w:rPr>
              <w:t>42.0042</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3.00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86"/>
              <w:ind w:left="252" w:right="251"/>
              <w:jc w:val="center"/>
              <w:rPr>
                <w:sz w:val="12"/>
              </w:rPr>
            </w:pPr>
            <w:r>
              <w:rPr>
                <w:sz w:val="18"/>
              </w:rPr>
              <w:t>-81.3364</w:t>
            </w:r>
            <w:r>
              <w:rPr>
                <w:position w:val="8"/>
                <w:sz w:val="12"/>
              </w:rPr>
              <w:t>*</w:t>
            </w:r>
          </w:p>
        </w:tc>
        <w:tc>
          <w:tcPr>
            <w:tcW w:w="900" w:type="dxa"/>
          </w:tcPr>
          <w:p w:rsidR="00F3177F" w:rsidRDefault="0089671D">
            <w:pPr>
              <w:pStyle w:val="TableParagraph"/>
              <w:spacing w:before="110"/>
              <w:ind w:left="41" w:right="42"/>
              <w:jc w:val="center"/>
              <w:rPr>
                <w:sz w:val="18"/>
              </w:rPr>
            </w:pPr>
            <w:r>
              <w:rPr>
                <w:sz w:val="18"/>
              </w:rPr>
              <w:t>8.74902</w:t>
            </w:r>
          </w:p>
        </w:tc>
        <w:tc>
          <w:tcPr>
            <w:tcW w:w="720" w:type="dxa"/>
          </w:tcPr>
          <w:p w:rsidR="00F3177F" w:rsidRDefault="0089671D">
            <w:pPr>
              <w:pStyle w:val="TableParagraph"/>
              <w:spacing w:before="110"/>
              <w:ind w:right="196"/>
              <w:jc w:val="right"/>
              <w:rPr>
                <w:sz w:val="18"/>
              </w:rPr>
            </w:pPr>
            <w:r>
              <w:rPr>
                <w:sz w:val="18"/>
              </w:rPr>
              <w:t>.000</w:t>
            </w:r>
          </w:p>
        </w:tc>
        <w:tc>
          <w:tcPr>
            <w:tcW w:w="1172" w:type="dxa"/>
          </w:tcPr>
          <w:p w:rsidR="00F3177F" w:rsidRDefault="0089671D">
            <w:pPr>
              <w:pStyle w:val="TableParagraph"/>
              <w:spacing w:before="110"/>
              <w:ind w:left="63" w:right="63"/>
              <w:jc w:val="center"/>
              <w:rPr>
                <w:sz w:val="18"/>
              </w:rPr>
            </w:pPr>
            <w:r>
              <w:rPr>
                <w:sz w:val="18"/>
              </w:rPr>
              <w:t>-98.9578</w:t>
            </w:r>
          </w:p>
        </w:tc>
        <w:tc>
          <w:tcPr>
            <w:tcW w:w="1260" w:type="dxa"/>
          </w:tcPr>
          <w:p w:rsidR="00F3177F" w:rsidRDefault="0089671D">
            <w:pPr>
              <w:pStyle w:val="TableParagraph"/>
              <w:spacing w:before="110"/>
              <w:ind w:left="72" w:right="72"/>
              <w:jc w:val="center"/>
              <w:rPr>
                <w:sz w:val="18"/>
              </w:rPr>
            </w:pPr>
            <w:r>
              <w:rPr>
                <w:sz w:val="18"/>
              </w:rPr>
              <w:t>-63.7149</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2.00</w:t>
            </w:r>
          </w:p>
        </w:tc>
        <w:tc>
          <w:tcPr>
            <w:tcW w:w="1349" w:type="dxa"/>
          </w:tcPr>
          <w:p w:rsidR="00F3177F" w:rsidRDefault="0089671D">
            <w:pPr>
              <w:pStyle w:val="TableParagraph"/>
              <w:spacing w:before="84"/>
              <w:ind w:left="252" w:right="251"/>
              <w:jc w:val="center"/>
              <w:rPr>
                <w:sz w:val="12"/>
              </w:rPr>
            </w:pPr>
            <w:r>
              <w:rPr>
                <w:sz w:val="18"/>
              </w:rPr>
              <w:t>-23.3235</w:t>
            </w:r>
            <w:r>
              <w:rPr>
                <w:position w:val="8"/>
                <w:sz w:val="12"/>
              </w:rPr>
              <w:t>*</w:t>
            </w:r>
          </w:p>
        </w:tc>
        <w:tc>
          <w:tcPr>
            <w:tcW w:w="900" w:type="dxa"/>
          </w:tcPr>
          <w:p w:rsidR="00F3177F" w:rsidRDefault="0089671D">
            <w:pPr>
              <w:pStyle w:val="TableParagraph"/>
              <w:spacing w:before="108"/>
              <w:ind w:left="41" w:right="42"/>
              <w:jc w:val="center"/>
              <w:rPr>
                <w:sz w:val="18"/>
              </w:rPr>
            </w:pPr>
            <w:r>
              <w:rPr>
                <w:sz w:val="18"/>
              </w:rPr>
              <w:t>9.27495</w:t>
            </w:r>
          </w:p>
        </w:tc>
        <w:tc>
          <w:tcPr>
            <w:tcW w:w="720" w:type="dxa"/>
          </w:tcPr>
          <w:p w:rsidR="00F3177F" w:rsidRDefault="0089671D">
            <w:pPr>
              <w:pStyle w:val="TableParagraph"/>
              <w:spacing w:before="108"/>
              <w:ind w:right="196"/>
              <w:jc w:val="right"/>
              <w:rPr>
                <w:sz w:val="18"/>
              </w:rPr>
            </w:pPr>
            <w:r>
              <w:rPr>
                <w:sz w:val="18"/>
              </w:rPr>
              <w:t>.016</w:t>
            </w:r>
          </w:p>
        </w:tc>
        <w:tc>
          <w:tcPr>
            <w:tcW w:w="1172" w:type="dxa"/>
          </w:tcPr>
          <w:p w:rsidR="00F3177F" w:rsidRDefault="0089671D">
            <w:pPr>
              <w:pStyle w:val="TableParagraph"/>
              <w:spacing w:before="108"/>
              <w:ind w:left="63" w:right="63"/>
              <w:jc w:val="center"/>
              <w:rPr>
                <w:sz w:val="18"/>
              </w:rPr>
            </w:pPr>
            <w:r>
              <w:rPr>
                <w:sz w:val="18"/>
              </w:rPr>
              <w:t>-42.0042</w:t>
            </w:r>
          </w:p>
        </w:tc>
        <w:tc>
          <w:tcPr>
            <w:tcW w:w="1260" w:type="dxa"/>
          </w:tcPr>
          <w:p w:rsidR="00F3177F" w:rsidRDefault="0089671D">
            <w:pPr>
              <w:pStyle w:val="TableParagraph"/>
              <w:spacing w:before="108"/>
              <w:ind w:left="72" w:right="72"/>
              <w:jc w:val="center"/>
              <w:rPr>
                <w:sz w:val="18"/>
              </w:rPr>
            </w:pPr>
            <w:r>
              <w:rPr>
                <w:sz w:val="18"/>
              </w:rPr>
              <w:t>-4.6428</w:t>
            </w:r>
          </w:p>
        </w:tc>
      </w:tr>
      <w:tr w:rsidR="00F3177F">
        <w:trPr>
          <w:trHeight w:hRule="exact" w:val="331"/>
        </w:trPr>
        <w:tc>
          <w:tcPr>
            <w:tcW w:w="1440"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5"/>
              <w:rPr>
                <w:sz w:val="17"/>
              </w:rPr>
            </w:pPr>
          </w:p>
          <w:p w:rsidR="00F3177F" w:rsidRDefault="0089671D">
            <w:pPr>
              <w:pStyle w:val="TableParagraph"/>
              <w:spacing w:line="362" w:lineRule="auto"/>
              <w:ind w:left="60" w:right="57" w:hanging="4"/>
              <w:jc w:val="center"/>
              <w:rPr>
                <w:sz w:val="18"/>
              </w:rPr>
            </w:pPr>
            <w:r>
              <w:rPr>
                <w:sz w:val="18"/>
              </w:rPr>
              <w:t>Annual CO</w:t>
            </w:r>
            <w:r>
              <w:rPr>
                <w:position w:val="-2"/>
                <w:sz w:val="12"/>
              </w:rPr>
              <w:t xml:space="preserve">2 </w:t>
            </w:r>
            <w:r>
              <w:rPr>
                <w:sz w:val="18"/>
              </w:rPr>
              <w:t>Emission per Unit Area</w:t>
            </w:r>
          </w:p>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1.00</w:t>
            </w:r>
          </w:p>
        </w:tc>
        <w:tc>
          <w:tcPr>
            <w:tcW w:w="811" w:type="dxa"/>
          </w:tcPr>
          <w:p w:rsidR="00F3177F" w:rsidRDefault="0089671D">
            <w:pPr>
              <w:pStyle w:val="TableParagraph"/>
              <w:spacing w:before="110"/>
              <w:ind w:left="60" w:right="61"/>
              <w:jc w:val="center"/>
              <w:rPr>
                <w:sz w:val="18"/>
              </w:rPr>
            </w:pPr>
            <w:r>
              <w:rPr>
                <w:sz w:val="18"/>
              </w:rPr>
              <w:t>2.00</w:t>
            </w:r>
          </w:p>
        </w:tc>
        <w:tc>
          <w:tcPr>
            <w:tcW w:w="1349" w:type="dxa"/>
          </w:tcPr>
          <w:p w:rsidR="00F3177F" w:rsidRDefault="0089671D">
            <w:pPr>
              <w:pStyle w:val="TableParagraph"/>
              <w:spacing w:before="110"/>
              <w:ind w:left="252" w:right="252"/>
              <w:jc w:val="center"/>
              <w:rPr>
                <w:sz w:val="18"/>
              </w:rPr>
            </w:pPr>
            <w:r>
              <w:rPr>
                <w:sz w:val="18"/>
              </w:rPr>
              <w:t>-.2051</w:t>
            </w:r>
          </w:p>
        </w:tc>
        <w:tc>
          <w:tcPr>
            <w:tcW w:w="900" w:type="dxa"/>
          </w:tcPr>
          <w:p w:rsidR="00F3177F" w:rsidRDefault="0089671D">
            <w:pPr>
              <w:pStyle w:val="TableParagraph"/>
              <w:spacing w:before="110"/>
              <w:ind w:left="41" w:right="42"/>
              <w:jc w:val="center"/>
              <w:rPr>
                <w:sz w:val="18"/>
              </w:rPr>
            </w:pPr>
            <w:r>
              <w:rPr>
                <w:sz w:val="18"/>
              </w:rPr>
              <w:t>3.42706</w:t>
            </w:r>
          </w:p>
        </w:tc>
        <w:tc>
          <w:tcPr>
            <w:tcW w:w="720" w:type="dxa"/>
          </w:tcPr>
          <w:p w:rsidR="00F3177F" w:rsidRDefault="0089671D">
            <w:pPr>
              <w:pStyle w:val="TableParagraph"/>
              <w:spacing w:before="110"/>
              <w:ind w:right="196"/>
              <w:jc w:val="right"/>
              <w:rPr>
                <w:sz w:val="18"/>
              </w:rPr>
            </w:pPr>
            <w:r>
              <w:rPr>
                <w:sz w:val="18"/>
              </w:rPr>
              <w:t>.953</w:t>
            </w:r>
          </w:p>
        </w:tc>
        <w:tc>
          <w:tcPr>
            <w:tcW w:w="1172" w:type="dxa"/>
          </w:tcPr>
          <w:p w:rsidR="00F3177F" w:rsidRDefault="0089671D">
            <w:pPr>
              <w:pStyle w:val="TableParagraph"/>
              <w:spacing w:before="110"/>
              <w:ind w:left="63" w:right="63"/>
              <w:jc w:val="center"/>
              <w:rPr>
                <w:sz w:val="18"/>
              </w:rPr>
            </w:pPr>
            <w:r>
              <w:rPr>
                <w:sz w:val="18"/>
              </w:rPr>
              <w:t>-7.1075</w:t>
            </w:r>
          </w:p>
        </w:tc>
        <w:tc>
          <w:tcPr>
            <w:tcW w:w="1260" w:type="dxa"/>
          </w:tcPr>
          <w:p w:rsidR="00F3177F" w:rsidRDefault="0089671D">
            <w:pPr>
              <w:pStyle w:val="TableParagraph"/>
              <w:spacing w:before="110"/>
              <w:ind w:left="72" w:right="73"/>
              <w:jc w:val="center"/>
              <w:rPr>
                <w:sz w:val="18"/>
              </w:rPr>
            </w:pPr>
            <w:r>
              <w:rPr>
                <w:sz w:val="18"/>
              </w:rPr>
              <w:t>6.6974</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108"/>
              <w:ind w:left="252" w:right="252"/>
              <w:jc w:val="center"/>
              <w:rPr>
                <w:sz w:val="18"/>
              </w:rPr>
            </w:pPr>
            <w:r>
              <w:rPr>
                <w:sz w:val="18"/>
              </w:rPr>
              <w:t>5.6210</w:t>
            </w:r>
          </w:p>
        </w:tc>
        <w:tc>
          <w:tcPr>
            <w:tcW w:w="900" w:type="dxa"/>
          </w:tcPr>
          <w:p w:rsidR="00F3177F" w:rsidRDefault="0089671D">
            <w:pPr>
              <w:pStyle w:val="TableParagraph"/>
              <w:spacing w:before="108"/>
              <w:ind w:left="41" w:right="42"/>
              <w:jc w:val="center"/>
              <w:rPr>
                <w:sz w:val="18"/>
              </w:rPr>
            </w:pPr>
            <w:r>
              <w:rPr>
                <w:sz w:val="18"/>
              </w:rPr>
              <w:t>3.48695</w:t>
            </w:r>
          </w:p>
        </w:tc>
        <w:tc>
          <w:tcPr>
            <w:tcW w:w="720" w:type="dxa"/>
          </w:tcPr>
          <w:p w:rsidR="00F3177F" w:rsidRDefault="0089671D">
            <w:pPr>
              <w:pStyle w:val="TableParagraph"/>
              <w:spacing w:before="108"/>
              <w:ind w:right="196"/>
              <w:jc w:val="right"/>
              <w:rPr>
                <w:sz w:val="18"/>
              </w:rPr>
            </w:pPr>
            <w:r>
              <w:rPr>
                <w:sz w:val="18"/>
              </w:rPr>
              <w:t>.114</w:t>
            </w:r>
          </w:p>
        </w:tc>
        <w:tc>
          <w:tcPr>
            <w:tcW w:w="1172" w:type="dxa"/>
          </w:tcPr>
          <w:p w:rsidR="00F3177F" w:rsidRDefault="0089671D">
            <w:pPr>
              <w:pStyle w:val="TableParagraph"/>
              <w:spacing w:before="108"/>
              <w:ind w:left="63" w:right="63"/>
              <w:jc w:val="center"/>
              <w:rPr>
                <w:sz w:val="18"/>
              </w:rPr>
            </w:pPr>
            <w:r>
              <w:rPr>
                <w:sz w:val="18"/>
              </w:rPr>
              <w:t>-1.4021</w:t>
            </w:r>
          </w:p>
        </w:tc>
        <w:tc>
          <w:tcPr>
            <w:tcW w:w="1260" w:type="dxa"/>
          </w:tcPr>
          <w:p w:rsidR="00F3177F" w:rsidRDefault="0089671D">
            <w:pPr>
              <w:pStyle w:val="TableParagraph"/>
              <w:spacing w:before="108"/>
              <w:ind w:left="72" w:right="73"/>
              <w:jc w:val="center"/>
              <w:rPr>
                <w:sz w:val="18"/>
              </w:rPr>
            </w:pPr>
            <w:r>
              <w:rPr>
                <w:sz w:val="18"/>
              </w:rPr>
              <w:t>12.6441</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2.00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110"/>
              <w:ind w:left="252" w:right="252"/>
              <w:jc w:val="center"/>
              <w:rPr>
                <w:sz w:val="18"/>
              </w:rPr>
            </w:pPr>
            <w:r>
              <w:rPr>
                <w:sz w:val="18"/>
              </w:rPr>
              <w:t>.2051</w:t>
            </w:r>
          </w:p>
        </w:tc>
        <w:tc>
          <w:tcPr>
            <w:tcW w:w="900" w:type="dxa"/>
          </w:tcPr>
          <w:p w:rsidR="00F3177F" w:rsidRDefault="0089671D">
            <w:pPr>
              <w:pStyle w:val="TableParagraph"/>
              <w:spacing w:before="110"/>
              <w:ind w:left="41" w:right="42"/>
              <w:jc w:val="center"/>
              <w:rPr>
                <w:sz w:val="18"/>
              </w:rPr>
            </w:pPr>
            <w:r>
              <w:rPr>
                <w:sz w:val="18"/>
              </w:rPr>
              <w:t>3.42706</w:t>
            </w:r>
          </w:p>
        </w:tc>
        <w:tc>
          <w:tcPr>
            <w:tcW w:w="720" w:type="dxa"/>
          </w:tcPr>
          <w:p w:rsidR="00F3177F" w:rsidRDefault="0089671D">
            <w:pPr>
              <w:pStyle w:val="TableParagraph"/>
              <w:spacing w:before="110"/>
              <w:ind w:right="196"/>
              <w:jc w:val="right"/>
              <w:rPr>
                <w:sz w:val="18"/>
              </w:rPr>
            </w:pPr>
            <w:r>
              <w:rPr>
                <w:sz w:val="18"/>
              </w:rPr>
              <w:t>.953</w:t>
            </w:r>
          </w:p>
        </w:tc>
        <w:tc>
          <w:tcPr>
            <w:tcW w:w="1172" w:type="dxa"/>
          </w:tcPr>
          <w:p w:rsidR="00F3177F" w:rsidRDefault="0089671D">
            <w:pPr>
              <w:pStyle w:val="TableParagraph"/>
              <w:spacing w:before="110"/>
              <w:ind w:left="63" w:right="63"/>
              <w:jc w:val="center"/>
              <w:rPr>
                <w:sz w:val="18"/>
              </w:rPr>
            </w:pPr>
            <w:r>
              <w:rPr>
                <w:sz w:val="18"/>
              </w:rPr>
              <w:t>-6.6974</w:t>
            </w:r>
          </w:p>
        </w:tc>
        <w:tc>
          <w:tcPr>
            <w:tcW w:w="1260" w:type="dxa"/>
          </w:tcPr>
          <w:p w:rsidR="00F3177F" w:rsidRDefault="0089671D">
            <w:pPr>
              <w:pStyle w:val="TableParagraph"/>
              <w:spacing w:before="110"/>
              <w:ind w:left="72" w:right="73"/>
              <w:jc w:val="center"/>
              <w:rPr>
                <w:sz w:val="18"/>
              </w:rPr>
            </w:pPr>
            <w:r>
              <w:rPr>
                <w:sz w:val="18"/>
              </w:rPr>
              <w:t>7.1075</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108"/>
              <w:ind w:left="252" w:right="252"/>
              <w:jc w:val="center"/>
              <w:rPr>
                <w:sz w:val="18"/>
              </w:rPr>
            </w:pPr>
            <w:r>
              <w:rPr>
                <w:sz w:val="18"/>
              </w:rPr>
              <w:t>5.8261</w:t>
            </w:r>
          </w:p>
        </w:tc>
        <w:tc>
          <w:tcPr>
            <w:tcW w:w="900" w:type="dxa"/>
          </w:tcPr>
          <w:p w:rsidR="00F3177F" w:rsidRDefault="0089671D">
            <w:pPr>
              <w:pStyle w:val="TableParagraph"/>
              <w:spacing w:before="108"/>
              <w:ind w:left="41" w:right="42"/>
              <w:jc w:val="center"/>
              <w:rPr>
                <w:sz w:val="18"/>
              </w:rPr>
            </w:pPr>
            <w:r>
              <w:rPr>
                <w:sz w:val="18"/>
              </w:rPr>
              <w:t>3.69656</w:t>
            </w:r>
          </w:p>
        </w:tc>
        <w:tc>
          <w:tcPr>
            <w:tcW w:w="720" w:type="dxa"/>
          </w:tcPr>
          <w:p w:rsidR="00F3177F" w:rsidRDefault="0089671D">
            <w:pPr>
              <w:pStyle w:val="TableParagraph"/>
              <w:spacing w:before="108"/>
              <w:ind w:right="196"/>
              <w:jc w:val="right"/>
              <w:rPr>
                <w:sz w:val="18"/>
              </w:rPr>
            </w:pPr>
            <w:r>
              <w:rPr>
                <w:sz w:val="18"/>
              </w:rPr>
              <w:t>.122</w:t>
            </w:r>
          </w:p>
        </w:tc>
        <w:tc>
          <w:tcPr>
            <w:tcW w:w="1172" w:type="dxa"/>
          </w:tcPr>
          <w:p w:rsidR="00F3177F" w:rsidRDefault="0089671D">
            <w:pPr>
              <w:pStyle w:val="TableParagraph"/>
              <w:spacing w:before="108"/>
              <w:ind w:left="63" w:right="63"/>
              <w:jc w:val="center"/>
              <w:rPr>
                <w:sz w:val="18"/>
              </w:rPr>
            </w:pPr>
            <w:r>
              <w:rPr>
                <w:sz w:val="18"/>
              </w:rPr>
              <w:t>-1.6192</w:t>
            </w:r>
          </w:p>
        </w:tc>
        <w:tc>
          <w:tcPr>
            <w:tcW w:w="1260" w:type="dxa"/>
          </w:tcPr>
          <w:p w:rsidR="00F3177F" w:rsidRDefault="0089671D">
            <w:pPr>
              <w:pStyle w:val="TableParagraph"/>
              <w:spacing w:before="108"/>
              <w:ind w:left="72" w:right="73"/>
              <w:jc w:val="center"/>
              <w:rPr>
                <w:sz w:val="18"/>
              </w:rPr>
            </w:pPr>
            <w:r>
              <w:rPr>
                <w:sz w:val="18"/>
              </w:rPr>
              <w:t>13.2714</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3.00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110"/>
              <w:ind w:left="252" w:right="252"/>
              <w:jc w:val="center"/>
              <w:rPr>
                <w:sz w:val="18"/>
              </w:rPr>
            </w:pPr>
            <w:r>
              <w:rPr>
                <w:sz w:val="18"/>
              </w:rPr>
              <w:t>-5.6210</w:t>
            </w:r>
          </w:p>
        </w:tc>
        <w:tc>
          <w:tcPr>
            <w:tcW w:w="900" w:type="dxa"/>
          </w:tcPr>
          <w:p w:rsidR="00F3177F" w:rsidRDefault="0089671D">
            <w:pPr>
              <w:pStyle w:val="TableParagraph"/>
              <w:spacing w:before="110"/>
              <w:ind w:left="41" w:right="42"/>
              <w:jc w:val="center"/>
              <w:rPr>
                <w:sz w:val="18"/>
              </w:rPr>
            </w:pPr>
            <w:r>
              <w:rPr>
                <w:sz w:val="18"/>
              </w:rPr>
              <w:t>3.48695</w:t>
            </w:r>
          </w:p>
        </w:tc>
        <w:tc>
          <w:tcPr>
            <w:tcW w:w="720" w:type="dxa"/>
          </w:tcPr>
          <w:p w:rsidR="00F3177F" w:rsidRDefault="0089671D">
            <w:pPr>
              <w:pStyle w:val="TableParagraph"/>
              <w:spacing w:before="110"/>
              <w:ind w:right="196"/>
              <w:jc w:val="right"/>
              <w:rPr>
                <w:sz w:val="18"/>
              </w:rPr>
            </w:pPr>
            <w:r>
              <w:rPr>
                <w:sz w:val="18"/>
              </w:rPr>
              <w:t>.114</w:t>
            </w:r>
          </w:p>
        </w:tc>
        <w:tc>
          <w:tcPr>
            <w:tcW w:w="1172" w:type="dxa"/>
          </w:tcPr>
          <w:p w:rsidR="00F3177F" w:rsidRDefault="0089671D">
            <w:pPr>
              <w:pStyle w:val="TableParagraph"/>
              <w:spacing w:before="110"/>
              <w:ind w:left="63" w:right="63"/>
              <w:jc w:val="center"/>
              <w:rPr>
                <w:sz w:val="18"/>
              </w:rPr>
            </w:pPr>
            <w:r>
              <w:rPr>
                <w:sz w:val="18"/>
              </w:rPr>
              <w:t>-12.6441</w:t>
            </w:r>
          </w:p>
        </w:tc>
        <w:tc>
          <w:tcPr>
            <w:tcW w:w="1260" w:type="dxa"/>
          </w:tcPr>
          <w:p w:rsidR="00F3177F" w:rsidRDefault="0089671D">
            <w:pPr>
              <w:pStyle w:val="TableParagraph"/>
              <w:spacing w:before="110"/>
              <w:ind w:left="72" w:right="73"/>
              <w:jc w:val="center"/>
              <w:rPr>
                <w:sz w:val="18"/>
              </w:rPr>
            </w:pPr>
            <w:r>
              <w:rPr>
                <w:sz w:val="18"/>
              </w:rPr>
              <w:t>1.4021</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2.00</w:t>
            </w:r>
          </w:p>
        </w:tc>
        <w:tc>
          <w:tcPr>
            <w:tcW w:w="1349" w:type="dxa"/>
          </w:tcPr>
          <w:p w:rsidR="00F3177F" w:rsidRDefault="0089671D">
            <w:pPr>
              <w:pStyle w:val="TableParagraph"/>
              <w:spacing w:before="108"/>
              <w:ind w:left="252" w:right="252"/>
              <w:jc w:val="center"/>
              <w:rPr>
                <w:sz w:val="18"/>
              </w:rPr>
            </w:pPr>
            <w:r>
              <w:rPr>
                <w:sz w:val="18"/>
              </w:rPr>
              <w:t>-5.8261</w:t>
            </w:r>
          </w:p>
        </w:tc>
        <w:tc>
          <w:tcPr>
            <w:tcW w:w="900" w:type="dxa"/>
          </w:tcPr>
          <w:p w:rsidR="00F3177F" w:rsidRDefault="0089671D">
            <w:pPr>
              <w:pStyle w:val="TableParagraph"/>
              <w:spacing w:before="108"/>
              <w:ind w:left="41" w:right="42"/>
              <w:jc w:val="center"/>
              <w:rPr>
                <w:sz w:val="18"/>
              </w:rPr>
            </w:pPr>
            <w:r>
              <w:rPr>
                <w:sz w:val="18"/>
              </w:rPr>
              <w:t>3.69656</w:t>
            </w:r>
          </w:p>
        </w:tc>
        <w:tc>
          <w:tcPr>
            <w:tcW w:w="720" w:type="dxa"/>
          </w:tcPr>
          <w:p w:rsidR="00F3177F" w:rsidRDefault="0089671D">
            <w:pPr>
              <w:pStyle w:val="TableParagraph"/>
              <w:spacing w:before="108"/>
              <w:ind w:right="196"/>
              <w:jc w:val="right"/>
              <w:rPr>
                <w:sz w:val="18"/>
              </w:rPr>
            </w:pPr>
            <w:r>
              <w:rPr>
                <w:sz w:val="18"/>
              </w:rPr>
              <w:t>.122</w:t>
            </w:r>
          </w:p>
        </w:tc>
        <w:tc>
          <w:tcPr>
            <w:tcW w:w="1172" w:type="dxa"/>
          </w:tcPr>
          <w:p w:rsidR="00F3177F" w:rsidRDefault="0089671D">
            <w:pPr>
              <w:pStyle w:val="TableParagraph"/>
              <w:spacing w:before="108"/>
              <w:ind w:left="63" w:right="63"/>
              <w:jc w:val="center"/>
              <w:rPr>
                <w:sz w:val="18"/>
              </w:rPr>
            </w:pPr>
            <w:r>
              <w:rPr>
                <w:sz w:val="18"/>
              </w:rPr>
              <w:t>-13.2714</w:t>
            </w:r>
          </w:p>
        </w:tc>
        <w:tc>
          <w:tcPr>
            <w:tcW w:w="1260" w:type="dxa"/>
          </w:tcPr>
          <w:p w:rsidR="00F3177F" w:rsidRDefault="0089671D">
            <w:pPr>
              <w:pStyle w:val="TableParagraph"/>
              <w:spacing w:before="108"/>
              <w:ind w:left="72" w:right="73"/>
              <w:jc w:val="center"/>
              <w:rPr>
                <w:sz w:val="18"/>
              </w:rPr>
            </w:pPr>
            <w:r>
              <w:rPr>
                <w:sz w:val="18"/>
              </w:rPr>
              <w:t>1.6192</w:t>
            </w:r>
          </w:p>
        </w:tc>
      </w:tr>
      <w:tr w:rsidR="00F3177F">
        <w:trPr>
          <w:trHeight w:hRule="exact" w:val="331"/>
        </w:trPr>
        <w:tc>
          <w:tcPr>
            <w:tcW w:w="1440"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4"/>
              <w:rPr>
                <w:sz w:val="17"/>
              </w:rPr>
            </w:pPr>
          </w:p>
          <w:p w:rsidR="00F3177F" w:rsidRDefault="0089671D">
            <w:pPr>
              <w:pStyle w:val="TableParagraph"/>
              <w:spacing w:before="1" w:line="372" w:lineRule="auto"/>
              <w:ind w:left="91" w:right="90" w:firstLine="2"/>
              <w:jc w:val="center"/>
              <w:rPr>
                <w:sz w:val="18"/>
              </w:rPr>
            </w:pPr>
            <w:r>
              <w:rPr>
                <w:sz w:val="18"/>
              </w:rPr>
              <w:t>Annual Energy Consumption per Student</w:t>
            </w:r>
          </w:p>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1.00</w:t>
            </w:r>
          </w:p>
        </w:tc>
        <w:tc>
          <w:tcPr>
            <w:tcW w:w="811" w:type="dxa"/>
          </w:tcPr>
          <w:p w:rsidR="00F3177F" w:rsidRDefault="0089671D">
            <w:pPr>
              <w:pStyle w:val="TableParagraph"/>
              <w:spacing w:before="110"/>
              <w:ind w:left="60" w:right="61"/>
              <w:jc w:val="center"/>
              <w:rPr>
                <w:sz w:val="18"/>
              </w:rPr>
            </w:pPr>
            <w:r>
              <w:rPr>
                <w:sz w:val="18"/>
              </w:rPr>
              <w:t>2.00</w:t>
            </w:r>
          </w:p>
        </w:tc>
        <w:tc>
          <w:tcPr>
            <w:tcW w:w="1349" w:type="dxa"/>
          </w:tcPr>
          <w:p w:rsidR="00F3177F" w:rsidRDefault="0089671D">
            <w:pPr>
              <w:pStyle w:val="TableParagraph"/>
              <w:spacing w:before="86"/>
              <w:ind w:left="252" w:right="251"/>
              <w:jc w:val="center"/>
              <w:rPr>
                <w:sz w:val="12"/>
              </w:rPr>
            </w:pPr>
            <w:r>
              <w:rPr>
                <w:sz w:val="18"/>
              </w:rPr>
              <w:t>791.2864</w:t>
            </w:r>
            <w:r>
              <w:rPr>
                <w:position w:val="8"/>
                <w:sz w:val="12"/>
              </w:rPr>
              <w:t>*</w:t>
            </w:r>
          </w:p>
        </w:tc>
        <w:tc>
          <w:tcPr>
            <w:tcW w:w="900" w:type="dxa"/>
          </w:tcPr>
          <w:p w:rsidR="00F3177F" w:rsidRDefault="0089671D">
            <w:pPr>
              <w:pStyle w:val="TableParagraph"/>
              <w:spacing w:before="110"/>
              <w:ind w:left="42" w:right="42"/>
              <w:jc w:val="center"/>
              <w:rPr>
                <w:sz w:val="18"/>
              </w:rPr>
            </w:pPr>
            <w:r>
              <w:rPr>
                <w:sz w:val="18"/>
              </w:rPr>
              <w:t>210.31726</w:t>
            </w:r>
          </w:p>
        </w:tc>
        <w:tc>
          <w:tcPr>
            <w:tcW w:w="720" w:type="dxa"/>
          </w:tcPr>
          <w:p w:rsidR="00F3177F" w:rsidRDefault="0089671D">
            <w:pPr>
              <w:pStyle w:val="TableParagraph"/>
              <w:spacing w:before="110"/>
              <w:ind w:right="196"/>
              <w:jc w:val="right"/>
              <w:rPr>
                <w:sz w:val="18"/>
              </w:rPr>
            </w:pPr>
            <w:r>
              <w:rPr>
                <w:sz w:val="18"/>
              </w:rPr>
              <w:t>.000</w:t>
            </w:r>
          </w:p>
        </w:tc>
        <w:tc>
          <w:tcPr>
            <w:tcW w:w="1172" w:type="dxa"/>
          </w:tcPr>
          <w:p w:rsidR="00F3177F" w:rsidRDefault="0089671D">
            <w:pPr>
              <w:pStyle w:val="TableParagraph"/>
              <w:spacing w:before="110"/>
              <w:ind w:left="63" w:right="63"/>
              <w:jc w:val="center"/>
              <w:rPr>
                <w:sz w:val="18"/>
              </w:rPr>
            </w:pPr>
            <w:r>
              <w:rPr>
                <w:sz w:val="18"/>
              </w:rPr>
              <w:t>367.6857</w:t>
            </w:r>
          </w:p>
        </w:tc>
        <w:tc>
          <w:tcPr>
            <w:tcW w:w="1260" w:type="dxa"/>
          </w:tcPr>
          <w:p w:rsidR="00F3177F" w:rsidRDefault="0089671D">
            <w:pPr>
              <w:pStyle w:val="TableParagraph"/>
              <w:spacing w:before="110"/>
              <w:ind w:left="72" w:right="72"/>
              <w:jc w:val="center"/>
              <w:rPr>
                <w:sz w:val="18"/>
              </w:rPr>
            </w:pPr>
            <w:r>
              <w:rPr>
                <w:sz w:val="18"/>
              </w:rPr>
              <w:t>1214.8871</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84"/>
              <w:ind w:left="252" w:right="251"/>
              <w:jc w:val="center"/>
              <w:rPr>
                <w:sz w:val="12"/>
              </w:rPr>
            </w:pPr>
            <w:r>
              <w:rPr>
                <w:sz w:val="18"/>
              </w:rPr>
              <w:t>765.7614</w:t>
            </w:r>
            <w:r>
              <w:rPr>
                <w:position w:val="8"/>
                <w:sz w:val="12"/>
              </w:rPr>
              <w:t>*</w:t>
            </w:r>
          </w:p>
        </w:tc>
        <w:tc>
          <w:tcPr>
            <w:tcW w:w="900" w:type="dxa"/>
          </w:tcPr>
          <w:p w:rsidR="00F3177F" w:rsidRDefault="0089671D">
            <w:pPr>
              <w:pStyle w:val="TableParagraph"/>
              <w:spacing w:before="108"/>
              <w:ind w:left="42" w:right="42"/>
              <w:jc w:val="center"/>
              <w:rPr>
                <w:sz w:val="18"/>
              </w:rPr>
            </w:pPr>
            <w:r>
              <w:rPr>
                <w:sz w:val="18"/>
              </w:rPr>
              <w:t>213.99266</w:t>
            </w:r>
          </w:p>
        </w:tc>
        <w:tc>
          <w:tcPr>
            <w:tcW w:w="720" w:type="dxa"/>
          </w:tcPr>
          <w:p w:rsidR="00F3177F" w:rsidRDefault="0089671D">
            <w:pPr>
              <w:pStyle w:val="TableParagraph"/>
              <w:spacing w:before="108"/>
              <w:ind w:right="196"/>
              <w:jc w:val="right"/>
              <w:rPr>
                <w:sz w:val="18"/>
              </w:rPr>
            </w:pPr>
            <w:r>
              <w:rPr>
                <w:sz w:val="18"/>
              </w:rPr>
              <w:t>.001</w:t>
            </w:r>
          </w:p>
        </w:tc>
        <w:tc>
          <w:tcPr>
            <w:tcW w:w="1172" w:type="dxa"/>
          </w:tcPr>
          <w:p w:rsidR="00F3177F" w:rsidRDefault="0089671D">
            <w:pPr>
              <w:pStyle w:val="TableParagraph"/>
              <w:spacing w:before="108"/>
              <w:ind w:left="63" w:right="63"/>
              <w:jc w:val="center"/>
              <w:rPr>
                <w:sz w:val="18"/>
              </w:rPr>
            </w:pPr>
            <w:r>
              <w:rPr>
                <w:sz w:val="18"/>
              </w:rPr>
              <w:t>334.7580</w:t>
            </w:r>
          </w:p>
        </w:tc>
        <w:tc>
          <w:tcPr>
            <w:tcW w:w="1260" w:type="dxa"/>
          </w:tcPr>
          <w:p w:rsidR="00F3177F" w:rsidRDefault="0089671D">
            <w:pPr>
              <w:pStyle w:val="TableParagraph"/>
              <w:spacing w:before="108"/>
              <w:ind w:left="72" w:right="72"/>
              <w:jc w:val="center"/>
              <w:rPr>
                <w:sz w:val="18"/>
              </w:rPr>
            </w:pPr>
            <w:r>
              <w:rPr>
                <w:sz w:val="18"/>
              </w:rPr>
              <w:t>1196.7647</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2.00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86"/>
              <w:ind w:left="252" w:right="252"/>
              <w:jc w:val="center"/>
              <w:rPr>
                <w:sz w:val="12"/>
              </w:rPr>
            </w:pPr>
            <w:r>
              <w:rPr>
                <w:sz w:val="18"/>
              </w:rPr>
              <w:t>-791.2864</w:t>
            </w:r>
            <w:r>
              <w:rPr>
                <w:position w:val="8"/>
                <w:sz w:val="12"/>
              </w:rPr>
              <w:t>*</w:t>
            </w:r>
          </w:p>
        </w:tc>
        <w:tc>
          <w:tcPr>
            <w:tcW w:w="900" w:type="dxa"/>
          </w:tcPr>
          <w:p w:rsidR="00F3177F" w:rsidRDefault="0089671D">
            <w:pPr>
              <w:pStyle w:val="TableParagraph"/>
              <w:spacing w:before="110"/>
              <w:ind w:left="42" w:right="42"/>
              <w:jc w:val="center"/>
              <w:rPr>
                <w:sz w:val="18"/>
              </w:rPr>
            </w:pPr>
            <w:r>
              <w:rPr>
                <w:sz w:val="18"/>
              </w:rPr>
              <w:t>210.31726</w:t>
            </w:r>
          </w:p>
        </w:tc>
        <w:tc>
          <w:tcPr>
            <w:tcW w:w="720" w:type="dxa"/>
          </w:tcPr>
          <w:p w:rsidR="00F3177F" w:rsidRDefault="0089671D">
            <w:pPr>
              <w:pStyle w:val="TableParagraph"/>
              <w:spacing w:before="110"/>
              <w:ind w:right="196"/>
              <w:jc w:val="right"/>
              <w:rPr>
                <w:sz w:val="18"/>
              </w:rPr>
            </w:pPr>
            <w:r>
              <w:rPr>
                <w:sz w:val="18"/>
              </w:rPr>
              <w:t>.000</w:t>
            </w:r>
          </w:p>
        </w:tc>
        <w:tc>
          <w:tcPr>
            <w:tcW w:w="1172" w:type="dxa"/>
          </w:tcPr>
          <w:p w:rsidR="00F3177F" w:rsidRDefault="0089671D">
            <w:pPr>
              <w:pStyle w:val="TableParagraph"/>
              <w:spacing w:before="110"/>
              <w:ind w:left="61" w:right="63"/>
              <w:jc w:val="center"/>
              <w:rPr>
                <w:sz w:val="18"/>
              </w:rPr>
            </w:pPr>
            <w:r>
              <w:rPr>
                <w:sz w:val="18"/>
              </w:rPr>
              <w:t>-1214.8871</w:t>
            </w:r>
          </w:p>
        </w:tc>
        <w:tc>
          <w:tcPr>
            <w:tcW w:w="1260" w:type="dxa"/>
          </w:tcPr>
          <w:p w:rsidR="00F3177F" w:rsidRDefault="0089671D">
            <w:pPr>
              <w:pStyle w:val="TableParagraph"/>
              <w:spacing w:before="110"/>
              <w:ind w:left="72" w:right="73"/>
              <w:jc w:val="center"/>
              <w:rPr>
                <w:sz w:val="18"/>
              </w:rPr>
            </w:pPr>
            <w:r>
              <w:rPr>
                <w:sz w:val="18"/>
              </w:rPr>
              <w:t>-367.6857</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3.00</w:t>
            </w:r>
          </w:p>
        </w:tc>
        <w:tc>
          <w:tcPr>
            <w:tcW w:w="1349" w:type="dxa"/>
          </w:tcPr>
          <w:p w:rsidR="00F3177F" w:rsidRDefault="0089671D">
            <w:pPr>
              <w:pStyle w:val="TableParagraph"/>
              <w:spacing w:before="108"/>
              <w:ind w:left="252" w:right="252"/>
              <w:jc w:val="center"/>
              <w:rPr>
                <w:sz w:val="18"/>
              </w:rPr>
            </w:pPr>
            <w:r>
              <w:rPr>
                <w:sz w:val="18"/>
              </w:rPr>
              <w:t>-25.5250</w:t>
            </w:r>
          </w:p>
        </w:tc>
        <w:tc>
          <w:tcPr>
            <w:tcW w:w="900" w:type="dxa"/>
          </w:tcPr>
          <w:p w:rsidR="00F3177F" w:rsidRDefault="0089671D">
            <w:pPr>
              <w:pStyle w:val="TableParagraph"/>
              <w:spacing w:before="108"/>
              <w:ind w:left="42" w:right="42"/>
              <w:jc w:val="center"/>
              <w:rPr>
                <w:sz w:val="18"/>
              </w:rPr>
            </w:pPr>
            <w:r>
              <w:rPr>
                <w:sz w:val="18"/>
              </w:rPr>
              <w:t>226.85635</w:t>
            </w:r>
          </w:p>
        </w:tc>
        <w:tc>
          <w:tcPr>
            <w:tcW w:w="720" w:type="dxa"/>
          </w:tcPr>
          <w:p w:rsidR="00F3177F" w:rsidRDefault="0089671D">
            <w:pPr>
              <w:pStyle w:val="TableParagraph"/>
              <w:spacing w:before="108"/>
              <w:ind w:right="196"/>
              <w:jc w:val="right"/>
              <w:rPr>
                <w:sz w:val="18"/>
              </w:rPr>
            </w:pPr>
            <w:r>
              <w:rPr>
                <w:sz w:val="18"/>
              </w:rPr>
              <w:t>.911</w:t>
            </w:r>
          </w:p>
        </w:tc>
        <w:tc>
          <w:tcPr>
            <w:tcW w:w="1172" w:type="dxa"/>
          </w:tcPr>
          <w:p w:rsidR="00F3177F" w:rsidRDefault="0089671D">
            <w:pPr>
              <w:pStyle w:val="TableParagraph"/>
              <w:spacing w:before="108"/>
              <w:ind w:left="59" w:right="63"/>
              <w:jc w:val="center"/>
              <w:rPr>
                <w:sz w:val="18"/>
              </w:rPr>
            </w:pPr>
            <w:r>
              <w:rPr>
                <w:sz w:val="18"/>
              </w:rPr>
              <w:t>-482.4371</w:t>
            </w:r>
          </w:p>
        </w:tc>
        <w:tc>
          <w:tcPr>
            <w:tcW w:w="1260" w:type="dxa"/>
          </w:tcPr>
          <w:p w:rsidR="00F3177F" w:rsidRDefault="0089671D">
            <w:pPr>
              <w:pStyle w:val="TableParagraph"/>
              <w:spacing w:before="108"/>
              <w:ind w:left="72" w:right="72"/>
              <w:jc w:val="center"/>
              <w:rPr>
                <w:sz w:val="18"/>
              </w:rPr>
            </w:pPr>
            <w:r>
              <w:rPr>
                <w:sz w:val="18"/>
              </w:rPr>
              <w:t>431.3871</w:t>
            </w:r>
          </w:p>
        </w:tc>
      </w:tr>
      <w:tr w:rsidR="00F3177F">
        <w:trPr>
          <w:trHeight w:hRule="exact" w:val="331"/>
        </w:trPr>
        <w:tc>
          <w:tcPr>
            <w:tcW w:w="1440" w:type="dxa"/>
            <w:vMerge/>
          </w:tcPr>
          <w:p w:rsidR="00F3177F" w:rsidRDefault="00F3177F"/>
        </w:tc>
        <w:tc>
          <w:tcPr>
            <w:tcW w:w="809" w:type="dxa"/>
            <w:vMerge w:val="restart"/>
          </w:tcPr>
          <w:p w:rsidR="00F3177F" w:rsidRDefault="00F3177F">
            <w:pPr>
              <w:pStyle w:val="TableParagraph"/>
              <w:spacing w:before="9"/>
              <w:rPr>
                <w:sz w:val="23"/>
              </w:rPr>
            </w:pPr>
          </w:p>
          <w:p w:rsidR="00F3177F" w:rsidRDefault="0089671D">
            <w:pPr>
              <w:pStyle w:val="TableParagraph"/>
              <w:ind w:left="242" w:right="95"/>
              <w:rPr>
                <w:sz w:val="18"/>
              </w:rPr>
            </w:pPr>
            <w:r>
              <w:rPr>
                <w:sz w:val="18"/>
              </w:rPr>
              <w:t>3.00</w:t>
            </w:r>
          </w:p>
        </w:tc>
        <w:tc>
          <w:tcPr>
            <w:tcW w:w="811" w:type="dxa"/>
          </w:tcPr>
          <w:p w:rsidR="00F3177F" w:rsidRDefault="0089671D">
            <w:pPr>
              <w:pStyle w:val="TableParagraph"/>
              <w:spacing w:before="110"/>
              <w:ind w:left="60" w:right="61"/>
              <w:jc w:val="center"/>
              <w:rPr>
                <w:sz w:val="18"/>
              </w:rPr>
            </w:pPr>
            <w:r>
              <w:rPr>
                <w:sz w:val="18"/>
              </w:rPr>
              <w:t>1.00</w:t>
            </w:r>
          </w:p>
        </w:tc>
        <w:tc>
          <w:tcPr>
            <w:tcW w:w="1349" w:type="dxa"/>
          </w:tcPr>
          <w:p w:rsidR="00F3177F" w:rsidRDefault="0089671D">
            <w:pPr>
              <w:pStyle w:val="TableParagraph"/>
              <w:spacing w:before="86"/>
              <w:ind w:left="252" w:right="252"/>
              <w:jc w:val="center"/>
              <w:rPr>
                <w:sz w:val="12"/>
              </w:rPr>
            </w:pPr>
            <w:r>
              <w:rPr>
                <w:sz w:val="18"/>
              </w:rPr>
              <w:t>-765.7614</w:t>
            </w:r>
            <w:r>
              <w:rPr>
                <w:position w:val="8"/>
                <w:sz w:val="12"/>
              </w:rPr>
              <w:t>*</w:t>
            </w:r>
          </w:p>
        </w:tc>
        <w:tc>
          <w:tcPr>
            <w:tcW w:w="900" w:type="dxa"/>
          </w:tcPr>
          <w:p w:rsidR="00F3177F" w:rsidRDefault="0089671D">
            <w:pPr>
              <w:pStyle w:val="TableParagraph"/>
              <w:spacing w:before="110"/>
              <w:ind w:left="42" w:right="42"/>
              <w:jc w:val="center"/>
              <w:rPr>
                <w:sz w:val="18"/>
              </w:rPr>
            </w:pPr>
            <w:r>
              <w:rPr>
                <w:sz w:val="18"/>
              </w:rPr>
              <w:t>213.99266</w:t>
            </w:r>
          </w:p>
        </w:tc>
        <w:tc>
          <w:tcPr>
            <w:tcW w:w="720" w:type="dxa"/>
          </w:tcPr>
          <w:p w:rsidR="00F3177F" w:rsidRDefault="0089671D">
            <w:pPr>
              <w:pStyle w:val="TableParagraph"/>
              <w:spacing w:before="110"/>
              <w:ind w:right="196"/>
              <w:jc w:val="right"/>
              <w:rPr>
                <w:sz w:val="18"/>
              </w:rPr>
            </w:pPr>
            <w:r>
              <w:rPr>
                <w:sz w:val="18"/>
              </w:rPr>
              <w:t>.001</w:t>
            </w:r>
          </w:p>
        </w:tc>
        <w:tc>
          <w:tcPr>
            <w:tcW w:w="1172" w:type="dxa"/>
          </w:tcPr>
          <w:p w:rsidR="00F3177F" w:rsidRDefault="0089671D">
            <w:pPr>
              <w:pStyle w:val="TableParagraph"/>
              <w:spacing w:before="110"/>
              <w:ind w:left="61" w:right="63"/>
              <w:jc w:val="center"/>
              <w:rPr>
                <w:sz w:val="18"/>
              </w:rPr>
            </w:pPr>
            <w:r>
              <w:rPr>
                <w:sz w:val="18"/>
              </w:rPr>
              <w:t>-1196.7647</w:t>
            </w:r>
          </w:p>
        </w:tc>
        <w:tc>
          <w:tcPr>
            <w:tcW w:w="1260" w:type="dxa"/>
          </w:tcPr>
          <w:p w:rsidR="00F3177F" w:rsidRDefault="0089671D">
            <w:pPr>
              <w:pStyle w:val="TableParagraph"/>
              <w:spacing w:before="110"/>
              <w:ind w:left="72" w:right="73"/>
              <w:jc w:val="center"/>
              <w:rPr>
                <w:sz w:val="18"/>
              </w:rPr>
            </w:pPr>
            <w:r>
              <w:rPr>
                <w:sz w:val="18"/>
              </w:rPr>
              <w:t>-334.7580</w:t>
            </w:r>
          </w:p>
        </w:tc>
      </w:tr>
      <w:tr w:rsidR="00F3177F">
        <w:trPr>
          <w:trHeight w:hRule="exact" w:val="329"/>
        </w:trPr>
        <w:tc>
          <w:tcPr>
            <w:tcW w:w="1440" w:type="dxa"/>
            <w:vMerge/>
          </w:tcPr>
          <w:p w:rsidR="00F3177F" w:rsidRDefault="00F3177F"/>
        </w:tc>
        <w:tc>
          <w:tcPr>
            <w:tcW w:w="809" w:type="dxa"/>
            <w:vMerge/>
          </w:tcPr>
          <w:p w:rsidR="00F3177F" w:rsidRDefault="00F3177F"/>
        </w:tc>
        <w:tc>
          <w:tcPr>
            <w:tcW w:w="811" w:type="dxa"/>
          </w:tcPr>
          <w:p w:rsidR="00F3177F" w:rsidRDefault="0089671D">
            <w:pPr>
              <w:pStyle w:val="TableParagraph"/>
              <w:spacing w:before="108"/>
              <w:ind w:left="60" w:right="61"/>
              <w:jc w:val="center"/>
              <w:rPr>
                <w:sz w:val="18"/>
              </w:rPr>
            </w:pPr>
            <w:r>
              <w:rPr>
                <w:sz w:val="18"/>
              </w:rPr>
              <w:t>2.00</w:t>
            </w:r>
          </w:p>
        </w:tc>
        <w:tc>
          <w:tcPr>
            <w:tcW w:w="1349" w:type="dxa"/>
          </w:tcPr>
          <w:p w:rsidR="00F3177F" w:rsidRDefault="0089671D">
            <w:pPr>
              <w:pStyle w:val="TableParagraph"/>
              <w:spacing w:before="108"/>
              <w:ind w:left="252" w:right="252"/>
              <w:jc w:val="center"/>
              <w:rPr>
                <w:sz w:val="18"/>
              </w:rPr>
            </w:pPr>
            <w:r>
              <w:rPr>
                <w:sz w:val="18"/>
              </w:rPr>
              <w:t>25.5250</w:t>
            </w:r>
          </w:p>
        </w:tc>
        <w:tc>
          <w:tcPr>
            <w:tcW w:w="900" w:type="dxa"/>
          </w:tcPr>
          <w:p w:rsidR="00F3177F" w:rsidRDefault="0089671D">
            <w:pPr>
              <w:pStyle w:val="TableParagraph"/>
              <w:spacing w:before="108"/>
              <w:ind w:left="42" w:right="42"/>
              <w:jc w:val="center"/>
              <w:rPr>
                <w:sz w:val="18"/>
              </w:rPr>
            </w:pPr>
            <w:r>
              <w:rPr>
                <w:sz w:val="18"/>
              </w:rPr>
              <w:t>226.85635</w:t>
            </w:r>
          </w:p>
        </w:tc>
        <w:tc>
          <w:tcPr>
            <w:tcW w:w="720" w:type="dxa"/>
          </w:tcPr>
          <w:p w:rsidR="00F3177F" w:rsidRDefault="0089671D">
            <w:pPr>
              <w:pStyle w:val="TableParagraph"/>
              <w:spacing w:before="108"/>
              <w:ind w:right="196"/>
              <w:jc w:val="right"/>
              <w:rPr>
                <w:sz w:val="18"/>
              </w:rPr>
            </w:pPr>
            <w:r>
              <w:rPr>
                <w:sz w:val="18"/>
              </w:rPr>
              <w:t>.911</w:t>
            </w:r>
          </w:p>
        </w:tc>
        <w:tc>
          <w:tcPr>
            <w:tcW w:w="1172" w:type="dxa"/>
          </w:tcPr>
          <w:p w:rsidR="00F3177F" w:rsidRDefault="0089671D">
            <w:pPr>
              <w:pStyle w:val="TableParagraph"/>
              <w:spacing w:before="108"/>
              <w:ind w:left="59" w:right="63"/>
              <w:jc w:val="center"/>
              <w:rPr>
                <w:sz w:val="18"/>
              </w:rPr>
            </w:pPr>
            <w:r>
              <w:rPr>
                <w:sz w:val="18"/>
              </w:rPr>
              <w:t>-431.3871</w:t>
            </w:r>
          </w:p>
        </w:tc>
        <w:tc>
          <w:tcPr>
            <w:tcW w:w="1260" w:type="dxa"/>
          </w:tcPr>
          <w:p w:rsidR="00F3177F" w:rsidRDefault="0089671D">
            <w:pPr>
              <w:pStyle w:val="TableParagraph"/>
              <w:spacing w:before="108"/>
              <w:ind w:left="72" w:right="72"/>
              <w:jc w:val="center"/>
              <w:rPr>
                <w:sz w:val="18"/>
              </w:rPr>
            </w:pPr>
            <w:r>
              <w:rPr>
                <w:sz w:val="18"/>
              </w:rPr>
              <w:t>482.4371</w:t>
            </w:r>
          </w:p>
        </w:tc>
      </w:tr>
    </w:tbl>
    <w:p w:rsidR="00F3177F" w:rsidRDefault="0089671D">
      <w:pPr>
        <w:pStyle w:val="BodyText"/>
        <w:spacing w:before="40"/>
        <w:ind w:left="661"/>
        <w:jc w:val="both"/>
      </w:pPr>
      <w:r>
        <w:t>Based on observed means.</w:t>
      </w:r>
    </w:p>
    <w:p w:rsidR="00F3177F" w:rsidRDefault="0089671D">
      <w:pPr>
        <w:pStyle w:val="BodyText"/>
        <w:spacing w:before="43"/>
        <w:ind w:left="661"/>
        <w:jc w:val="both"/>
      </w:pPr>
      <w:r>
        <w:t xml:space="preserve">The error term is Mean </w:t>
      </w:r>
      <w:proofErr w:type="gramStart"/>
      <w:r>
        <w:t>Square(</w:t>
      </w:r>
      <w:proofErr w:type="gramEnd"/>
      <w:r>
        <w:t>Error) = 424186.498.</w:t>
      </w:r>
    </w:p>
    <w:p w:rsidR="00F3177F" w:rsidRDefault="0089671D">
      <w:pPr>
        <w:pStyle w:val="BodyText"/>
        <w:spacing w:before="43"/>
        <w:ind w:left="661"/>
        <w:jc w:val="both"/>
      </w:pPr>
      <w:r>
        <w:t>*. The mean difference is significant at the .05 level.</w:t>
      </w:r>
    </w:p>
    <w:p w:rsidR="00F3177F" w:rsidRDefault="00F3177F">
      <w:pPr>
        <w:pStyle w:val="BodyText"/>
      </w:pPr>
    </w:p>
    <w:p w:rsidR="00F3177F" w:rsidRDefault="0089671D">
      <w:pPr>
        <w:pStyle w:val="BodyText"/>
        <w:spacing w:before="139" w:line="360" w:lineRule="auto"/>
        <w:ind w:left="584" w:right="117"/>
        <w:jc w:val="both"/>
      </w:pPr>
      <w:r>
        <w:t>Table 27 above shows that for mean scores for annual energy consumption per unit area were statistically significantly different among all the 1, 2 and 3 building floors       (</w:t>
      </w:r>
      <w:r>
        <w:rPr>
          <w:i/>
        </w:rPr>
        <w:t xml:space="preserve">p </w:t>
      </w:r>
      <w:r>
        <w:t>&lt;</w:t>
      </w:r>
    </w:p>
    <w:p w:rsidR="00F3177F" w:rsidRDefault="0089671D">
      <w:pPr>
        <w:pStyle w:val="BodyText"/>
        <w:spacing w:before="4" w:line="357" w:lineRule="auto"/>
        <w:ind w:left="584" w:right="117"/>
        <w:jc w:val="both"/>
      </w:pPr>
      <w:r>
        <w:t>.0005). Likewise, mean scores for annual energy consumption per student statistically significantly different between 1 and 2 building floors (</w:t>
      </w:r>
      <w:r>
        <w:rPr>
          <w:i/>
        </w:rPr>
        <w:t xml:space="preserve">p </w:t>
      </w:r>
      <w:r>
        <w:t>&lt; .0005), but not between 2 and 3 building floors (</w:t>
      </w:r>
      <w:r>
        <w:rPr>
          <w:i/>
        </w:rPr>
        <w:t xml:space="preserve">p </w:t>
      </w:r>
      <w:r>
        <w:t>= .911). Mean Annual CO</w:t>
      </w:r>
      <w:r>
        <w:rPr>
          <w:position w:val="-2"/>
          <w:sz w:val="16"/>
        </w:rPr>
        <w:t xml:space="preserve">2 </w:t>
      </w:r>
      <w:r>
        <w:t>emission per unit area scores were not statistically significantly different among any numbers of building floors.</w:t>
      </w:r>
    </w:p>
    <w:p w:rsidR="00F3177F" w:rsidRDefault="00F3177F">
      <w:pPr>
        <w:spacing w:line="357" w:lineRule="auto"/>
        <w:jc w:val="both"/>
        <w:sectPr w:rsidR="00F3177F">
          <w:pgSz w:w="12240" w:h="15840"/>
          <w:pgMar w:top="1380" w:right="1320" w:bottom="2320" w:left="1720" w:header="0" w:footer="2072" w:gutter="0"/>
          <w:cols w:space="720"/>
        </w:sectPr>
      </w:pPr>
    </w:p>
    <w:p w:rsidR="00F3177F" w:rsidRDefault="0089671D">
      <w:pPr>
        <w:pStyle w:val="BodyText"/>
        <w:spacing w:before="59" w:line="338" w:lineRule="auto"/>
        <w:ind w:left="584" w:right="118"/>
        <w:jc w:val="both"/>
      </w:pPr>
      <w:r>
        <w:rPr>
          <w:b/>
        </w:rPr>
        <w:lastRenderedPageBreak/>
        <w:t>H</w:t>
      </w:r>
      <w:r>
        <w:rPr>
          <w:b/>
          <w:position w:val="-2"/>
          <w:sz w:val="16"/>
        </w:rPr>
        <w:t>2</w:t>
      </w:r>
      <w:r>
        <w:rPr>
          <w:b/>
        </w:rPr>
        <w:t xml:space="preserve">: </w:t>
      </w:r>
      <w:r>
        <w:t>Annual school energy consumption per meter square (kWh/m</w:t>
      </w:r>
      <w:r>
        <w:rPr>
          <w:position w:val="11"/>
          <w:sz w:val="16"/>
        </w:rPr>
        <w:t>2</w:t>
      </w:r>
      <w:r>
        <w:t>/yr) can be statistically significant predictor for annual school energy consumption per student (kWh/st/yr) and annual CO</w:t>
      </w:r>
      <w:r>
        <w:rPr>
          <w:position w:val="-2"/>
          <w:sz w:val="16"/>
        </w:rPr>
        <w:t xml:space="preserve">2 </w:t>
      </w:r>
      <w:r>
        <w:t>emission per unit area (kg CO</w:t>
      </w:r>
      <w:r>
        <w:rPr>
          <w:position w:val="-2"/>
          <w:sz w:val="16"/>
        </w:rPr>
        <w:t>2</w:t>
      </w:r>
      <w:r>
        <w:t>/m</w:t>
      </w:r>
      <w:r>
        <w:rPr>
          <w:position w:val="11"/>
          <w:sz w:val="16"/>
        </w:rPr>
        <w:t>2</w:t>
      </w:r>
      <w:r>
        <w:t>/yr).</w:t>
      </w:r>
    </w:p>
    <w:p w:rsidR="00F3177F" w:rsidRDefault="00F3177F">
      <w:pPr>
        <w:pStyle w:val="BodyText"/>
        <w:spacing w:before="6"/>
        <w:rPr>
          <w:sz w:val="35"/>
        </w:rPr>
      </w:pPr>
    </w:p>
    <w:p w:rsidR="00F3177F" w:rsidRDefault="0089671D">
      <w:pPr>
        <w:pStyle w:val="BodyText"/>
        <w:spacing w:before="1" w:line="360" w:lineRule="auto"/>
        <w:ind w:left="584" w:right="111"/>
        <w:jc w:val="both"/>
      </w:pPr>
      <w:r>
        <w:t>Annual school energy consumption per student and meter square are two different building energy consumption parameters as the second one is the most common one by far in literature and practice.</w:t>
      </w:r>
    </w:p>
    <w:p w:rsidR="00F3177F" w:rsidRDefault="00F3177F">
      <w:pPr>
        <w:pStyle w:val="BodyText"/>
      </w:pPr>
    </w:p>
    <w:p w:rsidR="00F3177F" w:rsidRDefault="0089671D">
      <w:pPr>
        <w:pStyle w:val="BodyText"/>
        <w:spacing w:before="143" w:line="350" w:lineRule="auto"/>
        <w:ind w:left="584" w:right="116"/>
        <w:jc w:val="both"/>
      </w:pPr>
      <w:r>
        <w:t xml:space="preserve">Correlation coefficient test was used to see whether there is a correlation between the groups of figures. Based on the above-given calculation methods, the results do not show a significant correlation between energy consumption per student (M= 708.1) and </w:t>
      </w:r>
      <w:proofErr w:type="gramStart"/>
      <w:r>
        <w:t>per  m</w:t>
      </w:r>
      <w:r>
        <w:rPr>
          <w:position w:val="11"/>
          <w:sz w:val="16"/>
        </w:rPr>
        <w:t>2</w:t>
      </w:r>
      <w:proofErr w:type="gramEnd"/>
      <w:r>
        <w:rPr>
          <w:position w:val="11"/>
          <w:sz w:val="16"/>
        </w:rPr>
        <w:t xml:space="preserve">  </w:t>
      </w:r>
      <w:r>
        <w:t>(M= 69.4)  with a  correlation  co-efficiency of  0.1767.  Although technically a</w:t>
      </w:r>
    </w:p>
    <w:p w:rsidR="00F3177F" w:rsidRDefault="0089671D">
      <w:pPr>
        <w:pStyle w:val="BodyText"/>
        <w:spacing w:line="360" w:lineRule="auto"/>
        <w:ind w:left="584" w:right="118"/>
        <w:jc w:val="both"/>
      </w:pPr>
      <w:proofErr w:type="gramStart"/>
      <w:r>
        <w:t>positive</w:t>
      </w:r>
      <w:proofErr w:type="gramEnd"/>
      <w:r>
        <w:t xml:space="preserve"> correlation, the relationship between variables is weak. Thus, annual school energy consumption per student and meter square cannot be statistically significant predictors for each other. Table 28 and Figure 12 below show Pearson Correlation Coefficient results and related graphic, respectively.</w:t>
      </w:r>
    </w:p>
    <w:p w:rsidR="00F3177F" w:rsidRDefault="00F3177F">
      <w:pPr>
        <w:pStyle w:val="BodyText"/>
      </w:pPr>
    </w:p>
    <w:p w:rsidR="00F3177F" w:rsidRDefault="0089671D">
      <w:pPr>
        <w:pStyle w:val="BodyText"/>
        <w:spacing w:before="141"/>
        <w:ind w:left="584" w:right="114"/>
        <w:jc w:val="both"/>
      </w:pPr>
      <w:r>
        <w:t>Table 28: Pearson Correlation Coefficient results for annual school energy consumption per student and meter square</w:t>
      </w:r>
    </w:p>
    <w:p w:rsidR="00F3177F" w:rsidRDefault="00F3177F">
      <w:pPr>
        <w:pStyle w:val="BodyText"/>
        <w:spacing w:before="8"/>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1169"/>
        <w:gridCol w:w="1080"/>
        <w:gridCol w:w="1531"/>
        <w:gridCol w:w="629"/>
        <w:gridCol w:w="901"/>
        <w:gridCol w:w="900"/>
      </w:tblGrid>
      <w:tr w:rsidR="00F3177F">
        <w:trPr>
          <w:trHeight w:hRule="exact" w:val="386"/>
        </w:trPr>
        <w:tc>
          <w:tcPr>
            <w:tcW w:w="2266" w:type="dxa"/>
          </w:tcPr>
          <w:p w:rsidR="00F3177F" w:rsidRDefault="00F3177F"/>
        </w:tc>
        <w:tc>
          <w:tcPr>
            <w:tcW w:w="1169" w:type="dxa"/>
          </w:tcPr>
          <w:p w:rsidR="00F3177F" w:rsidRDefault="0089671D">
            <w:pPr>
              <w:pStyle w:val="TableParagraph"/>
              <w:spacing w:before="42"/>
              <w:ind w:right="2"/>
              <w:jc w:val="center"/>
              <w:rPr>
                <w:sz w:val="24"/>
              </w:rPr>
            </w:pPr>
            <w:r>
              <w:rPr>
                <w:sz w:val="24"/>
              </w:rPr>
              <w:t>∑</w:t>
            </w:r>
          </w:p>
        </w:tc>
        <w:tc>
          <w:tcPr>
            <w:tcW w:w="1080" w:type="dxa"/>
          </w:tcPr>
          <w:p w:rsidR="00F3177F" w:rsidRDefault="0089671D">
            <w:pPr>
              <w:pStyle w:val="TableParagraph"/>
              <w:spacing w:before="42"/>
              <w:ind w:left="261"/>
              <w:rPr>
                <w:sz w:val="24"/>
              </w:rPr>
            </w:pPr>
            <w:r>
              <w:rPr>
                <w:sz w:val="24"/>
              </w:rPr>
              <w:t>Mean</w:t>
            </w:r>
          </w:p>
        </w:tc>
        <w:tc>
          <w:tcPr>
            <w:tcW w:w="1531" w:type="dxa"/>
          </w:tcPr>
          <w:p w:rsidR="00F3177F" w:rsidRDefault="0089671D">
            <w:pPr>
              <w:pStyle w:val="TableParagraph"/>
              <w:spacing w:before="42"/>
              <w:ind w:left="110" w:right="110"/>
              <w:jc w:val="center"/>
              <w:rPr>
                <w:sz w:val="24"/>
              </w:rPr>
            </w:pPr>
            <w:r>
              <w:rPr>
                <w:sz w:val="24"/>
              </w:rPr>
              <w:t>SS</w:t>
            </w:r>
          </w:p>
        </w:tc>
        <w:tc>
          <w:tcPr>
            <w:tcW w:w="629" w:type="dxa"/>
          </w:tcPr>
          <w:p w:rsidR="00F3177F" w:rsidRDefault="0089671D">
            <w:pPr>
              <w:pStyle w:val="TableParagraph"/>
              <w:spacing w:before="42"/>
              <w:ind w:right="2"/>
              <w:jc w:val="center"/>
              <w:rPr>
                <w:sz w:val="24"/>
              </w:rPr>
            </w:pPr>
            <w:r>
              <w:rPr>
                <w:w w:val="99"/>
                <w:sz w:val="24"/>
              </w:rPr>
              <w:t>N</w:t>
            </w:r>
          </w:p>
        </w:tc>
        <w:tc>
          <w:tcPr>
            <w:tcW w:w="901" w:type="dxa"/>
          </w:tcPr>
          <w:p w:rsidR="00F3177F" w:rsidRDefault="0089671D">
            <w:pPr>
              <w:pStyle w:val="TableParagraph"/>
              <w:spacing w:before="42"/>
              <w:jc w:val="center"/>
              <w:rPr>
                <w:sz w:val="24"/>
              </w:rPr>
            </w:pPr>
            <w:r>
              <w:rPr>
                <w:sz w:val="24"/>
              </w:rPr>
              <w:t>R</w:t>
            </w:r>
          </w:p>
        </w:tc>
        <w:tc>
          <w:tcPr>
            <w:tcW w:w="900" w:type="dxa"/>
          </w:tcPr>
          <w:p w:rsidR="00F3177F" w:rsidRDefault="0089671D">
            <w:pPr>
              <w:pStyle w:val="TableParagraph"/>
              <w:spacing w:line="268" w:lineRule="exact"/>
              <w:ind w:left="41" w:right="42"/>
              <w:jc w:val="center"/>
              <w:rPr>
                <w:sz w:val="16"/>
              </w:rPr>
            </w:pPr>
            <w:r>
              <w:rPr>
                <w:position w:val="-10"/>
                <w:sz w:val="24"/>
              </w:rPr>
              <w:t>R</w:t>
            </w:r>
            <w:r>
              <w:rPr>
                <w:sz w:val="16"/>
              </w:rPr>
              <w:t>2</w:t>
            </w:r>
          </w:p>
        </w:tc>
      </w:tr>
      <w:tr w:rsidR="00F3177F">
        <w:trPr>
          <w:trHeight w:hRule="exact" w:val="984"/>
        </w:trPr>
        <w:tc>
          <w:tcPr>
            <w:tcW w:w="2266" w:type="dxa"/>
          </w:tcPr>
          <w:p w:rsidR="00F3177F" w:rsidRDefault="0089671D">
            <w:pPr>
              <w:pStyle w:val="TableParagraph"/>
              <w:spacing w:before="64"/>
              <w:ind w:left="103" w:right="365"/>
              <w:rPr>
                <w:sz w:val="24"/>
              </w:rPr>
            </w:pPr>
            <w:r>
              <w:rPr>
                <w:sz w:val="24"/>
              </w:rPr>
              <w:t>X=Annual Energy Consumption per Student</w:t>
            </w:r>
          </w:p>
        </w:tc>
        <w:tc>
          <w:tcPr>
            <w:tcW w:w="1169" w:type="dxa"/>
          </w:tcPr>
          <w:p w:rsidR="00F3177F" w:rsidRDefault="00F3177F">
            <w:pPr>
              <w:pStyle w:val="TableParagraph"/>
              <w:spacing w:before="6"/>
              <w:rPr>
                <w:sz w:val="29"/>
              </w:rPr>
            </w:pPr>
          </w:p>
          <w:p w:rsidR="00F3177F" w:rsidRDefault="0089671D">
            <w:pPr>
              <w:pStyle w:val="TableParagraph"/>
              <w:ind w:right="191"/>
              <w:jc w:val="right"/>
              <w:rPr>
                <w:sz w:val="24"/>
              </w:rPr>
            </w:pPr>
            <w:r>
              <w:rPr>
                <w:sz w:val="24"/>
              </w:rPr>
              <w:t>38947.7</w:t>
            </w:r>
          </w:p>
        </w:tc>
        <w:tc>
          <w:tcPr>
            <w:tcW w:w="1080" w:type="dxa"/>
          </w:tcPr>
          <w:p w:rsidR="00F3177F" w:rsidRDefault="00F3177F">
            <w:pPr>
              <w:pStyle w:val="TableParagraph"/>
              <w:spacing w:before="6"/>
              <w:rPr>
                <w:sz w:val="29"/>
              </w:rPr>
            </w:pPr>
          </w:p>
          <w:p w:rsidR="00F3177F" w:rsidRDefault="0089671D">
            <w:pPr>
              <w:pStyle w:val="TableParagraph"/>
              <w:ind w:left="204"/>
              <w:rPr>
                <w:sz w:val="24"/>
              </w:rPr>
            </w:pPr>
            <w:r>
              <w:rPr>
                <w:sz w:val="24"/>
              </w:rPr>
              <w:t>708.14</w:t>
            </w:r>
          </w:p>
        </w:tc>
        <w:tc>
          <w:tcPr>
            <w:tcW w:w="1531" w:type="dxa"/>
          </w:tcPr>
          <w:p w:rsidR="00F3177F" w:rsidRDefault="00F3177F">
            <w:pPr>
              <w:pStyle w:val="TableParagraph"/>
              <w:spacing w:before="6"/>
              <w:rPr>
                <w:sz w:val="29"/>
              </w:rPr>
            </w:pPr>
          </w:p>
          <w:p w:rsidR="00F3177F" w:rsidRDefault="0089671D">
            <w:pPr>
              <w:pStyle w:val="TableParagraph"/>
              <w:ind w:left="110" w:right="110"/>
              <w:jc w:val="center"/>
              <w:rPr>
                <w:sz w:val="24"/>
              </w:rPr>
            </w:pPr>
            <w:r>
              <w:rPr>
                <w:sz w:val="24"/>
              </w:rPr>
              <w:t>34115702.47</w:t>
            </w:r>
          </w:p>
        </w:tc>
        <w:tc>
          <w:tcPr>
            <w:tcW w:w="629" w:type="dxa"/>
            <w:vMerge w:val="restart"/>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89671D">
            <w:pPr>
              <w:pStyle w:val="TableParagraph"/>
              <w:spacing w:before="184"/>
              <w:ind w:left="187"/>
              <w:rPr>
                <w:sz w:val="24"/>
              </w:rPr>
            </w:pPr>
            <w:r>
              <w:rPr>
                <w:sz w:val="24"/>
              </w:rPr>
              <w:t>55</w:t>
            </w:r>
          </w:p>
        </w:tc>
        <w:tc>
          <w:tcPr>
            <w:tcW w:w="901" w:type="dxa"/>
            <w:vMerge w:val="restart"/>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89671D">
            <w:pPr>
              <w:pStyle w:val="TableParagraph"/>
              <w:spacing w:before="184"/>
              <w:ind w:left="115"/>
              <w:rPr>
                <w:sz w:val="24"/>
              </w:rPr>
            </w:pPr>
            <w:r>
              <w:rPr>
                <w:sz w:val="24"/>
              </w:rPr>
              <w:t>0.1767</w:t>
            </w:r>
          </w:p>
        </w:tc>
        <w:tc>
          <w:tcPr>
            <w:tcW w:w="900" w:type="dxa"/>
            <w:vMerge w:val="restart"/>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89671D">
            <w:pPr>
              <w:pStyle w:val="TableParagraph"/>
              <w:spacing w:before="184"/>
              <w:ind w:left="115"/>
              <w:rPr>
                <w:sz w:val="24"/>
              </w:rPr>
            </w:pPr>
            <w:r>
              <w:rPr>
                <w:sz w:val="24"/>
              </w:rPr>
              <w:t>0.0312</w:t>
            </w:r>
          </w:p>
        </w:tc>
      </w:tr>
      <w:tr w:rsidR="00F3177F">
        <w:trPr>
          <w:trHeight w:hRule="exact" w:val="1390"/>
        </w:trPr>
        <w:tc>
          <w:tcPr>
            <w:tcW w:w="2266" w:type="dxa"/>
          </w:tcPr>
          <w:p w:rsidR="00F3177F" w:rsidRDefault="00F3177F">
            <w:pPr>
              <w:pStyle w:val="TableParagraph"/>
              <w:spacing w:before="3"/>
              <w:rPr>
                <w:sz w:val="23"/>
              </w:rPr>
            </w:pPr>
          </w:p>
          <w:p w:rsidR="00F3177F" w:rsidRDefault="0089671D">
            <w:pPr>
              <w:pStyle w:val="TableParagraph"/>
              <w:ind w:left="103" w:right="365"/>
              <w:rPr>
                <w:sz w:val="24"/>
              </w:rPr>
            </w:pPr>
            <w:r>
              <w:rPr>
                <w:sz w:val="24"/>
              </w:rPr>
              <w:t>Y=Annual Energy Consumption per Unit Area</w:t>
            </w:r>
          </w:p>
        </w:tc>
        <w:tc>
          <w:tcPr>
            <w:tcW w:w="1169" w:type="dxa"/>
          </w:tcPr>
          <w:p w:rsidR="00F3177F" w:rsidRDefault="00F3177F">
            <w:pPr>
              <w:pStyle w:val="TableParagraph"/>
              <w:rPr>
                <w:sz w:val="24"/>
              </w:rPr>
            </w:pPr>
          </w:p>
          <w:p w:rsidR="00F3177F" w:rsidRDefault="00F3177F">
            <w:pPr>
              <w:pStyle w:val="TableParagraph"/>
              <w:spacing w:before="3"/>
              <w:rPr>
                <w:sz w:val="23"/>
              </w:rPr>
            </w:pPr>
          </w:p>
          <w:p w:rsidR="00F3177F" w:rsidRDefault="0089671D">
            <w:pPr>
              <w:pStyle w:val="TableParagraph"/>
              <w:ind w:left="247" w:right="29"/>
              <w:rPr>
                <w:sz w:val="24"/>
              </w:rPr>
            </w:pPr>
            <w:r>
              <w:rPr>
                <w:sz w:val="24"/>
              </w:rPr>
              <w:t>3819.4</w:t>
            </w:r>
          </w:p>
        </w:tc>
        <w:tc>
          <w:tcPr>
            <w:tcW w:w="1080" w:type="dxa"/>
          </w:tcPr>
          <w:p w:rsidR="00F3177F" w:rsidRDefault="00F3177F">
            <w:pPr>
              <w:pStyle w:val="TableParagraph"/>
              <w:rPr>
                <w:sz w:val="24"/>
              </w:rPr>
            </w:pPr>
          </w:p>
          <w:p w:rsidR="00F3177F" w:rsidRDefault="00F3177F">
            <w:pPr>
              <w:pStyle w:val="TableParagraph"/>
              <w:spacing w:before="3"/>
              <w:rPr>
                <w:sz w:val="23"/>
              </w:rPr>
            </w:pPr>
          </w:p>
          <w:p w:rsidR="00F3177F" w:rsidRDefault="0089671D">
            <w:pPr>
              <w:pStyle w:val="TableParagraph"/>
              <w:ind w:left="204"/>
              <w:rPr>
                <w:sz w:val="24"/>
              </w:rPr>
            </w:pPr>
            <w:r>
              <w:rPr>
                <w:sz w:val="24"/>
              </w:rPr>
              <w:t>69.444</w:t>
            </w:r>
          </w:p>
        </w:tc>
        <w:tc>
          <w:tcPr>
            <w:tcW w:w="1531" w:type="dxa"/>
          </w:tcPr>
          <w:p w:rsidR="00F3177F" w:rsidRDefault="00F3177F">
            <w:pPr>
              <w:pStyle w:val="TableParagraph"/>
              <w:rPr>
                <w:sz w:val="24"/>
              </w:rPr>
            </w:pPr>
          </w:p>
          <w:p w:rsidR="00F3177F" w:rsidRDefault="00F3177F">
            <w:pPr>
              <w:pStyle w:val="TableParagraph"/>
              <w:spacing w:before="3"/>
              <w:rPr>
                <w:sz w:val="23"/>
              </w:rPr>
            </w:pPr>
          </w:p>
          <w:p w:rsidR="00F3177F" w:rsidRDefault="0089671D">
            <w:pPr>
              <w:pStyle w:val="TableParagraph"/>
              <w:ind w:left="110" w:right="110"/>
              <w:jc w:val="center"/>
              <w:rPr>
                <w:sz w:val="24"/>
              </w:rPr>
            </w:pPr>
            <w:r>
              <w:rPr>
                <w:sz w:val="24"/>
              </w:rPr>
              <w:t>189262.195</w:t>
            </w:r>
          </w:p>
        </w:tc>
        <w:tc>
          <w:tcPr>
            <w:tcW w:w="629" w:type="dxa"/>
            <w:vMerge/>
          </w:tcPr>
          <w:p w:rsidR="00F3177F" w:rsidRDefault="00F3177F"/>
        </w:tc>
        <w:tc>
          <w:tcPr>
            <w:tcW w:w="901" w:type="dxa"/>
            <w:vMerge/>
          </w:tcPr>
          <w:p w:rsidR="00F3177F" w:rsidRDefault="00F3177F"/>
        </w:tc>
        <w:tc>
          <w:tcPr>
            <w:tcW w:w="900" w:type="dxa"/>
            <w:vMerge/>
          </w:tcPr>
          <w:p w:rsidR="00F3177F" w:rsidRDefault="00F3177F"/>
        </w:tc>
      </w:tr>
      <w:tr w:rsidR="00F3177F">
        <w:trPr>
          <w:trHeight w:hRule="exact" w:val="506"/>
        </w:trPr>
        <w:tc>
          <w:tcPr>
            <w:tcW w:w="2266" w:type="dxa"/>
          </w:tcPr>
          <w:p w:rsidR="00F3177F" w:rsidRDefault="0089671D">
            <w:pPr>
              <w:pStyle w:val="TableParagraph"/>
              <w:spacing w:before="102"/>
              <w:ind w:left="103"/>
              <w:rPr>
                <w:sz w:val="24"/>
              </w:rPr>
            </w:pPr>
            <w:r>
              <w:rPr>
                <w:sz w:val="24"/>
              </w:rPr>
              <w:t>X and Y Combined</w:t>
            </w:r>
          </w:p>
        </w:tc>
        <w:tc>
          <w:tcPr>
            <w:tcW w:w="1169" w:type="dxa"/>
          </w:tcPr>
          <w:p w:rsidR="00F3177F" w:rsidRDefault="0089671D">
            <w:pPr>
              <w:pStyle w:val="TableParagraph"/>
              <w:spacing w:before="102"/>
              <w:ind w:right="221"/>
              <w:jc w:val="right"/>
              <w:rPr>
                <w:sz w:val="24"/>
              </w:rPr>
            </w:pPr>
            <w:r>
              <w:rPr>
                <w:sz w:val="24"/>
              </w:rPr>
              <w:t>448996</w:t>
            </w:r>
          </w:p>
        </w:tc>
        <w:tc>
          <w:tcPr>
            <w:tcW w:w="1080" w:type="dxa"/>
          </w:tcPr>
          <w:p w:rsidR="00F3177F" w:rsidRDefault="00F3177F"/>
        </w:tc>
        <w:tc>
          <w:tcPr>
            <w:tcW w:w="1531" w:type="dxa"/>
          </w:tcPr>
          <w:p w:rsidR="00F3177F" w:rsidRDefault="00F3177F"/>
        </w:tc>
        <w:tc>
          <w:tcPr>
            <w:tcW w:w="629" w:type="dxa"/>
            <w:vMerge/>
          </w:tcPr>
          <w:p w:rsidR="00F3177F" w:rsidRDefault="00F3177F"/>
        </w:tc>
        <w:tc>
          <w:tcPr>
            <w:tcW w:w="901" w:type="dxa"/>
            <w:vMerge/>
          </w:tcPr>
          <w:p w:rsidR="00F3177F" w:rsidRDefault="00F3177F"/>
        </w:tc>
        <w:tc>
          <w:tcPr>
            <w:tcW w:w="900" w:type="dxa"/>
            <w:vMerge/>
          </w:tcPr>
          <w:p w:rsidR="00F3177F" w:rsidRDefault="00F3177F"/>
        </w:tc>
      </w:tr>
    </w:tbl>
    <w:p w:rsidR="00F3177F" w:rsidRDefault="00F3177F">
      <w:pPr>
        <w:sectPr w:rsidR="00F3177F">
          <w:pgSz w:w="12240" w:h="15840"/>
          <w:pgMar w:top="1340" w:right="1320" w:bottom="2320" w:left="1720" w:header="0" w:footer="2072" w:gutter="0"/>
          <w:cols w:space="720"/>
        </w:sectPr>
      </w:pPr>
    </w:p>
    <w:p w:rsidR="00F3177F" w:rsidRDefault="0089671D">
      <w:pPr>
        <w:pStyle w:val="BodyText"/>
        <w:ind w:left="2357"/>
        <w:rPr>
          <w:sz w:val="20"/>
        </w:rPr>
      </w:pPr>
      <w:r>
        <w:rPr>
          <w:noProof/>
          <w:sz w:val="20"/>
        </w:rPr>
        <w:lastRenderedPageBreak/>
        <w:drawing>
          <wp:inline distT="0" distB="0" distL="0" distR="0">
            <wp:extent cx="3128146" cy="2771775"/>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2" cstate="print"/>
                    <a:stretch>
                      <a:fillRect/>
                    </a:stretch>
                  </pic:blipFill>
                  <pic:spPr>
                    <a:xfrm>
                      <a:off x="0" y="0"/>
                      <a:ext cx="3128146" cy="2771775"/>
                    </a:xfrm>
                    <a:prstGeom prst="rect">
                      <a:avLst/>
                    </a:prstGeom>
                  </pic:spPr>
                </pic:pic>
              </a:graphicData>
            </a:graphic>
          </wp:inline>
        </w:drawing>
      </w:r>
    </w:p>
    <w:p w:rsidR="00F3177F" w:rsidRDefault="00F3177F">
      <w:pPr>
        <w:pStyle w:val="BodyText"/>
        <w:spacing w:before="9"/>
        <w:rPr>
          <w:sz w:val="6"/>
        </w:rPr>
      </w:pPr>
    </w:p>
    <w:p w:rsidR="00F3177F" w:rsidRDefault="0089671D">
      <w:pPr>
        <w:pStyle w:val="BodyText"/>
        <w:spacing w:before="69"/>
        <w:ind w:left="584" w:right="119"/>
        <w:jc w:val="both"/>
      </w:pPr>
      <w:r>
        <w:t>Figure 12: Pearson Correlation Coefficient graphic for annual school energy consumption per student and meter square in the state primary and secondary schools in PCM (X=Annual Energy Consumption per Student and Y=Annual Energy Consumption per Unit</w:t>
      </w:r>
      <w:r>
        <w:rPr>
          <w:spacing w:val="-8"/>
        </w:rPr>
        <w:t xml:space="preserve"> </w:t>
      </w:r>
      <w:r>
        <w:t>Area).</w:t>
      </w:r>
    </w:p>
    <w:p w:rsidR="00F3177F" w:rsidRDefault="00F3177F">
      <w:pPr>
        <w:pStyle w:val="BodyText"/>
      </w:pPr>
    </w:p>
    <w:p w:rsidR="00F3177F" w:rsidRDefault="0089671D">
      <w:pPr>
        <w:pStyle w:val="BodyText"/>
        <w:spacing w:before="141" w:line="360" w:lineRule="auto"/>
        <w:ind w:left="584" w:right="118"/>
        <w:jc w:val="both"/>
      </w:pPr>
      <w:r>
        <w:t>Additionally, Spearman’s Rho, a non-parametric test used to ration the strength of correlation between two variables, was applied to variables.</w:t>
      </w:r>
    </w:p>
    <w:p w:rsidR="00F3177F" w:rsidRDefault="00F3177F">
      <w:pPr>
        <w:pStyle w:val="BodyText"/>
      </w:pPr>
    </w:p>
    <w:p w:rsidR="00F3177F" w:rsidRDefault="0089671D">
      <w:pPr>
        <w:pStyle w:val="BodyText"/>
        <w:spacing w:before="143" w:line="360" w:lineRule="auto"/>
        <w:ind w:left="584" w:right="116"/>
        <w:jc w:val="both"/>
      </w:pPr>
      <w:r>
        <w:t xml:space="preserve">According to the above-given calculation method, the R value of Spearman’s Rho for hypothesis 8 is 0.25162 with the </w:t>
      </w:r>
      <w:r>
        <w:rPr>
          <w:i/>
        </w:rPr>
        <w:t>p</w:t>
      </w:r>
      <w:r>
        <w:t>-value of 0.06386. The results show that the correlation between annual school energy consumption per student and meter square are not statistically significant. Table 29 below shows Spearman’s Rho Correlation results.</w:t>
      </w:r>
    </w:p>
    <w:p w:rsidR="00F3177F" w:rsidRDefault="00F3177F">
      <w:pPr>
        <w:pStyle w:val="BodyText"/>
      </w:pPr>
    </w:p>
    <w:p w:rsidR="00F3177F" w:rsidRDefault="0089671D">
      <w:pPr>
        <w:pStyle w:val="BodyText"/>
        <w:spacing w:before="140"/>
        <w:ind w:left="584" w:right="119"/>
        <w:jc w:val="both"/>
      </w:pPr>
      <w:r>
        <w:t xml:space="preserve">Table 29: Spearman’s Rho Correlation results for annual school energy </w:t>
      </w:r>
      <w:proofErr w:type="gramStart"/>
      <w:r>
        <w:t>consumption  per</w:t>
      </w:r>
      <w:proofErr w:type="gramEnd"/>
      <w:r>
        <w:t xml:space="preserve"> student and meter</w:t>
      </w:r>
      <w:r>
        <w:rPr>
          <w:spacing w:val="-4"/>
        </w:rPr>
        <w:t xml:space="preserve"> </w:t>
      </w:r>
      <w:r>
        <w:t>square</w:t>
      </w:r>
    </w:p>
    <w:p w:rsidR="00F3177F" w:rsidRDefault="00F3177F">
      <w:pPr>
        <w:pStyle w:val="BodyText"/>
        <w:spacing w:before="8"/>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5"/>
        <w:gridCol w:w="991"/>
        <w:gridCol w:w="1349"/>
        <w:gridCol w:w="1620"/>
        <w:gridCol w:w="1352"/>
        <w:gridCol w:w="1349"/>
      </w:tblGrid>
      <w:tr w:rsidR="00F3177F">
        <w:trPr>
          <w:trHeight w:hRule="exact" w:val="562"/>
        </w:trPr>
        <w:tc>
          <w:tcPr>
            <w:tcW w:w="1815" w:type="dxa"/>
          </w:tcPr>
          <w:p w:rsidR="00F3177F" w:rsidRDefault="00F3177F"/>
        </w:tc>
        <w:tc>
          <w:tcPr>
            <w:tcW w:w="991" w:type="dxa"/>
          </w:tcPr>
          <w:p w:rsidR="00F3177F" w:rsidRDefault="0089671D">
            <w:pPr>
              <w:pStyle w:val="TableParagraph"/>
              <w:spacing w:before="129"/>
              <w:ind w:left="196" w:right="198"/>
              <w:jc w:val="center"/>
              <w:rPr>
                <w:sz w:val="24"/>
              </w:rPr>
            </w:pPr>
            <w:r>
              <w:rPr>
                <w:sz w:val="24"/>
              </w:rPr>
              <w:t>Mean</w:t>
            </w:r>
          </w:p>
        </w:tc>
        <w:tc>
          <w:tcPr>
            <w:tcW w:w="1349" w:type="dxa"/>
          </w:tcPr>
          <w:p w:rsidR="00F3177F" w:rsidRDefault="0089671D">
            <w:pPr>
              <w:pStyle w:val="TableParagraph"/>
              <w:ind w:left="194" w:right="178" w:firstLine="45"/>
              <w:rPr>
                <w:sz w:val="24"/>
              </w:rPr>
            </w:pPr>
            <w:r>
              <w:rPr>
                <w:sz w:val="24"/>
              </w:rPr>
              <w:t>Standard Deviation</w:t>
            </w:r>
          </w:p>
        </w:tc>
        <w:tc>
          <w:tcPr>
            <w:tcW w:w="1620" w:type="dxa"/>
          </w:tcPr>
          <w:p w:rsidR="00F3177F" w:rsidRDefault="0089671D">
            <w:pPr>
              <w:pStyle w:val="TableParagraph"/>
              <w:ind w:left="259" w:right="239" w:firstLine="45"/>
              <w:rPr>
                <w:sz w:val="24"/>
              </w:rPr>
            </w:pPr>
            <w:r>
              <w:rPr>
                <w:sz w:val="24"/>
              </w:rPr>
              <w:t>Combined Covariance</w:t>
            </w:r>
          </w:p>
        </w:tc>
        <w:tc>
          <w:tcPr>
            <w:tcW w:w="1352" w:type="dxa"/>
          </w:tcPr>
          <w:p w:rsidR="00F3177F" w:rsidRDefault="0089671D">
            <w:pPr>
              <w:pStyle w:val="TableParagraph"/>
              <w:spacing w:before="129"/>
              <w:ind w:right="4"/>
              <w:jc w:val="center"/>
              <w:rPr>
                <w:sz w:val="24"/>
              </w:rPr>
            </w:pPr>
            <w:r>
              <w:rPr>
                <w:sz w:val="24"/>
              </w:rPr>
              <w:t>R</w:t>
            </w:r>
          </w:p>
        </w:tc>
        <w:tc>
          <w:tcPr>
            <w:tcW w:w="1349" w:type="dxa"/>
          </w:tcPr>
          <w:p w:rsidR="00F3177F" w:rsidRDefault="0089671D">
            <w:pPr>
              <w:pStyle w:val="TableParagraph"/>
              <w:spacing w:before="129"/>
              <w:ind w:right="3"/>
              <w:jc w:val="center"/>
              <w:rPr>
                <w:sz w:val="24"/>
              </w:rPr>
            </w:pPr>
            <w:r>
              <w:rPr>
                <w:w w:val="99"/>
                <w:sz w:val="24"/>
              </w:rPr>
              <w:t>P</w:t>
            </w:r>
          </w:p>
        </w:tc>
      </w:tr>
      <w:tr w:rsidR="00F3177F">
        <w:trPr>
          <w:trHeight w:hRule="exact" w:val="984"/>
        </w:trPr>
        <w:tc>
          <w:tcPr>
            <w:tcW w:w="1815" w:type="dxa"/>
          </w:tcPr>
          <w:p w:rsidR="00F3177F" w:rsidRDefault="0089671D">
            <w:pPr>
              <w:pStyle w:val="TableParagraph"/>
              <w:spacing w:before="203"/>
              <w:ind w:left="103" w:right="89"/>
              <w:rPr>
                <w:sz w:val="24"/>
              </w:rPr>
            </w:pPr>
            <w:r>
              <w:rPr>
                <w:sz w:val="24"/>
              </w:rPr>
              <w:t>Spearman’s Rho Correlation</w:t>
            </w:r>
          </w:p>
        </w:tc>
        <w:tc>
          <w:tcPr>
            <w:tcW w:w="991" w:type="dxa"/>
          </w:tcPr>
          <w:p w:rsidR="00F3177F" w:rsidRDefault="00F3177F">
            <w:pPr>
              <w:pStyle w:val="TableParagraph"/>
              <w:spacing w:before="8"/>
              <w:rPr>
                <w:sz w:val="29"/>
              </w:rPr>
            </w:pPr>
          </w:p>
          <w:p w:rsidR="00F3177F" w:rsidRDefault="0089671D">
            <w:pPr>
              <w:pStyle w:val="TableParagraph"/>
              <w:spacing w:before="1"/>
              <w:ind w:left="196" w:right="196"/>
              <w:jc w:val="center"/>
              <w:rPr>
                <w:sz w:val="24"/>
              </w:rPr>
            </w:pPr>
            <w:r>
              <w:rPr>
                <w:sz w:val="24"/>
              </w:rPr>
              <w:t>28</w:t>
            </w:r>
          </w:p>
        </w:tc>
        <w:tc>
          <w:tcPr>
            <w:tcW w:w="1349" w:type="dxa"/>
          </w:tcPr>
          <w:p w:rsidR="00F3177F" w:rsidRDefault="00F3177F">
            <w:pPr>
              <w:pStyle w:val="TableParagraph"/>
              <w:spacing w:before="8"/>
              <w:rPr>
                <w:sz w:val="29"/>
              </w:rPr>
            </w:pPr>
          </w:p>
          <w:p w:rsidR="00F3177F" w:rsidRDefault="0089671D">
            <w:pPr>
              <w:pStyle w:val="TableParagraph"/>
              <w:spacing w:before="1"/>
              <w:ind w:left="396" w:right="178"/>
              <w:rPr>
                <w:sz w:val="24"/>
              </w:rPr>
            </w:pPr>
            <w:r>
              <w:rPr>
                <w:sz w:val="24"/>
              </w:rPr>
              <w:t>16.02</w:t>
            </w:r>
          </w:p>
        </w:tc>
        <w:tc>
          <w:tcPr>
            <w:tcW w:w="1620" w:type="dxa"/>
          </w:tcPr>
          <w:p w:rsidR="00F3177F" w:rsidRDefault="00F3177F">
            <w:pPr>
              <w:pStyle w:val="TableParagraph"/>
              <w:spacing w:before="8"/>
              <w:rPr>
                <w:sz w:val="29"/>
              </w:rPr>
            </w:pPr>
          </w:p>
          <w:p w:rsidR="00F3177F" w:rsidRDefault="0089671D">
            <w:pPr>
              <w:pStyle w:val="TableParagraph"/>
              <w:spacing w:before="1"/>
              <w:ind w:left="535" w:right="239"/>
              <w:rPr>
                <w:sz w:val="24"/>
              </w:rPr>
            </w:pPr>
            <w:r>
              <w:rPr>
                <w:sz w:val="24"/>
              </w:rPr>
              <w:t>64.56</w:t>
            </w:r>
          </w:p>
        </w:tc>
        <w:tc>
          <w:tcPr>
            <w:tcW w:w="1352" w:type="dxa"/>
          </w:tcPr>
          <w:p w:rsidR="00F3177F" w:rsidRDefault="00F3177F">
            <w:pPr>
              <w:pStyle w:val="TableParagraph"/>
              <w:spacing w:before="8"/>
              <w:rPr>
                <w:sz w:val="29"/>
              </w:rPr>
            </w:pPr>
          </w:p>
          <w:p w:rsidR="00F3177F" w:rsidRDefault="0089671D">
            <w:pPr>
              <w:pStyle w:val="TableParagraph"/>
              <w:spacing w:before="1"/>
              <w:ind w:left="259" w:right="262"/>
              <w:jc w:val="center"/>
              <w:rPr>
                <w:sz w:val="24"/>
              </w:rPr>
            </w:pPr>
            <w:r>
              <w:rPr>
                <w:sz w:val="24"/>
              </w:rPr>
              <w:t>0.25162</w:t>
            </w:r>
          </w:p>
        </w:tc>
        <w:tc>
          <w:tcPr>
            <w:tcW w:w="1349" w:type="dxa"/>
          </w:tcPr>
          <w:p w:rsidR="00F3177F" w:rsidRDefault="00F3177F">
            <w:pPr>
              <w:pStyle w:val="TableParagraph"/>
              <w:spacing w:before="8"/>
              <w:rPr>
                <w:sz w:val="29"/>
              </w:rPr>
            </w:pPr>
          </w:p>
          <w:p w:rsidR="00F3177F" w:rsidRDefault="0089671D">
            <w:pPr>
              <w:pStyle w:val="TableParagraph"/>
              <w:spacing w:before="1"/>
              <w:ind w:left="257" w:right="262"/>
              <w:jc w:val="center"/>
              <w:rPr>
                <w:sz w:val="24"/>
              </w:rPr>
            </w:pPr>
            <w:r>
              <w:rPr>
                <w:sz w:val="24"/>
              </w:rPr>
              <w:t>0.06386</w:t>
            </w:r>
          </w:p>
        </w:tc>
      </w:tr>
    </w:tbl>
    <w:p w:rsidR="00F3177F" w:rsidRDefault="00F3177F">
      <w:pPr>
        <w:jc w:val="center"/>
        <w:rPr>
          <w:sz w:val="24"/>
        </w:rPr>
        <w:sectPr w:rsidR="00F3177F">
          <w:pgSz w:w="12240" w:h="15840"/>
          <w:pgMar w:top="1440" w:right="1320" w:bottom="2320" w:left="1720" w:header="0" w:footer="2072" w:gutter="0"/>
          <w:cols w:space="720"/>
        </w:sectPr>
      </w:pPr>
    </w:p>
    <w:p w:rsidR="00F3177F" w:rsidRDefault="0089671D">
      <w:pPr>
        <w:pStyle w:val="BodyText"/>
        <w:spacing w:before="54" w:line="360" w:lineRule="auto"/>
        <w:ind w:left="584" w:right="122"/>
        <w:jc w:val="both"/>
      </w:pPr>
      <w:r>
        <w:lastRenderedPageBreak/>
        <w:t>As a result, both Pearson Correlation Coefficient and Spearman’s Rho Correlation calculation results show that there is no statistically significant correlation between annual school energy consumption per student and meter square.</w:t>
      </w:r>
    </w:p>
    <w:p w:rsidR="00F3177F" w:rsidRDefault="00F3177F">
      <w:pPr>
        <w:pStyle w:val="BodyText"/>
      </w:pPr>
    </w:p>
    <w:p w:rsidR="00F3177F" w:rsidRDefault="0089671D">
      <w:pPr>
        <w:pStyle w:val="BodyText"/>
        <w:spacing w:before="143" w:line="357" w:lineRule="auto"/>
        <w:ind w:left="584" w:right="111"/>
        <w:jc w:val="both"/>
      </w:pPr>
      <w:r>
        <w:t>Furthermore, annual school energy consumption and CO</w:t>
      </w:r>
      <w:r>
        <w:rPr>
          <w:position w:val="-2"/>
          <w:sz w:val="16"/>
        </w:rPr>
        <w:t xml:space="preserve">2 </w:t>
      </w:r>
      <w:r>
        <w:t>emission per meter square are two different building energy consumption parameters as the first one is mostly concerned about energy efficiency while the second one is mostly about environmental concerns. Buildings in European Union are responsible for the 40% of total energy consumption and 36% of CO</w:t>
      </w:r>
      <w:r>
        <w:rPr>
          <w:position w:val="-2"/>
          <w:sz w:val="16"/>
        </w:rPr>
        <w:t xml:space="preserve">2 </w:t>
      </w:r>
      <w:r>
        <w:t xml:space="preserve">emissions (Thewes et. al, 2014). Consequently, it might be possible to assume from these close percentages that there is a significant correlation between annual school energy consumption and </w:t>
      </w:r>
      <w:proofErr w:type="gramStart"/>
      <w:r>
        <w:t>CO</w:t>
      </w:r>
      <w:r>
        <w:rPr>
          <w:position w:val="-2"/>
          <w:sz w:val="16"/>
        </w:rPr>
        <w:t xml:space="preserve">2  </w:t>
      </w:r>
      <w:r>
        <w:t>emission</w:t>
      </w:r>
      <w:proofErr w:type="gramEnd"/>
      <w:r>
        <w:t xml:space="preserve"> levels per</w:t>
      </w:r>
      <w:r>
        <w:rPr>
          <w:spacing w:val="-28"/>
        </w:rPr>
        <w:t xml:space="preserve"> </w:t>
      </w:r>
      <w:r>
        <w:t>meter.</w:t>
      </w:r>
    </w:p>
    <w:p w:rsidR="00F3177F" w:rsidRDefault="00F3177F">
      <w:pPr>
        <w:pStyle w:val="BodyText"/>
        <w:rPr>
          <w:sz w:val="35"/>
        </w:rPr>
      </w:pPr>
    </w:p>
    <w:p w:rsidR="00F3177F" w:rsidRDefault="0089671D">
      <w:pPr>
        <w:pStyle w:val="BodyText"/>
        <w:spacing w:line="355" w:lineRule="auto"/>
        <w:ind w:left="584" w:right="113"/>
        <w:jc w:val="both"/>
      </w:pPr>
      <w:r>
        <w:t>Correlation coefficient test was used to see whether there is a correlation between the groups of figures. The results show a moderate positive correlation between annual energy consumption per meter square (M= 69.4) and CO</w:t>
      </w:r>
      <w:r>
        <w:rPr>
          <w:position w:val="-2"/>
          <w:sz w:val="16"/>
        </w:rPr>
        <w:t xml:space="preserve">2 </w:t>
      </w:r>
      <w:r>
        <w:t>emission per meter square (M= 13.7) with a correlation co-efficiency of 0.6383, which means there is a tendency for high annual energy consumption per meter square variable scores go with high annual CO</w:t>
      </w:r>
      <w:r>
        <w:rPr>
          <w:position w:val="-2"/>
          <w:sz w:val="16"/>
        </w:rPr>
        <w:t xml:space="preserve">2 </w:t>
      </w:r>
      <w:r>
        <w:t>emission per meter square variable scores (and vice versa). Thus, annual school energy consumption and CO</w:t>
      </w:r>
      <w:r>
        <w:rPr>
          <w:position w:val="-2"/>
          <w:sz w:val="16"/>
        </w:rPr>
        <w:t xml:space="preserve">2 </w:t>
      </w:r>
      <w:r>
        <w:t>emission per meter square are statistically</w:t>
      </w:r>
      <w:r w:rsidR="007A5996">
        <w:t xml:space="preserve"> </w:t>
      </w:r>
      <w:r>
        <w:t>moderate predictors for each other. Thus, fuel types should be taken into consideration as well. Table 30 and Figure 13 below show Pearson Correlation Coefficient results and the related graphic,</w:t>
      </w:r>
      <w:r>
        <w:rPr>
          <w:spacing w:val="-7"/>
        </w:rPr>
        <w:t xml:space="preserve"> </w:t>
      </w:r>
      <w:r>
        <w:t>respectively.</w:t>
      </w:r>
    </w:p>
    <w:p w:rsidR="00F3177F" w:rsidRDefault="00F3177F">
      <w:pPr>
        <w:spacing w:line="355" w:lineRule="auto"/>
        <w:jc w:val="both"/>
        <w:sectPr w:rsidR="00F3177F">
          <w:pgSz w:w="12240" w:h="15840"/>
          <w:pgMar w:top="1380" w:right="1320" w:bottom="2320" w:left="1720" w:header="0" w:footer="2072" w:gutter="0"/>
          <w:cols w:space="720"/>
        </w:sectPr>
      </w:pPr>
    </w:p>
    <w:p w:rsidR="00F3177F" w:rsidRDefault="0089671D" w:rsidP="004D4913">
      <w:pPr>
        <w:pStyle w:val="BodyText"/>
        <w:spacing w:before="52"/>
        <w:ind w:left="584" w:right="212"/>
        <w:jc w:val="both"/>
      </w:pPr>
      <w:r>
        <w:lastRenderedPageBreak/>
        <w:t xml:space="preserve">Table 30: Pearson Correlation Coefficient results for annual school energy consumption meter square and </w:t>
      </w:r>
      <w:proofErr w:type="gramStart"/>
      <w:r>
        <w:t>CO</w:t>
      </w:r>
      <w:r>
        <w:rPr>
          <w:position w:val="-2"/>
          <w:sz w:val="16"/>
        </w:rPr>
        <w:t xml:space="preserve">2  </w:t>
      </w:r>
      <w:r>
        <w:t>emission</w:t>
      </w:r>
      <w:proofErr w:type="gramEnd"/>
      <w:r>
        <w:t xml:space="preserve"> meter square</w:t>
      </w:r>
    </w:p>
    <w:p w:rsidR="00F3177F" w:rsidRDefault="00F3177F">
      <w:pPr>
        <w:pStyle w:val="BodyText"/>
        <w:spacing w:before="6" w:after="1"/>
        <w:rPr>
          <w:sz w:val="23"/>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373"/>
        <w:gridCol w:w="996"/>
        <w:gridCol w:w="1428"/>
        <w:gridCol w:w="720"/>
        <w:gridCol w:w="977"/>
        <w:gridCol w:w="1068"/>
      </w:tblGrid>
      <w:tr w:rsidR="00F3177F">
        <w:trPr>
          <w:trHeight w:hRule="exact" w:val="384"/>
        </w:trPr>
        <w:tc>
          <w:tcPr>
            <w:tcW w:w="2057" w:type="dxa"/>
          </w:tcPr>
          <w:p w:rsidR="00F3177F" w:rsidRDefault="00F3177F"/>
        </w:tc>
        <w:tc>
          <w:tcPr>
            <w:tcW w:w="1373" w:type="dxa"/>
          </w:tcPr>
          <w:p w:rsidR="00F3177F" w:rsidRDefault="0089671D">
            <w:pPr>
              <w:pStyle w:val="TableParagraph"/>
              <w:spacing w:before="42"/>
              <w:ind w:right="1"/>
              <w:jc w:val="center"/>
              <w:rPr>
                <w:sz w:val="24"/>
              </w:rPr>
            </w:pPr>
            <w:r>
              <w:rPr>
                <w:sz w:val="24"/>
              </w:rPr>
              <w:t>∑</w:t>
            </w:r>
          </w:p>
        </w:tc>
        <w:tc>
          <w:tcPr>
            <w:tcW w:w="996" w:type="dxa"/>
          </w:tcPr>
          <w:p w:rsidR="00F3177F" w:rsidRDefault="0089671D">
            <w:pPr>
              <w:pStyle w:val="TableParagraph"/>
              <w:spacing w:before="42"/>
              <w:ind w:left="215"/>
              <w:rPr>
                <w:sz w:val="24"/>
              </w:rPr>
            </w:pPr>
            <w:r>
              <w:rPr>
                <w:sz w:val="24"/>
              </w:rPr>
              <w:t>Mean</w:t>
            </w:r>
          </w:p>
        </w:tc>
        <w:tc>
          <w:tcPr>
            <w:tcW w:w="1428" w:type="dxa"/>
          </w:tcPr>
          <w:p w:rsidR="00F3177F" w:rsidRDefault="0089671D">
            <w:pPr>
              <w:pStyle w:val="TableParagraph"/>
              <w:spacing w:before="42"/>
              <w:ind w:left="118" w:right="118"/>
              <w:jc w:val="center"/>
              <w:rPr>
                <w:sz w:val="24"/>
              </w:rPr>
            </w:pPr>
            <w:r>
              <w:rPr>
                <w:sz w:val="24"/>
              </w:rPr>
              <w:t>SS</w:t>
            </w:r>
          </w:p>
        </w:tc>
        <w:tc>
          <w:tcPr>
            <w:tcW w:w="720" w:type="dxa"/>
          </w:tcPr>
          <w:p w:rsidR="00F3177F" w:rsidRDefault="0089671D">
            <w:pPr>
              <w:pStyle w:val="TableParagraph"/>
              <w:spacing w:before="42"/>
              <w:ind w:right="2"/>
              <w:jc w:val="center"/>
              <w:rPr>
                <w:sz w:val="24"/>
              </w:rPr>
            </w:pPr>
            <w:r>
              <w:rPr>
                <w:w w:val="99"/>
                <w:sz w:val="24"/>
              </w:rPr>
              <w:t>N</w:t>
            </w:r>
          </w:p>
        </w:tc>
        <w:tc>
          <w:tcPr>
            <w:tcW w:w="977" w:type="dxa"/>
          </w:tcPr>
          <w:p w:rsidR="00F3177F" w:rsidRDefault="0089671D">
            <w:pPr>
              <w:pStyle w:val="TableParagraph"/>
              <w:spacing w:before="42"/>
              <w:ind w:right="2"/>
              <w:jc w:val="center"/>
              <w:rPr>
                <w:sz w:val="24"/>
              </w:rPr>
            </w:pPr>
            <w:r>
              <w:rPr>
                <w:sz w:val="24"/>
              </w:rPr>
              <w:t>R</w:t>
            </w:r>
          </w:p>
        </w:tc>
        <w:tc>
          <w:tcPr>
            <w:tcW w:w="1068" w:type="dxa"/>
          </w:tcPr>
          <w:p w:rsidR="00F3177F" w:rsidRDefault="0089671D">
            <w:pPr>
              <w:pStyle w:val="TableParagraph"/>
              <w:spacing w:before="6"/>
              <w:ind w:left="388" w:right="389"/>
              <w:jc w:val="center"/>
              <w:rPr>
                <w:sz w:val="16"/>
              </w:rPr>
            </w:pPr>
            <w:r>
              <w:rPr>
                <w:position w:val="-10"/>
                <w:sz w:val="24"/>
              </w:rPr>
              <w:t>R</w:t>
            </w:r>
            <w:r>
              <w:rPr>
                <w:sz w:val="16"/>
              </w:rPr>
              <w:t>2</w:t>
            </w:r>
          </w:p>
        </w:tc>
      </w:tr>
      <w:tr w:rsidR="00F3177F">
        <w:trPr>
          <w:trHeight w:hRule="exact" w:val="986"/>
        </w:trPr>
        <w:tc>
          <w:tcPr>
            <w:tcW w:w="2057" w:type="dxa"/>
          </w:tcPr>
          <w:p w:rsidR="00F3177F" w:rsidRDefault="0089671D">
            <w:pPr>
              <w:pStyle w:val="TableParagraph"/>
              <w:spacing w:before="66"/>
              <w:ind w:left="103" w:right="156"/>
              <w:rPr>
                <w:sz w:val="24"/>
              </w:rPr>
            </w:pPr>
            <w:r>
              <w:rPr>
                <w:sz w:val="24"/>
              </w:rPr>
              <w:t>X=Annual Energy Consumption per Unit Area</w:t>
            </w:r>
          </w:p>
        </w:tc>
        <w:tc>
          <w:tcPr>
            <w:tcW w:w="1373" w:type="dxa"/>
          </w:tcPr>
          <w:p w:rsidR="00F3177F" w:rsidRDefault="00F3177F">
            <w:pPr>
              <w:pStyle w:val="TableParagraph"/>
              <w:spacing w:before="8"/>
              <w:rPr>
                <w:sz w:val="29"/>
              </w:rPr>
            </w:pPr>
          </w:p>
          <w:p w:rsidR="00F3177F" w:rsidRDefault="0089671D">
            <w:pPr>
              <w:pStyle w:val="TableParagraph"/>
              <w:spacing w:before="1"/>
              <w:ind w:left="235" w:right="235"/>
              <w:jc w:val="center"/>
              <w:rPr>
                <w:sz w:val="24"/>
              </w:rPr>
            </w:pPr>
            <w:r>
              <w:rPr>
                <w:sz w:val="24"/>
              </w:rPr>
              <w:t>3819.4</w:t>
            </w:r>
          </w:p>
        </w:tc>
        <w:tc>
          <w:tcPr>
            <w:tcW w:w="996" w:type="dxa"/>
          </w:tcPr>
          <w:p w:rsidR="00F3177F" w:rsidRDefault="00F3177F">
            <w:pPr>
              <w:pStyle w:val="TableParagraph"/>
              <w:spacing w:before="8"/>
              <w:rPr>
                <w:sz w:val="29"/>
              </w:rPr>
            </w:pPr>
          </w:p>
          <w:p w:rsidR="00F3177F" w:rsidRDefault="0089671D">
            <w:pPr>
              <w:pStyle w:val="TableParagraph"/>
              <w:spacing w:before="1"/>
              <w:ind w:left="160"/>
              <w:rPr>
                <w:sz w:val="24"/>
              </w:rPr>
            </w:pPr>
            <w:r>
              <w:rPr>
                <w:sz w:val="24"/>
              </w:rPr>
              <w:t>69.444</w:t>
            </w:r>
          </w:p>
        </w:tc>
        <w:tc>
          <w:tcPr>
            <w:tcW w:w="1428" w:type="dxa"/>
          </w:tcPr>
          <w:p w:rsidR="00F3177F" w:rsidRDefault="00F3177F">
            <w:pPr>
              <w:pStyle w:val="TableParagraph"/>
              <w:spacing w:before="8"/>
              <w:rPr>
                <w:sz w:val="29"/>
              </w:rPr>
            </w:pPr>
          </w:p>
          <w:p w:rsidR="00F3177F" w:rsidRDefault="0089671D">
            <w:pPr>
              <w:pStyle w:val="TableParagraph"/>
              <w:spacing w:before="1"/>
              <w:ind w:left="118" w:right="120"/>
              <w:jc w:val="center"/>
              <w:rPr>
                <w:sz w:val="24"/>
              </w:rPr>
            </w:pPr>
            <w:r>
              <w:rPr>
                <w:sz w:val="24"/>
              </w:rPr>
              <w:t>189262.195</w:t>
            </w:r>
          </w:p>
        </w:tc>
        <w:tc>
          <w:tcPr>
            <w:tcW w:w="720" w:type="dxa"/>
            <w:vMerge w:val="restart"/>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spacing w:before="8"/>
              <w:rPr>
                <w:sz w:val="23"/>
              </w:rPr>
            </w:pPr>
          </w:p>
          <w:p w:rsidR="00F3177F" w:rsidRDefault="0089671D">
            <w:pPr>
              <w:pStyle w:val="TableParagraph"/>
              <w:ind w:left="232"/>
              <w:rPr>
                <w:sz w:val="24"/>
              </w:rPr>
            </w:pPr>
            <w:r>
              <w:rPr>
                <w:sz w:val="24"/>
              </w:rPr>
              <w:t>55</w:t>
            </w:r>
          </w:p>
        </w:tc>
        <w:tc>
          <w:tcPr>
            <w:tcW w:w="977"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206"/>
              <w:rPr>
                <w:sz w:val="20"/>
              </w:rPr>
            </w:pPr>
            <w:r>
              <w:rPr>
                <w:sz w:val="20"/>
              </w:rPr>
              <w:t>0.6383</w:t>
            </w:r>
          </w:p>
        </w:tc>
        <w:tc>
          <w:tcPr>
            <w:tcW w:w="1068"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10"/>
              <w:rPr>
                <w:sz w:val="17"/>
              </w:rPr>
            </w:pPr>
          </w:p>
          <w:p w:rsidR="00F3177F" w:rsidRDefault="0089671D">
            <w:pPr>
              <w:pStyle w:val="TableParagraph"/>
              <w:ind w:left="254"/>
              <w:rPr>
                <w:sz w:val="20"/>
              </w:rPr>
            </w:pPr>
            <w:r>
              <w:rPr>
                <w:sz w:val="20"/>
              </w:rPr>
              <w:t>0.4074</w:t>
            </w:r>
          </w:p>
        </w:tc>
      </w:tr>
      <w:tr w:rsidR="00F3177F">
        <w:trPr>
          <w:trHeight w:hRule="exact" w:val="955"/>
        </w:trPr>
        <w:tc>
          <w:tcPr>
            <w:tcW w:w="2057" w:type="dxa"/>
          </w:tcPr>
          <w:p w:rsidR="00F3177F" w:rsidRDefault="0089671D">
            <w:pPr>
              <w:pStyle w:val="TableParagraph"/>
              <w:spacing w:before="52" w:line="276" w:lineRule="exact"/>
              <w:ind w:left="103" w:right="218"/>
              <w:rPr>
                <w:sz w:val="24"/>
              </w:rPr>
            </w:pPr>
            <w:r>
              <w:rPr>
                <w:sz w:val="24"/>
              </w:rPr>
              <w:t>Y=Annual CO</w:t>
            </w:r>
            <w:r>
              <w:rPr>
                <w:position w:val="-2"/>
                <w:sz w:val="16"/>
              </w:rPr>
              <w:t xml:space="preserve">2 </w:t>
            </w:r>
            <w:r>
              <w:rPr>
                <w:sz w:val="24"/>
              </w:rPr>
              <w:t>emission per Unit Area</w:t>
            </w:r>
          </w:p>
        </w:tc>
        <w:tc>
          <w:tcPr>
            <w:tcW w:w="1373" w:type="dxa"/>
          </w:tcPr>
          <w:p w:rsidR="00F3177F" w:rsidRDefault="00F3177F">
            <w:pPr>
              <w:pStyle w:val="TableParagraph"/>
              <w:spacing w:before="3"/>
              <w:rPr>
                <w:sz w:val="28"/>
              </w:rPr>
            </w:pPr>
          </w:p>
          <w:p w:rsidR="00F3177F" w:rsidRDefault="0089671D">
            <w:pPr>
              <w:pStyle w:val="TableParagraph"/>
              <w:ind w:left="235" w:right="235"/>
              <w:jc w:val="center"/>
              <w:rPr>
                <w:sz w:val="24"/>
              </w:rPr>
            </w:pPr>
            <w:r>
              <w:rPr>
                <w:sz w:val="24"/>
              </w:rPr>
              <w:t>753.8</w:t>
            </w:r>
          </w:p>
        </w:tc>
        <w:tc>
          <w:tcPr>
            <w:tcW w:w="996" w:type="dxa"/>
          </w:tcPr>
          <w:p w:rsidR="00F3177F" w:rsidRDefault="00F3177F">
            <w:pPr>
              <w:pStyle w:val="TableParagraph"/>
              <w:spacing w:before="3"/>
              <w:rPr>
                <w:sz w:val="28"/>
              </w:rPr>
            </w:pPr>
          </w:p>
          <w:p w:rsidR="00F3177F" w:rsidRDefault="0089671D">
            <w:pPr>
              <w:pStyle w:val="TableParagraph"/>
              <w:ind w:left="160"/>
              <w:rPr>
                <w:sz w:val="24"/>
              </w:rPr>
            </w:pPr>
            <w:r>
              <w:rPr>
                <w:sz w:val="24"/>
              </w:rPr>
              <w:t>13.705</w:t>
            </w:r>
          </w:p>
        </w:tc>
        <w:tc>
          <w:tcPr>
            <w:tcW w:w="1428" w:type="dxa"/>
          </w:tcPr>
          <w:p w:rsidR="00F3177F" w:rsidRDefault="00F3177F">
            <w:pPr>
              <w:pStyle w:val="TableParagraph"/>
              <w:spacing w:before="3"/>
              <w:rPr>
                <w:sz w:val="28"/>
              </w:rPr>
            </w:pPr>
          </w:p>
          <w:p w:rsidR="00F3177F" w:rsidRDefault="0089671D">
            <w:pPr>
              <w:pStyle w:val="TableParagraph"/>
              <w:ind w:left="118" w:right="120"/>
              <w:jc w:val="center"/>
              <w:rPr>
                <w:sz w:val="24"/>
              </w:rPr>
            </w:pPr>
            <w:r>
              <w:rPr>
                <w:sz w:val="24"/>
              </w:rPr>
              <w:t>9929.608</w:t>
            </w:r>
          </w:p>
        </w:tc>
        <w:tc>
          <w:tcPr>
            <w:tcW w:w="720" w:type="dxa"/>
            <w:vMerge/>
          </w:tcPr>
          <w:p w:rsidR="00F3177F" w:rsidRDefault="00F3177F"/>
        </w:tc>
        <w:tc>
          <w:tcPr>
            <w:tcW w:w="977" w:type="dxa"/>
            <w:vMerge/>
          </w:tcPr>
          <w:p w:rsidR="00F3177F" w:rsidRDefault="00F3177F"/>
        </w:tc>
        <w:tc>
          <w:tcPr>
            <w:tcW w:w="1068" w:type="dxa"/>
            <w:vMerge/>
          </w:tcPr>
          <w:p w:rsidR="00F3177F" w:rsidRDefault="00F3177F"/>
        </w:tc>
      </w:tr>
      <w:tr w:rsidR="00F3177F">
        <w:trPr>
          <w:trHeight w:hRule="exact" w:val="562"/>
        </w:trPr>
        <w:tc>
          <w:tcPr>
            <w:tcW w:w="2057" w:type="dxa"/>
          </w:tcPr>
          <w:p w:rsidR="00F3177F" w:rsidRDefault="0089671D">
            <w:pPr>
              <w:pStyle w:val="TableParagraph"/>
              <w:ind w:left="103" w:right="924"/>
              <w:rPr>
                <w:sz w:val="24"/>
              </w:rPr>
            </w:pPr>
            <w:r>
              <w:rPr>
                <w:sz w:val="24"/>
              </w:rPr>
              <w:t>X and Y Combined</w:t>
            </w:r>
          </w:p>
        </w:tc>
        <w:tc>
          <w:tcPr>
            <w:tcW w:w="1373" w:type="dxa"/>
          </w:tcPr>
          <w:p w:rsidR="00F3177F" w:rsidRDefault="0089671D">
            <w:pPr>
              <w:pStyle w:val="TableParagraph"/>
              <w:spacing w:before="154"/>
              <w:ind w:left="235" w:right="237"/>
              <w:jc w:val="center"/>
              <w:rPr>
                <w:sz w:val="20"/>
              </w:rPr>
            </w:pPr>
            <w:r>
              <w:rPr>
                <w:sz w:val="20"/>
              </w:rPr>
              <w:t>27670.857</w:t>
            </w:r>
          </w:p>
        </w:tc>
        <w:tc>
          <w:tcPr>
            <w:tcW w:w="996" w:type="dxa"/>
          </w:tcPr>
          <w:p w:rsidR="00F3177F" w:rsidRDefault="00F3177F"/>
        </w:tc>
        <w:tc>
          <w:tcPr>
            <w:tcW w:w="1428" w:type="dxa"/>
          </w:tcPr>
          <w:p w:rsidR="00F3177F" w:rsidRDefault="00F3177F"/>
        </w:tc>
        <w:tc>
          <w:tcPr>
            <w:tcW w:w="720" w:type="dxa"/>
            <w:vMerge/>
          </w:tcPr>
          <w:p w:rsidR="00F3177F" w:rsidRDefault="00F3177F"/>
        </w:tc>
        <w:tc>
          <w:tcPr>
            <w:tcW w:w="977" w:type="dxa"/>
            <w:vMerge/>
          </w:tcPr>
          <w:p w:rsidR="00F3177F" w:rsidRDefault="00F3177F"/>
        </w:tc>
        <w:tc>
          <w:tcPr>
            <w:tcW w:w="1068" w:type="dxa"/>
            <w:vMerge/>
          </w:tcPr>
          <w:p w:rsidR="00F3177F" w:rsidRDefault="00F3177F"/>
        </w:tc>
      </w:tr>
    </w:tbl>
    <w:p w:rsidR="00F3177F" w:rsidRDefault="00F3177F">
      <w:pPr>
        <w:pStyle w:val="BodyText"/>
        <w:rPr>
          <w:sz w:val="20"/>
        </w:rPr>
      </w:pPr>
    </w:p>
    <w:p w:rsidR="00F3177F" w:rsidRDefault="0089671D">
      <w:pPr>
        <w:pStyle w:val="BodyText"/>
        <w:spacing w:before="7"/>
        <w:rPr>
          <w:sz w:val="12"/>
        </w:rPr>
      </w:pPr>
      <w:r>
        <w:rPr>
          <w:noProof/>
        </w:rPr>
        <w:drawing>
          <wp:anchor distT="0" distB="0" distL="0" distR="0" simplePos="0" relativeHeight="1768" behindDoc="0" locked="0" layoutInCell="1" allowOverlap="1">
            <wp:simplePos x="0" y="0"/>
            <wp:positionH relativeFrom="page">
              <wp:posOffset>2731770</wp:posOffset>
            </wp:positionH>
            <wp:positionV relativeFrom="paragraph">
              <wp:posOffset>116979</wp:posOffset>
            </wp:positionV>
            <wp:extent cx="2858262" cy="2857500"/>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63" cstate="print"/>
                    <a:stretch>
                      <a:fillRect/>
                    </a:stretch>
                  </pic:blipFill>
                  <pic:spPr>
                    <a:xfrm>
                      <a:off x="0" y="0"/>
                      <a:ext cx="2858262" cy="2857500"/>
                    </a:xfrm>
                    <a:prstGeom prst="rect">
                      <a:avLst/>
                    </a:prstGeom>
                  </pic:spPr>
                </pic:pic>
              </a:graphicData>
            </a:graphic>
          </wp:anchor>
        </w:drawing>
      </w:r>
    </w:p>
    <w:p w:rsidR="00F3177F" w:rsidRDefault="0089671D">
      <w:pPr>
        <w:pStyle w:val="BodyText"/>
        <w:spacing w:before="104" w:line="276" w:lineRule="exact"/>
        <w:ind w:left="584" w:right="218"/>
        <w:jc w:val="both"/>
      </w:pPr>
      <w:r>
        <w:t>Figure 13: Pearson Correlation Coefficient graphic for annual school energy consumption meter square and CO</w:t>
      </w:r>
      <w:r>
        <w:rPr>
          <w:position w:val="-2"/>
          <w:sz w:val="16"/>
        </w:rPr>
        <w:t xml:space="preserve">2 </w:t>
      </w:r>
      <w:r>
        <w:t xml:space="preserve">emission per meter square in the state primary and secondary schools in PCM (X=Annual Energy Consumption per meter square and Y=Annual Energy Consumption per </w:t>
      </w:r>
      <w:proofErr w:type="gramStart"/>
      <w:r>
        <w:t>CO</w:t>
      </w:r>
      <w:r>
        <w:rPr>
          <w:position w:val="-2"/>
          <w:sz w:val="16"/>
        </w:rPr>
        <w:t xml:space="preserve">2  </w:t>
      </w:r>
      <w:r>
        <w:t>emission</w:t>
      </w:r>
      <w:proofErr w:type="gramEnd"/>
      <w:r>
        <w:t xml:space="preserve"> per meter square).</w:t>
      </w:r>
    </w:p>
    <w:p w:rsidR="00F3177F" w:rsidRDefault="00F3177F">
      <w:pPr>
        <w:pStyle w:val="BodyText"/>
        <w:rPr>
          <w:sz w:val="26"/>
        </w:rPr>
      </w:pPr>
    </w:p>
    <w:p w:rsidR="00F3177F" w:rsidRDefault="00F3177F">
      <w:pPr>
        <w:pStyle w:val="BodyText"/>
        <w:spacing w:before="11"/>
        <w:rPr>
          <w:sz w:val="21"/>
        </w:rPr>
      </w:pPr>
    </w:p>
    <w:p w:rsidR="00F3177F" w:rsidRDefault="0089671D">
      <w:pPr>
        <w:pStyle w:val="BodyText"/>
        <w:spacing w:line="360" w:lineRule="auto"/>
        <w:ind w:left="584" w:right="222"/>
        <w:jc w:val="both"/>
      </w:pPr>
      <w:r>
        <w:t xml:space="preserve">Also, Spearman’s Rho was applied to variables. The R value of Spearman’s Rho was calculated as 0.331 with the </w:t>
      </w:r>
      <w:r>
        <w:rPr>
          <w:i/>
        </w:rPr>
        <w:t>p</w:t>
      </w:r>
      <w:r>
        <w:t>-value of 0.01368. The results show that the correlation between annual school energy consumption per student and meter square are not statistically significant. Table 31 below shows Spearman’s Rho Correlation results.</w:t>
      </w:r>
    </w:p>
    <w:p w:rsidR="00F3177F" w:rsidRDefault="00F3177F">
      <w:pPr>
        <w:spacing w:line="360" w:lineRule="auto"/>
        <w:jc w:val="both"/>
        <w:sectPr w:rsidR="00F3177F">
          <w:pgSz w:w="12240" w:h="15840"/>
          <w:pgMar w:top="1380" w:right="1220" w:bottom="2320" w:left="1720" w:header="0" w:footer="2072" w:gutter="0"/>
          <w:cols w:space="720"/>
        </w:sectPr>
      </w:pPr>
    </w:p>
    <w:p w:rsidR="00F3177F" w:rsidRDefault="0089671D" w:rsidP="004D4913">
      <w:pPr>
        <w:pStyle w:val="BodyText"/>
        <w:spacing w:before="52"/>
        <w:ind w:left="584" w:right="244"/>
        <w:jc w:val="both"/>
      </w:pPr>
      <w:r>
        <w:lastRenderedPageBreak/>
        <w:t xml:space="preserve">Table 31: Spearman’s Rho Correlation results for annual school energy </w:t>
      </w:r>
      <w:proofErr w:type="gramStart"/>
      <w:r>
        <w:t>consumption  per</w:t>
      </w:r>
      <w:proofErr w:type="gramEnd"/>
      <w:r>
        <w:t xml:space="preserve"> student and meter</w:t>
      </w:r>
      <w:r>
        <w:rPr>
          <w:spacing w:val="-4"/>
        </w:rPr>
        <w:t xml:space="preserve"> </w:t>
      </w:r>
      <w:r>
        <w:t>square</w:t>
      </w:r>
    </w:p>
    <w:p w:rsidR="00F3177F" w:rsidRDefault="00F3177F">
      <w:pPr>
        <w:pStyle w:val="BodyText"/>
        <w:spacing w:before="8"/>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5"/>
        <w:gridCol w:w="991"/>
        <w:gridCol w:w="1349"/>
        <w:gridCol w:w="1620"/>
        <w:gridCol w:w="1352"/>
        <w:gridCol w:w="1349"/>
      </w:tblGrid>
      <w:tr w:rsidR="00F3177F">
        <w:trPr>
          <w:trHeight w:hRule="exact" w:val="562"/>
        </w:trPr>
        <w:tc>
          <w:tcPr>
            <w:tcW w:w="1815" w:type="dxa"/>
          </w:tcPr>
          <w:p w:rsidR="00F3177F" w:rsidRDefault="00F3177F"/>
        </w:tc>
        <w:tc>
          <w:tcPr>
            <w:tcW w:w="991" w:type="dxa"/>
          </w:tcPr>
          <w:p w:rsidR="00F3177F" w:rsidRDefault="0089671D">
            <w:pPr>
              <w:pStyle w:val="TableParagraph"/>
              <w:spacing w:before="131"/>
              <w:ind w:left="196" w:right="198"/>
              <w:jc w:val="center"/>
              <w:rPr>
                <w:sz w:val="24"/>
              </w:rPr>
            </w:pPr>
            <w:r>
              <w:rPr>
                <w:sz w:val="24"/>
              </w:rPr>
              <w:t>Mean</w:t>
            </w:r>
          </w:p>
        </w:tc>
        <w:tc>
          <w:tcPr>
            <w:tcW w:w="1349" w:type="dxa"/>
          </w:tcPr>
          <w:p w:rsidR="00F3177F" w:rsidRDefault="0089671D">
            <w:pPr>
              <w:pStyle w:val="TableParagraph"/>
              <w:ind w:left="194" w:right="178" w:firstLine="45"/>
              <w:rPr>
                <w:sz w:val="24"/>
              </w:rPr>
            </w:pPr>
            <w:r>
              <w:rPr>
                <w:sz w:val="24"/>
              </w:rPr>
              <w:t>Standard Deviation</w:t>
            </w:r>
          </w:p>
        </w:tc>
        <w:tc>
          <w:tcPr>
            <w:tcW w:w="1620" w:type="dxa"/>
          </w:tcPr>
          <w:p w:rsidR="00F3177F" w:rsidRDefault="0089671D">
            <w:pPr>
              <w:pStyle w:val="TableParagraph"/>
              <w:ind w:left="259" w:right="239" w:firstLine="45"/>
              <w:rPr>
                <w:sz w:val="24"/>
              </w:rPr>
            </w:pPr>
            <w:r>
              <w:rPr>
                <w:sz w:val="24"/>
              </w:rPr>
              <w:t>Combined Covariance</w:t>
            </w:r>
          </w:p>
        </w:tc>
        <w:tc>
          <w:tcPr>
            <w:tcW w:w="1352" w:type="dxa"/>
          </w:tcPr>
          <w:p w:rsidR="00F3177F" w:rsidRDefault="0089671D">
            <w:pPr>
              <w:pStyle w:val="TableParagraph"/>
              <w:spacing w:before="131"/>
              <w:ind w:right="4"/>
              <w:jc w:val="center"/>
              <w:rPr>
                <w:sz w:val="24"/>
              </w:rPr>
            </w:pPr>
            <w:r>
              <w:rPr>
                <w:sz w:val="24"/>
              </w:rPr>
              <w:t>R</w:t>
            </w:r>
          </w:p>
        </w:tc>
        <w:tc>
          <w:tcPr>
            <w:tcW w:w="1349" w:type="dxa"/>
          </w:tcPr>
          <w:p w:rsidR="00F3177F" w:rsidRDefault="0089671D">
            <w:pPr>
              <w:pStyle w:val="TableParagraph"/>
              <w:spacing w:before="131"/>
              <w:ind w:right="3"/>
              <w:jc w:val="center"/>
              <w:rPr>
                <w:sz w:val="24"/>
              </w:rPr>
            </w:pPr>
            <w:r>
              <w:rPr>
                <w:w w:val="99"/>
                <w:sz w:val="24"/>
              </w:rPr>
              <w:t>P</w:t>
            </w:r>
          </w:p>
        </w:tc>
      </w:tr>
      <w:tr w:rsidR="00F3177F">
        <w:trPr>
          <w:trHeight w:hRule="exact" w:val="986"/>
        </w:trPr>
        <w:tc>
          <w:tcPr>
            <w:tcW w:w="1815" w:type="dxa"/>
          </w:tcPr>
          <w:p w:rsidR="00F3177F" w:rsidRDefault="0089671D">
            <w:pPr>
              <w:pStyle w:val="TableParagraph"/>
              <w:spacing w:before="203"/>
              <w:ind w:left="103" w:right="89"/>
              <w:rPr>
                <w:sz w:val="24"/>
              </w:rPr>
            </w:pPr>
            <w:r>
              <w:rPr>
                <w:sz w:val="24"/>
              </w:rPr>
              <w:t>Spearman’s Rho Correlation</w:t>
            </w:r>
          </w:p>
        </w:tc>
        <w:tc>
          <w:tcPr>
            <w:tcW w:w="991" w:type="dxa"/>
          </w:tcPr>
          <w:p w:rsidR="00F3177F" w:rsidRDefault="00F3177F">
            <w:pPr>
              <w:pStyle w:val="TableParagraph"/>
              <w:spacing w:before="8"/>
              <w:rPr>
                <w:sz w:val="29"/>
              </w:rPr>
            </w:pPr>
          </w:p>
          <w:p w:rsidR="00F3177F" w:rsidRDefault="0089671D">
            <w:pPr>
              <w:pStyle w:val="TableParagraph"/>
              <w:spacing w:before="1"/>
              <w:ind w:left="196" w:right="196"/>
              <w:jc w:val="center"/>
              <w:rPr>
                <w:sz w:val="24"/>
              </w:rPr>
            </w:pPr>
            <w:r>
              <w:rPr>
                <w:sz w:val="24"/>
              </w:rPr>
              <w:t>28</w:t>
            </w:r>
          </w:p>
        </w:tc>
        <w:tc>
          <w:tcPr>
            <w:tcW w:w="1349" w:type="dxa"/>
          </w:tcPr>
          <w:p w:rsidR="00F3177F" w:rsidRDefault="00F3177F">
            <w:pPr>
              <w:pStyle w:val="TableParagraph"/>
              <w:spacing w:before="8"/>
              <w:rPr>
                <w:sz w:val="29"/>
              </w:rPr>
            </w:pPr>
          </w:p>
          <w:p w:rsidR="00F3177F" w:rsidRDefault="0089671D">
            <w:pPr>
              <w:pStyle w:val="TableParagraph"/>
              <w:spacing w:before="1"/>
              <w:ind w:left="396" w:right="178"/>
              <w:rPr>
                <w:sz w:val="24"/>
              </w:rPr>
            </w:pPr>
            <w:r>
              <w:rPr>
                <w:sz w:val="24"/>
              </w:rPr>
              <w:t>16.01</w:t>
            </w:r>
          </w:p>
        </w:tc>
        <w:tc>
          <w:tcPr>
            <w:tcW w:w="1620" w:type="dxa"/>
          </w:tcPr>
          <w:p w:rsidR="00F3177F" w:rsidRDefault="00F3177F">
            <w:pPr>
              <w:pStyle w:val="TableParagraph"/>
              <w:spacing w:before="8"/>
              <w:rPr>
                <w:sz w:val="29"/>
              </w:rPr>
            </w:pPr>
          </w:p>
          <w:p w:rsidR="00F3177F" w:rsidRDefault="0089671D">
            <w:pPr>
              <w:pStyle w:val="TableParagraph"/>
              <w:spacing w:before="1"/>
              <w:ind w:left="535" w:right="239"/>
              <w:rPr>
                <w:sz w:val="24"/>
              </w:rPr>
            </w:pPr>
            <w:r>
              <w:rPr>
                <w:sz w:val="24"/>
              </w:rPr>
              <w:t>84.81</w:t>
            </w:r>
          </w:p>
        </w:tc>
        <w:tc>
          <w:tcPr>
            <w:tcW w:w="1352" w:type="dxa"/>
          </w:tcPr>
          <w:p w:rsidR="00F3177F" w:rsidRDefault="00F3177F">
            <w:pPr>
              <w:pStyle w:val="TableParagraph"/>
              <w:spacing w:before="8"/>
              <w:rPr>
                <w:sz w:val="29"/>
              </w:rPr>
            </w:pPr>
          </w:p>
          <w:p w:rsidR="00F3177F" w:rsidRDefault="0089671D">
            <w:pPr>
              <w:pStyle w:val="TableParagraph"/>
              <w:spacing w:before="1"/>
              <w:ind w:left="259" w:right="262"/>
              <w:jc w:val="center"/>
              <w:rPr>
                <w:sz w:val="24"/>
              </w:rPr>
            </w:pPr>
            <w:r>
              <w:rPr>
                <w:sz w:val="24"/>
              </w:rPr>
              <w:t>0.331</w:t>
            </w:r>
          </w:p>
        </w:tc>
        <w:tc>
          <w:tcPr>
            <w:tcW w:w="1349" w:type="dxa"/>
          </w:tcPr>
          <w:p w:rsidR="00F3177F" w:rsidRDefault="00F3177F">
            <w:pPr>
              <w:pStyle w:val="TableParagraph"/>
              <w:spacing w:before="8"/>
              <w:rPr>
                <w:sz w:val="29"/>
              </w:rPr>
            </w:pPr>
          </w:p>
          <w:p w:rsidR="00F3177F" w:rsidRDefault="0089671D">
            <w:pPr>
              <w:pStyle w:val="TableParagraph"/>
              <w:spacing w:before="1"/>
              <w:ind w:left="257" w:right="262"/>
              <w:jc w:val="center"/>
              <w:rPr>
                <w:sz w:val="24"/>
              </w:rPr>
            </w:pPr>
            <w:r>
              <w:rPr>
                <w:sz w:val="24"/>
              </w:rPr>
              <w:t>0.01368</w:t>
            </w:r>
          </w:p>
        </w:tc>
      </w:tr>
    </w:tbl>
    <w:p w:rsidR="00F3177F" w:rsidRDefault="00F3177F">
      <w:pPr>
        <w:pStyle w:val="BodyText"/>
        <w:rPr>
          <w:sz w:val="20"/>
        </w:rPr>
      </w:pPr>
    </w:p>
    <w:p w:rsidR="00F3177F" w:rsidRDefault="00F3177F">
      <w:pPr>
        <w:pStyle w:val="BodyText"/>
        <w:spacing w:before="5"/>
        <w:rPr>
          <w:sz w:val="21"/>
        </w:rPr>
      </w:pPr>
    </w:p>
    <w:p w:rsidR="00F3177F" w:rsidRDefault="0089671D">
      <w:pPr>
        <w:pStyle w:val="BodyText"/>
        <w:spacing w:before="70" w:line="360" w:lineRule="auto"/>
        <w:ind w:left="584" w:right="202"/>
        <w:jc w:val="both"/>
      </w:pPr>
      <w:r>
        <w:t>As a result, both Pearson Correlation Coefficient and Spearman’s Rho Correlation calculation results show that there is no statistically significant correlation between annual school energy consumption per student and meter square.</w:t>
      </w:r>
    </w:p>
    <w:p w:rsidR="00F3177F" w:rsidRDefault="00F3177F">
      <w:pPr>
        <w:pStyle w:val="BodyText"/>
      </w:pPr>
    </w:p>
    <w:p w:rsidR="00F3177F" w:rsidRDefault="0089671D">
      <w:pPr>
        <w:pStyle w:val="BodyText"/>
        <w:spacing w:before="143" w:line="338" w:lineRule="auto"/>
        <w:ind w:left="584" w:right="194"/>
        <w:jc w:val="both"/>
      </w:pPr>
      <w:r>
        <w:t>Additionally, Manova test results given in Table 32 and Table 33 below also show that there is no statistically significant correlation among annual school energy consumption per student (kWh/st/yr), annual school energy consumption meter square (kWh/m</w:t>
      </w:r>
      <w:r>
        <w:rPr>
          <w:position w:val="11"/>
          <w:sz w:val="16"/>
        </w:rPr>
        <w:t>2</w:t>
      </w:r>
      <w:r>
        <w:t>/yr) and annual CO</w:t>
      </w:r>
      <w:r>
        <w:rPr>
          <w:position w:val="-2"/>
          <w:sz w:val="16"/>
        </w:rPr>
        <w:t xml:space="preserve">2 </w:t>
      </w:r>
      <w:r>
        <w:t>emission per unit area (kg CO</w:t>
      </w:r>
      <w:r>
        <w:rPr>
          <w:position w:val="-2"/>
          <w:sz w:val="16"/>
        </w:rPr>
        <w:t>2</w:t>
      </w:r>
      <w:r>
        <w:t>/m</w:t>
      </w:r>
      <w:r>
        <w:rPr>
          <w:position w:val="11"/>
          <w:sz w:val="16"/>
        </w:rPr>
        <w:t>2</w:t>
      </w:r>
      <w:r>
        <w:t>/yr).</w:t>
      </w:r>
    </w:p>
    <w:p w:rsidR="00F3177F" w:rsidRDefault="00F3177F">
      <w:pPr>
        <w:pStyle w:val="BodyText"/>
        <w:spacing w:before="6"/>
        <w:rPr>
          <w:sz w:val="32"/>
        </w:rPr>
      </w:pPr>
    </w:p>
    <w:p w:rsidR="00F3177F" w:rsidRDefault="0089671D">
      <w:pPr>
        <w:pStyle w:val="BodyText"/>
        <w:ind w:left="584"/>
        <w:jc w:val="both"/>
      </w:pPr>
      <w:r>
        <w:t>Table 32: Multivariate Tests</w:t>
      </w:r>
      <w:r>
        <w:rPr>
          <w:position w:val="11"/>
          <w:sz w:val="16"/>
        </w:rPr>
        <w:t xml:space="preserve">a </w:t>
      </w:r>
      <w:r>
        <w:t>for the Hypothesis 2</w:t>
      </w:r>
    </w:p>
    <w:p w:rsidR="00F3177F" w:rsidRDefault="00F3177F">
      <w:pPr>
        <w:pStyle w:val="BodyText"/>
        <w:spacing w:before="7"/>
        <w:rPr>
          <w:sz w:val="12"/>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530"/>
        <w:gridCol w:w="720"/>
        <w:gridCol w:w="812"/>
        <w:gridCol w:w="1169"/>
        <w:gridCol w:w="811"/>
        <w:gridCol w:w="1081"/>
        <w:gridCol w:w="1080"/>
      </w:tblGrid>
      <w:tr w:rsidR="00F3177F">
        <w:trPr>
          <w:trHeight w:hRule="exact" w:val="648"/>
        </w:trPr>
        <w:tc>
          <w:tcPr>
            <w:tcW w:w="2881" w:type="dxa"/>
            <w:gridSpan w:val="2"/>
          </w:tcPr>
          <w:p w:rsidR="00F3177F" w:rsidRDefault="00F3177F">
            <w:pPr>
              <w:pStyle w:val="TableParagraph"/>
              <w:spacing w:before="1"/>
              <w:rPr>
                <w:sz w:val="21"/>
              </w:rPr>
            </w:pPr>
          </w:p>
          <w:p w:rsidR="00F3177F" w:rsidRDefault="0089671D">
            <w:pPr>
              <w:pStyle w:val="TableParagraph"/>
              <w:ind w:left="1170" w:right="1171"/>
              <w:jc w:val="center"/>
              <w:rPr>
                <w:sz w:val="20"/>
              </w:rPr>
            </w:pPr>
            <w:r>
              <w:rPr>
                <w:sz w:val="20"/>
              </w:rPr>
              <w:t>Effect</w:t>
            </w:r>
          </w:p>
        </w:tc>
        <w:tc>
          <w:tcPr>
            <w:tcW w:w="720" w:type="dxa"/>
          </w:tcPr>
          <w:p w:rsidR="00F3177F" w:rsidRDefault="00F3177F">
            <w:pPr>
              <w:pStyle w:val="TableParagraph"/>
              <w:spacing w:before="1"/>
              <w:rPr>
                <w:sz w:val="21"/>
              </w:rPr>
            </w:pPr>
          </w:p>
          <w:p w:rsidR="00F3177F" w:rsidRDefault="0089671D">
            <w:pPr>
              <w:pStyle w:val="TableParagraph"/>
              <w:ind w:right="118"/>
              <w:jc w:val="right"/>
              <w:rPr>
                <w:sz w:val="20"/>
              </w:rPr>
            </w:pPr>
            <w:r>
              <w:rPr>
                <w:sz w:val="20"/>
              </w:rPr>
              <w:t>Value</w:t>
            </w:r>
          </w:p>
        </w:tc>
        <w:tc>
          <w:tcPr>
            <w:tcW w:w="812" w:type="dxa"/>
          </w:tcPr>
          <w:p w:rsidR="00F3177F" w:rsidRDefault="00F3177F">
            <w:pPr>
              <w:pStyle w:val="TableParagraph"/>
              <w:spacing w:before="1"/>
              <w:rPr>
                <w:sz w:val="21"/>
              </w:rPr>
            </w:pPr>
          </w:p>
          <w:p w:rsidR="00F3177F" w:rsidRDefault="0089671D">
            <w:pPr>
              <w:pStyle w:val="TableParagraph"/>
              <w:ind w:right="2"/>
              <w:jc w:val="center"/>
              <w:rPr>
                <w:sz w:val="20"/>
              </w:rPr>
            </w:pPr>
            <w:r>
              <w:rPr>
                <w:w w:val="99"/>
                <w:sz w:val="20"/>
              </w:rPr>
              <w:t>F</w:t>
            </w:r>
          </w:p>
        </w:tc>
        <w:tc>
          <w:tcPr>
            <w:tcW w:w="1169" w:type="dxa"/>
          </w:tcPr>
          <w:p w:rsidR="00F3177F" w:rsidRDefault="0089671D">
            <w:pPr>
              <w:pStyle w:val="TableParagraph"/>
              <w:spacing w:before="15" w:line="320" w:lineRule="exact"/>
              <w:ind w:left="496" w:right="29" w:hanging="368"/>
              <w:rPr>
                <w:sz w:val="20"/>
              </w:rPr>
            </w:pPr>
            <w:r>
              <w:rPr>
                <w:w w:val="95"/>
                <w:sz w:val="20"/>
              </w:rPr>
              <w:t xml:space="preserve">Hypothesis </w:t>
            </w:r>
            <w:r>
              <w:rPr>
                <w:sz w:val="20"/>
              </w:rPr>
              <w:t>df</w:t>
            </w:r>
          </w:p>
        </w:tc>
        <w:tc>
          <w:tcPr>
            <w:tcW w:w="811" w:type="dxa"/>
          </w:tcPr>
          <w:p w:rsidR="00F3177F" w:rsidRDefault="00F3177F">
            <w:pPr>
              <w:pStyle w:val="TableParagraph"/>
              <w:spacing w:before="1"/>
              <w:rPr>
                <w:sz w:val="21"/>
              </w:rPr>
            </w:pPr>
          </w:p>
          <w:p w:rsidR="00F3177F" w:rsidRDefault="0089671D">
            <w:pPr>
              <w:pStyle w:val="TableParagraph"/>
              <w:ind w:left="60" w:right="62"/>
              <w:jc w:val="center"/>
              <w:rPr>
                <w:sz w:val="20"/>
              </w:rPr>
            </w:pPr>
            <w:r>
              <w:rPr>
                <w:sz w:val="20"/>
              </w:rPr>
              <w:t>Error df</w:t>
            </w:r>
          </w:p>
        </w:tc>
        <w:tc>
          <w:tcPr>
            <w:tcW w:w="1081" w:type="dxa"/>
          </w:tcPr>
          <w:p w:rsidR="00F3177F" w:rsidRDefault="00F3177F">
            <w:pPr>
              <w:pStyle w:val="TableParagraph"/>
              <w:spacing w:before="1"/>
              <w:rPr>
                <w:sz w:val="21"/>
              </w:rPr>
            </w:pPr>
          </w:p>
          <w:p w:rsidR="00F3177F" w:rsidRDefault="0089671D">
            <w:pPr>
              <w:pStyle w:val="TableParagraph"/>
              <w:ind w:left="88" w:right="88"/>
              <w:jc w:val="center"/>
              <w:rPr>
                <w:sz w:val="20"/>
              </w:rPr>
            </w:pPr>
            <w:r>
              <w:rPr>
                <w:sz w:val="20"/>
              </w:rPr>
              <w:t>Sig.</w:t>
            </w:r>
          </w:p>
        </w:tc>
        <w:tc>
          <w:tcPr>
            <w:tcW w:w="1080" w:type="dxa"/>
          </w:tcPr>
          <w:p w:rsidR="00F3177F" w:rsidRDefault="0089671D">
            <w:pPr>
              <w:pStyle w:val="TableParagraph"/>
              <w:spacing w:before="15" w:line="320" w:lineRule="exact"/>
              <w:ind w:left="206" w:right="97" w:hanging="92"/>
              <w:rPr>
                <w:sz w:val="20"/>
              </w:rPr>
            </w:pPr>
            <w:r>
              <w:rPr>
                <w:sz w:val="20"/>
              </w:rPr>
              <w:t>Partial Eta Squared</w:t>
            </w:r>
          </w:p>
        </w:tc>
      </w:tr>
      <w:tr w:rsidR="00F3177F">
        <w:trPr>
          <w:trHeight w:hRule="exact" w:val="331"/>
        </w:trPr>
        <w:tc>
          <w:tcPr>
            <w:tcW w:w="1351" w:type="dxa"/>
            <w:vMerge w:val="restart"/>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3"/>
              <w:rPr>
                <w:sz w:val="24"/>
              </w:rPr>
            </w:pPr>
          </w:p>
          <w:p w:rsidR="00F3177F" w:rsidRDefault="0089671D">
            <w:pPr>
              <w:pStyle w:val="TableParagraph"/>
              <w:ind w:left="314" w:right="43"/>
              <w:rPr>
                <w:sz w:val="20"/>
              </w:rPr>
            </w:pPr>
            <w:r>
              <w:rPr>
                <w:sz w:val="20"/>
              </w:rPr>
              <w:t>Intercept</w:t>
            </w:r>
          </w:p>
        </w:tc>
        <w:tc>
          <w:tcPr>
            <w:tcW w:w="1529" w:type="dxa"/>
          </w:tcPr>
          <w:p w:rsidR="00F3177F" w:rsidRDefault="0089671D">
            <w:pPr>
              <w:pStyle w:val="TableParagraph"/>
              <w:spacing w:before="87"/>
              <w:ind w:left="60"/>
              <w:rPr>
                <w:sz w:val="20"/>
              </w:rPr>
            </w:pPr>
            <w:r>
              <w:rPr>
                <w:sz w:val="20"/>
              </w:rPr>
              <w:t>Pillai's Trace</w:t>
            </w:r>
          </w:p>
        </w:tc>
        <w:tc>
          <w:tcPr>
            <w:tcW w:w="720" w:type="dxa"/>
          </w:tcPr>
          <w:p w:rsidR="00F3177F" w:rsidRDefault="0089671D">
            <w:pPr>
              <w:pStyle w:val="TableParagraph"/>
              <w:spacing w:before="87"/>
              <w:ind w:right="177"/>
              <w:jc w:val="right"/>
              <w:rPr>
                <w:sz w:val="20"/>
              </w:rPr>
            </w:pPr>
            <w:r>
              <w:rPr>
                <w:sz w:val="20"/>
              </w:rPr>
              <w:t>.822</w:t>
            </w:r>
          </w:p>
        </w:tc>
        <w:tc>
          <w:tcPr>
            <w:tcW w:w="812" w:type="dxa"/>
          </w:tcPr>
          <w:p w:rsidR="00F3177F" w:rsidRDefault="0089671D">
            <w:pPr>
              <w:pStyle w:val="TableParagraph"/>
              <w:spacing w:before="62"/>
              <w:ind w:left="73" w:right="73"/>
              <w:jc w:val="center"/>
              <w:rPr>
                <w:sz w:val="13"/>
              </w:rPr>
            </w:pPr>
            <w:r>
              <w:rPr>
                <w:sz w:val="20"/>
              </w:rPr>
              <w:t>27.757</w:t>
            </w:r>
            <w:r>
              <w:rPr>
                <w:position w:val="9"/>
                <w:sz w:val="13"/>
              </w:rPr>
              <w:t>b</w:t>
            </w:r>
          </w:p>
        </w:tc>
        <w:tc>
          <w:tcPr>
            <w:tcW w:w="1169" w:type="dxa"/>
          </w:tcPr>
          <w:p w:rsidR="00F3177F" w:rsidRDefault="0089671D">
            <w:pPr>
              <w:pStyle w:val="TableParagraph"/>
              <w:spacing w:before="87"/>
              <w:ind w:left="352" w:right="29"/>
              <w:rPr>
                <w:sz w:val="20"/>
              </w:rPr>
            </w:pPr>
            <w:r>
              <w:rPr>
                <w:sz w:val="20"/>
              </w:rPr>
              <w:t>1.000</w:t>
            </w:r>
          </w:p>
        </w:tc>
        <w:tc>
          <w:tcPr>
            <w:tcW w:w="811" w:type="dxa"/>
          </w:tcPr>
          <w:p w:rsidR="00F3177F" w:rsidRDefault="0089671D">
            <w:pPr>
              <w:pStyle w:val="TableParagraph"/>
              <w:spacing w:before="87"/>
              <w:ind w:left="60" w:right="62"/>
              <w:jc w:val="center"/>
              <w:rPr>
                <w:sz w:val="20"/>
              </w:rPr>
            </w:pPr>
            <w:r>
              <w:rPr>
                <w:sz w:val="20"/>
              </w:rPr>
              <w:t>6.000</w:t>
            </w:r>
          </w:p>
        </w:tc>
        <w:tc>
          <w:tcPr>
            <w:tcW w:w="1081" w:type="dxa"/>
          </w:tcPr>
          <w:p w:rsidR="00F3177F" w:rsidRDefault="0089671D">
            <w:pPr>
              <w:pStyle w:val="TableParagraph"/>
              <w:spacing w:before="87"/>
              <w:ind w:left="88" w:right="87"/>
              <w:jc w:val="center"/>
              <w:rPr>
                <w:sz w:val="20"/>
              </w:rPr>
            </w:pPr>
            <w:r>
              <w:rPr>
                <w:sz w:val="20"/>
              </w:rPr>
              <w:t>.002</w:t>
            </w:r>
          </w:p>
        </w:tc>
        <w:tc>
          <w:tcPr>
            <w:tcW w:w="1080" w:type="dxa"/>
          </w:tcPr>
          <w:p w:rsidR="00F3177F" w:rsidRDefault="0089671D">
            <w:pPr>
              <w:pStyle w:val="TableParagraph"/>
              <w:spacing w:before="87"/>
              <w:ind w:left="63" w:right="63"/>
              <w:jc w:val="center"/>
              <w:rPr>
                <w:sz w:val="20"/>
              </w:rPr>
            </w:pPr>
            <w:r>
              <w:rPr>
                <w:sz w:val="20"/>
              </w:rPr>
              <w:t>.822</w:t>
            </w:r>
          </w:p>
        </w:tc>
      </w:tr>
      <w:tr w:rsidR="00F3177F">
        <w:trPr>
          <w:trHeight w:hRule="exact" w:val="329"/>
        </w:trPr>
        <w:tc>
          <w:tcPr>
            <w:tcW w:w="1351" w:type="dxa"/>
            <w:vMerge/>
          </w:tcPr>
          <w:p w:rsidR="00F3177F" w:rsidRDefault="00F3177F"/>
        </w:tc>
        <w:tc>
          <w:tcPr>
            <w:tcW w:w="1529" w:type="dxa"/>
          </w:tcPr>
          <w:p w:rsidR="00F3177F" w:rsidRDefault="0089671D">
            <w:pPr>
              <w:pStyle w:val="TableParagraph"/>
              <w:spacing w:before="84"/>
              <w:ind w:left="60"/>
              <w:rPr>
                <w:sz w:val="20"/>
              </w:rPr>
            </w:pPr>
            <w:r>
              <w:rPr>
                <w:sz w:val="20"/>
              </w:rPr>
              <w:t>Wilks' Lambda</w:t>
            </w:r>
          </w:p>
        </w:tc>
        <w:tc>
          <w:tcPr>
            <w:tcW w:w="720" w:type="dxa"/>
          </w:tcPr>
          <w:p w:rsidR="00F3177F" w:rsidRDefault="0089671D">
            <w:pPr>
              <w:pStyle w:val="TableParagraph"/>
              <w:spacing w:before="84"/>
              <w:ind w:right="177"/>
              <w:jc w:val="right"/>
              <w:rPr>
                <w:sz w:val="20"/>
              </w:rPr>
            </w:pPr>
            <w:r>
              <w:rPr>
                <w:sz w:val="20"/>
              </w:rPr>
              <w:t>.178</w:t>
            </w:r>
          </w:p>
        </w:tc>
        <w:tc>
          <w:tcPr>
            <w:tcW w:w="812" w:type="dxa"/>
          </w:tcPr>
          <w:p w:rsidR="00F3177F" w:rsidRDefault="0089671D">
            <w:pPr>
              <w:pStyle w:val="TableParagraph"/>
              <w:spacing w:before="60"/>
              <w:ind w:left="73" w:right="73"/>
              <w:jc w:val="center"/>
              <w:rPr>
                <w:sz w:val="13"/>
              </w:rPr>
            </w:pPr>
            <w:r>
              <w:rPr>
                <w:sz w:val="20"/>
              </w:rPr>
              <w:t>27.757</w:t>
            </w:r>
            <w:r>
              <w:rPr>
                <w:position w:val="9"/>
                <w:sz w:val="13"/>
              </w:rPr>
              <w:t>b</w:t>
            </w:r>
          </w:p>
        </w:tc>
        <w:tc>
          <w:tcPr>
            <w:tcW w:w="1169" w:type="dxa"/>
          </w:tcPr>
          <w:p w:rsidR="00F3177F" w:rsidRDefault="0089671D">
            <w:pPr>
              <w:pStyle w:val="TableParagraph"/>
              <w:spacing w:before="84"/>
              <w:ind w:left="352" w:right="29"/>
              <w:rPr>
                <w:sz w:val="20"/>
              </w:rPr>
            </w:pPr>
            <w:r>
              <w:rPr>
                <w:sz w:val="20"/>
              </w:rPr>
              <w:t>1.000</w:t>
            </w:r>
          </w:p>
        </w:tc>
        <w:tc>
          <w:tcPr>
            <w:tcW w:w="811" w:type="dxa"/>
          </w:tcPr>
          <w:p w:rsidR="00F3177F" w:rsidRDefault="0089671D">
            <w:pPr>
              <w:pStyle w:val="TableParagraph"/>
              <w:spacing w:before="84"/>
              <w:ind w:left="60" w:right="62"/>
              <w:jc w:val="center"/>
              <w:rPr>
                <w:sz w:val="20"/>
              </w:rPr>
            </w:pPr>
            <w:r>
              <w:rPr>
                <w:sz w:val="20"/>
              </w:rPr>
              <w:t>6.000</w:t>
            </w:r>
          </w:p>
        </w:tc>
        <w:tc>
          <w:tcPr>
            <w:tcW w:w="1081" w:type="dxa"/>
          </w:tcPr>
          <w:p w:rsidR="00F3177F" w:rsidRDefault="0089671D">
            <w:pPr>
              <w:pStyle w:val="TableParagraph"/>
              <w:spacing w:before="84"/>
              <w:ind w:left="88" w:right="87"/>
              <w:jc w:val="center"/>
              <w:rPr>
                <w:sz w:val="20"/>
              </w:rPr>
            </w:pPr>
            <w:r>
              <w:rPr>
                <w:sz w:val="20"/>
              </w:rPr>
              <w:t>.002</w:t>
            </w:r>
          </w:p>
        </w:tc>
        <w:tc>
          <w:tcPr>
            <w:tcW w:w="1080" w:type="dxa"/>
          </w:tcPr>
          <w:p w:rsidR="00F3177F" w:rsidRDefault="0089671D">
            <w:pPr>
              <w:pStyle w:val="TableParagraph"/>
              <w:spacing w:before="84"/>
              <w:ind w:left="63" w:right="63"/>
              <w:jc w:val="center"/>
              <w:rPr>
                <w:sz w:val="20"/>
              </w:rPr>
            </w:pPr>
            <w:r>
              <w:rPr>
                <w:sz w:val="20"/>
              </w:rPr>
              <w:t>.822</w:t>
            </w:r>
          </w:p>
        </w:tc>
      </w:tr>
      <w:tr w:rsidR="00F3177F">
        <w:trPr>
          <w:trHeight w:hRule="exact" w:val="331"/>
        </w:trPr>
        <w:tc>
          <w:tcPr>
            <w:tcW w:w="1351" w:type="dxa"/>
            <w:vMerge/>
          </w:tcPr>
          <w:p w:rsidR="00F3177F" w:rsidRDefault="00F3177F"/>
        </w:tc>
        <w:tc>
          <w:tcPr>
            <w:tcW w:w="1529" w:type="dxa"/>
          </w:tcPr>
          <w:p w:rsidR="00F3177F" w:rsidRDefault="0089671D">
            <w:pPr>
              <w:pStyle w:val="TableParagraph"/>
              <w:spacing w:before="87"/>
              <w:ind w:left="60"/>
              <w:rPr>
                <w:sz w:val="20"/>
              </w:rPr>
            </w:pPr>
            <w:r>
              <w:rPr>
                <w:sz w:val="20"/>
              </w:rPr>
              <w:t>Hotelling's Trace</w:t>
            </w:r>
          </w:p>
        </w:tc>
        <w:tc>
          <w:tcPr>
            <w:tcW w:w="720" w:type="dxa"/>
          </w:tcPr>
          <w:p w:rsidR="00F3177F" w:rsidRDefault="0089671D">
            <w:pPr>
              <w:pStyle w:val="TableParagraph"/>
              <w:spacing w:before="87"/>
              <w:ind w:right="127"/>
              <w:jc w:val="right"/>
              <w:rPr>
                <w:sz w:val="20"/>
              </w:rPr>
            </w:pPr>
            <w:r>
              <w:rPr>
                <w:sz w:val="20"/>
              </w:rPr>
              <w:t>4.626</w:t>
            </w:r>
          </w:p>
        </w:tc>
        <w:tc>
          <w:tcPr>
            <w:tcW w:w="812" w:type="dxa"/>
          </w:tcPr>
          <w:p w:rsidR="00F3177F" w:rsidRDefault="0089671D">
            <w:pPr>
              <w:pStyle w:val="TableParagraph"/>
              <w:spacing w:before="62"/>
              <w:ind w:left="73" w:right="73"/>
              <w:jc w:val="center"/>
              <w:rPr>
                <w:sz w:val="13"/>
              </w:rPr>
            </w:pPr>
            <w:r>
              <w:rPr>
                <w:sz w:val="20"/>
              </w:rPr>
              <w:t>27.757</w:t>
            </w:r>
            <w:r>
              <w:rPr>
                <w:position w:val="9"/>
                <w:sz w:val="13"/>
              </w:rPr>
              <w:t>b</w:t>
            </w:r>
          </w:p>
        </w:tc>
        <w:tc>
          <w:tcPr>
            <w:tcW w:w="1169" w:type="dxa"/>
          </w:tcPr>
          <w:p w:rsidR="00F3177F" w:rsidRDefault="0089671D">
            <w:pPr>
              <w:pStyle w:val="TableParagraph"/>
              <w:spacing w:before="87"/>
              <w:ind w:left="352" w:right="29"/>
              <w:rPr>
                <w:sz w:val="20"/>
              </w:rPr>
            </w:pPr>
            <w:r>
              <w:rPr>
                <w:sz w:val="20"/>
              </w:rPr>
              <w:t>1.000</w:t>
            </w:r>
          </w:p>
        </w:tc>
        <w:tc>
          <w:tcPr>
            <w:tcW w:w="811" w:type="dxa"/>
          </w:tcPr>
          <w:p w:rsidR="00F3177F" w:rsidRDefault="0089671D">
            <w:pPr>
              <w:pStyle w:val="TableParagraph"/>
              <w:spacing w:before="87"/>
              <w:ind w:left="60" w:right="62"/>
              <w:jc w:val="center"/>
              <w:rPr>
                <w:sz w:val="20"/>
              </w:rPr>
            </w:pPr>
            <w:r>
              <w:rPr>
                <w:sz w:val="20"/>
              </w:rPr>
              <w:t>6.000</w:t>
            </w:r>
          </w:p>
        </w:tc>
        <w:tc>
          <w:tcPr>
            <w:tcW w:w="1081" w:type="dxa"/>
          </w:tcPr>
          <w:p w:rsidR="00F3177F" w:rsidRDefault="0089671D">
            <w:pPr>
              <w:pStyle w:val="TableParagraph"/>
              <w:spacing w:before="87"/>
              <w:ind w:left="88" w:right="87"/>
              <w:jc w:val="center"/>
              <w:rPr>
                <w:sz w:val="20"/>
              </w:rPr>
            </w:pPr>
            <w:r>
              <w:rPr>
                <w:sz w:val="20"/>
              </w:rPr>
              <w:t>.002</w:t>
            </w:r>
          </w:p>
        </w:tc>
        <w:tc>
          <w:tcPr>
            <w:tcW w:w="1080" w:type="dxa"/>
          </w:tcPr>
          <w:p w:rsidR="00F3177F" w:rsidRDefault="0089671D">
            <w:pPr>
              <w:pStyle w:val="TableParagraph"/>
              <w:spacing w:before="87"/>
              <w:ind w:left="63" w:right="63"/>
              <w:jc w:val="center"/>
              <w:rPr>
                <w:sz w:val="20"/>
              </w:rPr>
            </w:pPr>
            <w:r>
              <w:rPr>
                <w:sz w:val="20"/>
              </w:rPr>
              <w:t>.822</w:t>
            </w:r>
          </w:p>
        </w:tc>
      </w:tr>
      <w:tr w:rsidR="00F3177F">
        <w:trPr>
          <w:trHeight w:hRule="exact" w:val="650"/>
        </w:trPr>
        <w:tc>
          <w:tcPr>
            <w:tcW w:w="1351" w:type="dxa"/>
            <w:vMerge/>
          </w:tcPr>
          <w:p w:rsidR="00F3177F" w:rsidRDefault="00F3177F"/>
        </w:tc>
        <w:tc>
          <w:tcPr>
            <w:tcW w:w="1529" w:type="dxa"/>
          </w:tcPr>
          <w:p w:rsidR="00F3177F" w:rsidRDefault="0089671D">
            <w:pPr>
              <w:pStyle w:val="TableParagraph"/>
              <w:spacing w:before="15" w:line="320" w:lineRule="exact"/>
              <w:ind w:left="60"/>
              <w:rPr>
                <w:sz w:val="20"/>
              </w:rPr>
            </w:pPr>
            <w:r>
              <w:rPr>
                <w:sz w:val="20"/>
              </w:rPr>
              <w:t>Roy's Largest Root</w:t>
            </w:r>
          </w:p>
        </w:tc>
        <w:tc>
          <w:tcPr>
            <w:tcW w:w="720" w:type="dxa"/>
          </w:tcPr>
          <w:p w:rsidR="00F3177F" w:rsidRDefault="00F3177F">
            <w:pPr>
              <w:pStyle w:val="TableParagraph"/>
              <w:spacing w:before="3"/>
              <w:rPr>
                <w:sz w:val="21"/>
              </w:rPr>
            </w:pPr>
          </w:p>
          <w:p w:rsidR="00F3177F" w:rsidRDefault="0089671D">
            <w:pPr>
              <w:pStyle w:val="TableParagraph"/>
              <w:spacing w:before="1"/>
              <w:ind w:right="127"/>
              <w:jc w:val="right"/>
              <w:rPr>
                <w:sz w:val="20"/>
              </w:rPr>
            </w:pPr>
            <w:r>
              <w:rPr>
                <w:sz w:val="20"/>
              </w:rPr>
              <w:t>4.626</w:t>
            </w:r>
          </w:p>
        </w:tc>
        <w:tc>
          <w:tcPr>
            <w:tcW w:w="812" w:type="dxa"/>
          </w:tcPr>
          <w:p w:rsidR="00F3177F" w:rsidRDefault="00F3177F">
            <w:pPr>
              <w:pStyle w:val="TableParagraph"/>
              <w:spacing w:before="2"/>
              <w:rPr>
                <w:sz w:val="19"/>
              </w:rPr>
            </w:pPr>
          </w:p>
          <w:p w:rsidR="00F3177F" w:rsidRDefault="0089671D">
            <w:pPr>
              <w:pStyle w:val="TableParagraph"/>
              <w:ind w:left="73" w:right="73"/>
              <w:jc w:val="center"/>
              <w:rPr>
                <w:sz w:val="13"/>
              </w:rPr>
            </w:pPr>
            <w:r>
              <w:rPr>
                <w:sz w:val="20"/>
              </w:rPr>
              <w:t>27.757</w:t>
            </w:r>
            <w:r>
              <w:rPr>
                <w:position w:val="9"/>
                <w:sz w:val="13"/>
              </w:rPr>
              <w:t>b</w:t>
            </w:r>
          </w:p>
        </w:tc>
        <w:tc>
          <w:tcPr>
            <w:tcW w:w="1169" w:type="dxa"/>
          </w:tcPr>
          <w:p w:rsidR="00F3177F" w:rsidRDefault="00F3177F">
            <w:pPr>
              <w:pStyle w:val="TableParagraph"/>
              <w:spacing w:before="3"/>
              <w:rPr>
                <w:sz w:val="21"/>
              </w:rPr>
            </w:pPr>
          </w:p>
          <w:p w:rsidR="00F3177F" w:rsidRDefault="0089671D">
            <w:pPr>
              <w:pStyle w:val="TableParagraph"/>
              <w:spacing w:before="1"/>
              <w:ind w:left="352" w:right="29"/>
              <w:rPr>
                <w:sz w:val="20"/>
              </w:rPr>
            </w:pPr>
            <w:r>
              <w:rPr>
                <w:sz w:val="20"/>
              </w:rPr>
              <w:t>1.000</w:t>
            </w:r>
          </w:p>
        </w:tc>
        <w:tc>
          <w:tcPr>
            <w:tcW w:w="811" w:type="dxa"/>
          </w:tcPr>
          <w:p w:rsidR="00F3177F" w:rsidRDefault="00F3177F">
            <w:pPr>
              <w:pStyle w:val="TableParagraph"/>
              <w:spacing w:before="3"/>
              <w:rPr>
                <w:sz w:val="21"/>
              </w:rPr>
            </w:pPr>
          </w:p>
          <w:p w:rsidR="00F3177F" w:rsidRDefault="0089671D">
            <w:pPr>
              <w:pStyle w:val="TableParagraph"/>
              <w:spacing w:before="1"/>
              <w:ind w:left="60" w:right="62"/>
              <w:jc w:val="center"/>
              <w:rPr>
                <w:sz w:val="20"/>
              </w:rPr>
            </w:pPr>
            <w:r>
              <w:rPr>
                <w:sz w:val="20"/>
              </w:rPr>
              <w:t>6.000</w:t>
            </w:r>
          </w:p>
        </w:tc>
        <w:tc>
          <w:tcPr>
            <w:tcW w:w="1081" w:type="dxa"/>
          </w:tcPr>
          <w:p w:rsidR="00F3177F" w:rsidRDefault="00F3177F">
            <w:pPr>
              <w:pStyle w:val="TableParagraph"/>
              <w:spacing w:before="3"/>
              <w:rPr>
                <w:sz w:val="21"/>
              </w:rPr>
            </w:pPr>
          </w:p>
          <w:p w:rsidR="00F3177F" w:rsidRDefault="0089671D">
            <w:pPr>
              <w:pStyle w:val="TableParagraph"/>
              <w:spacing w:before="1"/>
              <w:ind w:left="88" w:right="87"/>
              <w:jc w:val="center"/>
              <w:rPr>
                <w:sz w:val="20"/>
              </w:rPr>
            </w:pPr>
            <w:r>
              <w:rPr>
                <w:sz w:val="20"/>
              </w:rPr>
              <w:t>.002</w:t>
            </w:r>
          </w:p>
        </w:tc>
        <w:tc>
          <w:tcPr>
            <w:tcW w:w="1080" w:type="dxa"/>
          </w:tcPr>
          <w:p w:rsidR="00F3177F" w:rsidRDefault="00F3177F">
            <w:pPr>
              <w:pStyle w:val="TableParagraph"/>
              <w:spacing w:before="3"/>
              <w:rPr>
                <w:sz w:val="21"/>
              </w:rPr>
            </w:pPr>
          </w:p>
          <w:p w:rsidR="00F3177F" w:rsidRDefault="0089671D">
            <w:pPr>
              <w:pStyle w:val="TableParagraph"/>
              <w:spacing w:before="1"/>
              <w:ind w:left="63" w:right="63"/>
              <w:jc w:val="center"/>
              <w:rPr>
                <w:sz w:val="20"/>
              </w:rPr>
            </w:pPr>
            <w:r>
              <w:rPr>
                <w:sz w:val="20"/>
              </w:rPr>
              <w:t>.822</w:t>
            </w:r>
          </w:p>
        </w:tc>
      </w:tr>
      <w:tr w:rsidR="00F3177F">
        <w:trPr>
          <w:trHeight w:hRule="exact" w:val="329"/>
        </w:trPr>
        <w:tc>
          <w:tcPr>
            <w:tcW w:w="1351" w:type="dxa"/>
            <w:vMerge w:val="restart"/>
          </w:tcPr>
          <w:p w:rsidR="00F3177F" w:rsidRDefault="00F3177F">
            <w:pPr>
              <w:pStyle w:val="TableParagraph"/>
              <w:rPr>
                <w:sz w:val="20"/>
              </w:rPr>
            </w:pPr>
          </w:p>
          <w:p w:rsidR="00F3177F" w:rsidRDefault="00F3177F">
            <w:pPr>
              <w:pStyle w:val="TableParagraph"/>
              <w:spacing w:before="4"/>
              <w:rPr>
                <w:sz w:val="16"/>
              </w:rPr>
            </w:pPr>
          </w:p>
          <w:p w:rsidR="00F3177F" w:rsidRDefault="0089671D">
            <w:pPr>
              <w:pStyle w:val="TableParagraph"/>
              <w:spacing w:line="333" w:lineRule="auto"/>
              <w:ind w:left="120" w:right="43" w:hanging="58"/>
              <w:rPr>
                <w:sz w:val="20"/>
              </w:rPr>
            </w:pPr>
            <w:r>
              <w:rPr>
                <w:sz w:val="20"/>
              </w:rPr>
              <w:t>Annual Energy Consumption per Unit Area</w:t>
            </w:r>
          </w:p>
        </w:tc>
        <w:tc>
          <w:tcPr>
            <w:tcW w:w="1529" w:type="dxa"/>
          </w:tcPr>
          <w:p w:rsidR="00F3177F" w:rsidRDefault="0089671D">
            <w:pPr>
              <w:pStyle w:val="TableParagraph"/>
              <w:spacing w:before="84"/>
              <w:ind w:left="60"/>
              <w:rPr>
                <w:sz w:val="20"/>
              </w:rPr>
            </w:pPr>
            <w:r>
              <w:rPr>
                <w:sz w:val="20"/>
              </w:rPr>
              <w:t>Pillai's Trace</w:t>
            </w:r>
          </w:p>
        </w:tc>
        <w:tc>
          <w:tcPr>
            <w:tcW w:w="720" w:type="dxa"/>
          </w:tcPr>
          <w:p w:rsidR="00F3177F" w:rsidRDefault="0089671D">
            <w:pPr>
              <w:pStyle w:val="TableParagraph"/>
              <w:spacing w:before="84"/>
              <w:ind w:right="177"/>
              <w:jc w:val="right"/>
              <w:rPr>
                <w:sz w:val="20"/>
              </w:rPr>
            </w:pPr>
            <w:r>
              <w:rPr>
                <w:sz w:val="20"/>
              </w:rPr>
              <w:t>.841</w:t>
            </w:r>
          </w:p>
        </w:tc>
        <w:tc>
          <w:tcPr>
            <w:tcW w:w="812" w:type="dxa"/>
          </w:tcPr>
          <w:p w:rsidR="00F3177F" w:rsidRDefault="0089671D">
            <w:pPr>
              <w:pStyle w:val="TableParagraph"/>
              <w:spacing w:before="60"/>
              <w:ind w:left="73" w:right="73"/>
              <w:jc w:val="center"/>
              <w:rPr>
                <w:sz w:val="13"/>
              </w:rPr>
            </w:pPr>
            <w:r>
              <w:rPr>
                <w:sz w:val="20"/>
              </w:rPr>
              <w:t>.659</w:t>
            </w:r>
            <w:r>
              <w:rPr>
                <w:position w:val="9"/>
                <w:sz w:val="13"/>
              </w:rPr>
              <w:t>b</w:t>
            </w:r>
          </w:p>
        </w:tc>
        <w:tc>
          <w:tcPr>
            <w:tcW w:w="1169" w:type="dxa"/>
          </w:tcPr>
          <w:p w:rsidR="00F3177F" w:rsidRDefault="0089671D">
            <w:pPr>
              <w:pStyle w:val="TableParagraph"/>
              <w:spacing w:before="84"/>
              <w:ind w:left="304" w:right="29"/>
              <w:rPr>
                <w:sz w:val="20"/>
              </w:rPr>
            </w:pPr>
            <w:r>
              <w:rPr>
                <w:sz w:val="20"/>
              </w:rPr>
              <w:t>48.000</w:t>
            </w:r>
          </w:p>
        </w:tc>
        <w:tc>
          <w:tcPr>
            <w:tcW w:w="811" w:type="dxa"/>
          </w:tcPr>
          <w:p w:rsidR="00F3177F" w:rsidRDefault="0089671D">
            <w:pPr>
              <w:pStyle w:val="TableParagraph"/>
              <w:spacing w:before="84"/>
              <w:ind w:left="60" w:right="62"/>
              <w:jc w:val="center"/>
              <w:rPr>
                <w:sz w:val="20"/>
              </w:rPr>
            </w:pPr>
            <w:r>
              <w:rPr>
                <w:sz w:val="20"/>
              </w:rPr>
              <w:t>6.000</w:t>
            </w:r>
          </w:p>
        </w:tc>
        <w:tc>
          <w:tcPr>
            <w:tcW w:w="1081" w:type="dxa"/>
          </w:tcPr>
          <w:p w:rsidR="00F3177F" w:rsidRDefault="0089671D">
            <w:pPr>
              <w:pStyle w:val="TableParagraph"/>
              <w:spacing w:before="84"/>
              <w:ind w:left="88" w:right="87"/>
              <w:jc w:val="center"/>
              <w:rPr>
                <w:sz w:val="20"/>
              </w:rPr>
            </w:pPr>
            <w:r>
              <w:rPr>
                <w:sz w:val="20"/>
              </w:rPr>
              <w:t>.807</w:t>
            </w:r>
          </w:p>
        </w:tc>
        <w:tc>
          <w:tcPr>
            <w:tcW w:w="1080" w:type="dxa"/>
          </w:tcPr>
          <w:p w:rsidR="00F3177F" w:rsidRDefault="0089671D">
            <w:pPr>
              <w:pStyle w:val="TableParagraph"/>
              <w:spacing w:before="84"/>
              <w:ind w:left="63" w:right="63"/>
              <w:jc w:val="center"/>
              <w:rPr>
                <w:sz w:val="20"/>
              </w:rPr>
            </w:pPr>
            <w:r>
              <w:rPr>
                <w:sz w:val="20"/>
              </w:rPr>
              <w:t>.841</w:t>
            </w:r>
          </w:p>
        </w:tc>
      </w:tr>
      <w:tr w:rsidR="00F3177F">
        <w:trPr>
          <w:trHeight w:hRule="exact" w:val="331"/>
        </w:trPr>
        <w:tc>
          <w:tcPr>
            <w:tcW w:w="1351" w:type="dxa"/>
            <w:vMerge/>
          </w:tcPr>
          <w:p w:rsidR="00F3177F" w:rsidRDefault="00F3177F"/>
        </w:tc>
        <w:tc>
          <w:tcPr>
            <w:tcW w:w="1529" w:type="dxa"/>
          </w:tcPr>
          <w:p w:rsidR="00F3177F" w:rsidRDefault="0089671D">
            <w:pPr>
              <w:pStyle w:val="TableParagraph"/>
              <w:spacing w:before="84"/>
              <w:ind w:left="60"/>
              <w:rPr>
                <w:sz w:val="20"/>
              </w:rPr>
            </w:pPr>
            <w:r>
              <w:rPr>
                <w:sz w:val="20"/>
              </w:rPr>
              <w:t>Wilks' Lambda</w:t>
            </w:r>
          </w:p>
        </w:tc>
        <w:tc>
          <w:tcPr>
            <w:tcW w:w="720" w:type="dxa"/>
          </w:tcPr>
          <w:p w:rsidR="00F3177F" w:rsidRDefault="0089671D">
            <w:pPr>
              <w:pStyle w:val="TableParagraph"/>
              <w:spacing w:before="84"/>
              <w:ind w:right="177"/>
              <w:jc w:val="right"/>
              <w:rPr>
                <w:sz w:val="20"/>
              </w:rPr>
            </w:pPr>
            <w:r>
              <w:rPr>
                <w:sz w:val="20"/>
              </w:rPr>
              <w:t>.159</w:t>
            </w:r>
          </w:p>
        </w:tc>
        <w:tc>
          <w:tcPr>
            <w:tcW w:w="812" w:type="dxa"/>
          </w:tcPr>
          <w:p w:rsidR="00F3177F" w:rsidRDefault="0089671D">
            <w:pPr>
              <w:pStyle w:val="TableParagraph"/>
              <w:spacing w:before="60"/>
              <w:ind w:left="73" w:right="73"/>
              <w:jc w:val="center"/>
              <w:rPr>
                <w:sz w:val="13"/>
              </w:rPr>
            </w:pPr>
            <w:r>
              <w:rPr>
                <w:sz w:val="20"/>
              </w:rPr>
              <w:t>.659</w:t>
            </w:r>
            <w:r>
              <w:rPr>
                <w:position w:val="9"/>
                <w:sz w:val="13"/>
              </w:rPr>
              <w:t>b</w:t>
            </w:r>
          </w:p>
        </w:tc>
        <w:tc>
          <w:tcPr>
            <w:tcW w:w="1169" w:type="dxa"/>
          </w:tcPr>
          <w:p w:rsidR="00F3177F" w:rsidRDefault="0089671D">
            <w:pPr>
              <w:pStyle w:val="TableParagraph"/>
              <w:spacing w:before="84"/>
              <w:ind w:left="304" w:right="29"/>
              <w:rPr>
                <w:sz w:val="20"/>
              </w:rPr>
            </w:pPr>
            <w:r>
              <w:rPr>
                <w:sz w:val="20"/>
              </w:rPr>
              <w:t>48.000</w:t>
            </w:r>
          </w:p>
        </w:tc>
        <w:tc>
          <w:tcPr>
            <w:tcW w:w="811" w:type="dxa"/>
          </w:tcPr>
          <w:p w:rsidR="00F3177F" w:rsidRDefault="0089671D">
            <w:pPr>
              <w:pStyle w:val="TableParagraph"/>
              <w:spacing w:before="84"/>
              <w:ind w:left="60" w:right="62"/>
              <w:jc w:val="center"/>
              <w:rPr>
                <w:sz w:val="20"/>
              </w:rPr>
            </w:pPr>
            <w:r>
              <w:rPr>
                <w:sz w:val="20"/>
              </w:rPr>
              <w:t>6.000</w:t>
            </w:r>
          </w:p>
        </w:tc>
        <w:tc>
          <w:tcPr>
            <w:tcW w:w="1081" w:type="dxa"/>
          </w:tcPr>
          <w:p w:rsidR="00F3177F" w:rsidRDefault="0089671D">
            <w:pPr>
              <w:pStyle w:val="TableParagraph"/>
              <w:spacing w:before="84"/>
              <w:ind w:left="88" w:right="87"/>
              <w:jc w:val="center"/>
              <w:rPr>
                <w:sz w:val="20"/>
              </w:rPr>
            </w:pPr>
            <w:r>
              <w:rPr>
                <w:sz w:val="20"/>
              </w:rPr>
              <w:t>.807</w:t>
            </w:r>
          </w:p>
        </w:tc>
        <w:tc>
          <w:tcPr>
            <w:tcW w:w="1080" w:type="dxa"/>
          </w:tcPr>
          <w:p w:rsidR="00F3177F" w:rsidRDefault="0089671D">
            <w:pPr>
              <w:pStyle w:val="TableParagraph"/>
              <w:spacing w:before="84"/>
              <w:ind w:left="63" w:right="63"/>
              <w:jc w:val="center"/>
              <w:rPr>
                <w:sz w:val="20"/>
              </w:rPr>
            </w:pPr>
            <w:r>
              <w:rPr>
                <w:sz w:val="20"/>
              </w:rPr>
              <w:t>.841</w:t>
            </w:r>
          </w:p>
        </w:tc>
      </w:tr>
      <w:tr w:rsidR="00F3177F">
        <w:trPr>
          <w:trHeight w:hRule="exact" w:val="329"/>
        </w:trPr>
        <w:tc>
          <w:tcPr>
            <w:tcW w:w="1351" w:type="dxa"/>
            <w:vMerge/>
          </w:tcPr>
          <w:p w:rsidR="00F3177F" w:rsidRDefault="00F3177F"/>
        </w:tc>
        <w:tc>
          <w:tcPr>
            <w:tcW w:w="1529" w:type="dxa"/>
          </w:tcPr>
          <w:p w:rsidR="00F3177F" w:rsidRDefault="0089671D">
            <w:pPr>
              <w:pStyle w:val="TableParagraph"/>
              <w:spacing w:before="85"/>
              <w:ind w:left="60"/>
              <w:rPr>
                <w:sz w:val="20"/>
              </w:rPr>
            </w:pPr>
            <w:r>
              <w:rPr>
                <w:sz w:val="20"/>
              </w:rPr>
              <w:t>Hotelling's Trace</w:t>
            </w:r>
          </w:p>
        </w:tc>
        <w:tc>
          <w:tcPr>
            <w:tcW w:w="720" w:type="dxa"/>
          </w:tcPr>
          <w:p w:rsidR="00F3177F" w:rsidRDefault="0089671D">
            <w:pPr>
              <w:pStyle w:val="TableParagraph"/>
              <w:spacing w:before="85"/>
              <w:ind w:right="127"/>
              <w:jc w:val="right"/>
              <w:rPr>
                <w:sz w:val="20"/>
              </w:rPr>
            </w:pPr>
            <w:r>
              <w:rPr>
                <w:sz w:val="20"/>
              </w:rPr>
              <w:t>5.271</w:t>
            </w:r>
          </w:p>
        </w:tc>
        <w:tc>
          <w:tcPr>
            <w:tcW w:w="812" w:type="dxa"/>
          </w:tcPr>
          <w:p w:rsidR="00F3177F" w:rsidRDefault="0089671D">
            <w:pPr>
              <w:pStyle w:val="TableParagraph"/>
              <w:spacing w:before="60"/>
              <w:ind w:left="73" w:right="73"/>
              <w:jc w:val="center"/>
              <w:rPr>
                <w:sz w:val="13"/>
              </w:rPr>
            </w:pPr>
            <w:r>
              <w:rPr>
                <w:sz w:val="20"/>
              </w:rPr>
              <w:t>.659</w:t>
            </w:r>
            <w:r>
              <w:rPr>
                <w:position w:val="9"/>
                <w:sz w:val="13"/>
              </w:rPr>
              <w:t>b</w:t>
            </w:r>
          </w:p>
        </w:tc>
        <w:tc>
          <w:tcPr>
            <w:tcW w:w="1169" w:type="dxa"/>
          </w:tcPr>
          <w:p w:rsidR="00F3177F" w:rsidRDefault="0089671D">
            <w:pPr>
              <w:pStyle w:val="TableParagraph"/>
              <w:spacing w:before="85"/>
              <w:ind w:left="304" w:right="29"/>
              <w:rPr>
                <w:sz w:val="20"/>
              </w:rPr>
            </w:pPr>
            <w:r>
              <w:rPr>
                <w:sz w:val="20"/>
              </w:rPr>
              <w:t>48.000</w:t>
            </w:r>
          </w:p>
        </w:tc>
        <w:tc>
          <w:tcPr>
            <w:tcW w:w="811" w:type="dxa"/>
          </w:tcPr>
          <w:p w:rsidR="00F3177F" w:rsidRDefault="0089671D">
            <w:pPr>
              <w:pStyle w:val="TableParagraph"/>
              <w:spacing w:before="85"/>
              <w:ind w:left="60" w:right="62"/>
              <w:jc w:val="center"/>
              <w:rPr>
                <w:sz w:val="20"/>
              </w:rPr>
            </w:pPr>
            <w:r>
              <w:rPr>
                <w:sz w:val="20"/>
              </w:rPr>
              <w:t>6.000</w:t>
            </w:r>
          </w:p>
        </w:tc>
        <w:tc>
          <w:tcPr>
            <w:tcW w:w="1081" w:type="dxa"/>
          </w:tcPr>
          <w:p w:rsidR="00F3177F" w:rsidRDefault="0089671D">
            <w:pPr>
              <w:pStyle w:val="TableParagraph"/>
              <w:spacing w:before="85"/>
              <w:ind w:left="88" w:right="87"/>
              <w:jc w:val="center"/>
              <w:rPr>
                <w:sz w:val="20"/>
              </w:rPr>
            </w:pPr>
            <w:r>
              <w:rPr>
                <w:sz w:val="20"/>
              </w:rPr>
              <w:t>.807</w:t>
            </w:r>
          </w:p>
        </w:tc>
        <w:tc>
          <w:tcPr>
            <w:tcW w:w="1080" w:type="dxa"/>
          </w:tcPr>
          <w:p w:rsidR="00F3177F" w:rsidRDefault="0089671D">
            <w:pPr>
              <w:pStyle w:val="TableParagraph"/>
              <w:spacing w:before="85"/>
              <w:ind w:left="63" w:right="63"/>
              <w:jc w:val="center"/>
              <w:rPr>
                <w:sz w:val="20"/>
              </w:rPr>
            </w:pPr>
            <w:r>
              <w:rPr>
                <w:sz w:val="20"/>
              </w:rPr>
              <w:t>.841</w:t>
            </w:r>
          </w:p>
        </w:tc>
      </w:tr>
      <w:tr w:rsidR="00F3177F">
        <w:trPr>
          <w:trHeight w:hRule="exact" w:val="650"/>
        </w:trPr>
        <w:tc>
          <w:tcPr>
            <w:tcW w:w="1351" w:type="dxa"/>
            <w:vMerge/>
          </w:tcPr>
          <w:p w:rsidR="00F3177F" w:rsidRDefault="00F3177F"/>
        </w:tc>
        <w:tc>
          <w:tcPr>
            <w:tcW w:w="1529" w:type="dxa"/>
          </w:tcPr>
          <w:p w:rsidR="00F3177F" w:rsidRDefault="0089671D">
            <w:pPr>
              <w:pStyle w:val="TableParagraph"/>
              <w:spacing w:before="13" w:line="322" w:lineRule="exact"/>
              <w:ind w:left="60"/>
              <w:rPr>
                <w:sz w:val="20"/>
              </w:rPr>
            </w:pPr>
            <w:r>
              <w:rPr>
                <w:sz w:val="20"/>
              </w:rPr>
              <w:t>Roy's Largest Root</w:t>
            </w:r>
          </w:p>
        </w:tc>
        <w:tc>
          <w:tcPr>
            <w:tcW w:w="720" w:type="dxa"/>
          </w:tcPr>
          <w:p w:rsidR="00F3177F" w:rsidRDefault="00F3177F">
            <w:pPr>
              <w:pStyle w:val="TableParagraph"/>
              <w:spacing w:before="3"/>
              <w:rPr>
                <w:sz w:val="21"/>
              </w:rPr>
            </w:pPr>
          </w:p>
          <w:p w:rsidR="00F3177F" w:rsidRDefault="0089671D">
            <w:pPr>
              <w:pStyle w:val="TableParagraph"/>
              <w:spacing w:before="1"/>
              <w:ind w:right="127"/>
              <w:jc w:val="right"/>
              <w:rPr>
                <w:sz w:val="20"/>
              </w:rPr>
            </w:pPr>
            <w:r>
              <w:rPr>
                <w:sz w:val="20"/>
              </w:rPr>
              <w:t>5.271</w:t>
            </w:r>
          </w:p>
        </w:tc>
        <w:tc>
          <w:tcPr>
            <w:tcW w:w="812" w:type="dxa"/>
          </w:tcPr>
          <w:p w:rsidR="00F3177F" w:rsidRDefault="00F3177F">
            <w:pPr>
              <w:pStyle w:val="TableParagraph"/>
              <w:spacing w:before="2"/>
              <w:rPr>
                <w:sz w:val="19"/>
              </w:rPr>
            </w:pPr>
          </w:p>
          <w:p w:rsidR="00F3177F" w:rsidRDefault="0089671D">
            <w:pPr>
              <w:pStyle w:val="TableParagraph"/>
              <w:ind w:left="73" w:right="73"/>
              <w:jc w:val="center"/>
              <w:rPr>
                <w:sz w:val="13"/>
              </w:rPr>
            </w:pPr>
            <w:r>
              <w:rPr>
                <w:sz w:val="20"/>
              </w:rPr>
              <w:t>.659</w:t>
            </w:r>
            <w:r>
              <w:rPr>
                <w:position w:val="9"/>
                <w:sz w:val="13"/>
              </w:rPr>
              <w:t>b</w:t>
            </w:r>
          </w:p>
        </w:tc>
        <w:tc>
          <w:tcPr>
            <w:tcW w:w="1169" w:type="dxa"/>
          </w:tcPr>
          <w:p w:rsidR="00F3177F" w:rsidRDefault="00F3177F">
            <w:pPr>
              <w:pStyle w:val="TableParagraph"/>
              <w:spacing w:before="3"/>
              <w:rPr>
                <w:sz w:val="21"/>
              </w:rPr>
            </w:pPr>
          </w:p>
          <w:p w:rsidR="00F3177F" w:rsidRDefault="0089671D">
            <w:pPr>
              <w:pStyle w:val="TableParagraph"/>
              <w:spacing w:before="1"/>
              <w:ind w:left="304" w:right="29"/>
              <w:rPr>
                <w:sz w:val="20"/>
              </w:rPr>
            </w:pPr>
            <w:r>
              <w:rPr>
                <w:sz w:val="20"/>
              </w:rPr>
              <w:t>48.000</w:t>
            </w:r>
          </w:p>
        </w:tc>
        <w:tc>
          <w:tcPr>
            <w:tcW w:w="811" w:type="dxa"/>
          </w:tcPr>
          <w:p w:rsidR="00F3177F" w:rsidRDefault="00F3177F">
            <w:pPr>
              <w:pStyle w:val="TableParagraph"/>
              <w:spacing w:before="3"/>
              <w:rPr>
                <w:sz w:val="21"/>
              </w:rPr>
            </w:pPr>
          </w:p>
          <w:p w:rsidR="00F3177F" w:rsidRDefault="0089671D">
            <w:pPr>
              <w:pStyle w:val="TableParagraph"/>
              <w:spacing w:before="1"/>
              <w:ind w:left="60" w:right="62"/>
              <w:jc w:val="center"/>
              <w:rPr>
                <w:sz w:val="20"/>
              </w:rPr>
            </w:pPr>
            <w:r>
              <w:rPr>
                <w:sz w:val="20"/>
              </w:rPr>
              <w:t>6.000</w:t>
            </w:r>
          </w:p>
        </w:tc>
        <w:tc>
          <w:tcPr>
            <w:tcW w:w="1081" w:type="dxa"/>
          </w:tcPr>
          <w:p w:rsidR="00F3177F" w:rsidRDefault="00F3177F">
            <w:pPr>
              <w:pStyle w:val="TableParagraph"/>
              <w:spacing w:before="3"/>
              <w:rPr>
                <w:sz w:val="21"/>
              </w:rPr>
            </w:pPr>
          </w:p>
          <w:p w:rsidR="00F3177F" w:rsidRDefault="0089671D">
            <w:pPr>
              <w:pStyle w:val="TableParagraph"/>
              <w:spacing w:before="1"/>
              <w:ind w:left="88" w:right="87"/>
              <w:jc w:val="center"/>
              <w:rPr>
                <w:sz w:val="20"/>
              </w:rPr>
            </w:pPr>
            <w:r>
              <w:rPr>
                <w:sz w:val="20"/>
              </w:rPr>
              <w:t>.807</w:t>
            </w:r>
          </w:p>
        </w:tc>
        <w:tc>
          <w:tcPr>
            <w:tcW w:w="1080" w:type="dxa"/>
          </w:tcPr>
          <w:p w:rsidR="00F3177F" w:rsidRDefault="00F3177F">
            <w:pPr>
              <w:pStyle w:val="TableParagraph"/>
              <w:spacing w:before="3"/>
              <w:rPr>
                <w:sz w:val="21"/>
              </w:rPr>
            </w:pPr>
          </w:p>
          <w:p w:rsidR="00F3177F" w:rsidRDefault="0089671D">
            <w:pPr>
              <w:pStyle w:val="TableParagraph"/>
              <w:spacing w:before="1"/>
              <w:ind w:left="63" w:right="63"/>
              <w:jc w:val="center"/>
              <w:rPr>
                <w:sz w:val="20"/>
              </w:rPr>
            </w:pPr>
            <w:r>
              <w:rPr>
                <w:sz w:val="20"/>
              </w:rPr>
              <w:t>.841</w:t>
            </w:r>
          </w:p>
        </w:tc>
      </w:tr>
    </w:tbl>
    <w:p w:rsidR="00F3177F" w:rsidRDefault="0089671D">
      <w:pPr>
        <w:pStyle w:val="ListParagraph"/>
        <w:numPr>
          <w:ilvl w:val="0"/>
          <w:numId w:val="14"/>
        </w:numPr>
        <w:tabs>
          <w:tab w:val="left" w:pos="885"/>
        </w:tabs>
        <w:spacing w:before="37"/>
        <w:rPr>
          <w:sz w:val="24"/>
        </w:rPr>
      </w:pPr>
      <w:r>
        <w:rPr>
          <w:sz w:val="24"/>
        </w:rPr>
        <w:t>Design: Intercept + Annual Energy Consumption per Unit</w:t>
      </w:r>
      <w:r>
        <w:rPr>
          <w:spacing w:val="-14"/>
          <w:sz w:val="24"/>
        </w:rPr>
        <w:t xml:space="preserve"> </w:t>
      </w:r>
      <w:r>
        <w:rPr>
          <w:sz w:val="24"/>
        </w:rPr>
        <w:t>Area</w:t>
      </w:r>
    </w:p>
    <w:p w:rsidR="00F3177F" w:rsidRDefault="0089671D">
      <w:pPr>
        <w:pStyle w:val="ListParagraph"/>
        <w:numPr>
          <w:ilvl w:val="0"/>
          <w:numId w:val="14"/>
        </w:numPr>
        <w:tabs>
          <w:tab w:val="left" w:pos="899"/>
        </w:tabs>
        <w:spacing w:before="45"/>
        <w:ind w:left="898" w:hanging="240"/>
        <w:rPr>
          <w:sz w:val="24"/>
        </w:rPr>
      </w:pPr>
      <w:r>
        <w:rPr>
          <w:sz w:val="24"/>
        </w:rPr>
        <w:t>Exact</w:t>
      </w:r>
      <w:r>
        <w:rPr>
          <w:spacing w:val="-1"/>
          <w:sz w:val="24"/>
        </w:rPr>
        <w:t xml:space="preserve"> </w:t>
      </w:r>
      <w:r>
        <w:rPr>
          <w:sz w:val="24"/>
        </w:rPr>
        <w:t>statistic</w:t>
      </w:r>
    </w:p>
    <w:p w:rsidR="00F3177F" w:rsidRDefault="00F3177F">
      <w:pPr>
        <w:rPr>
          <w:sz w:val="24"/>
        </w:rPr>
        <w:sectPr w:rsidR="00F3177F">
          <w:pgSz w:w="12240" w:h="15840"/>
          <w:pgMar w:top="1380" w:right="1240" w:bottom="2320" w:left="1720" w:header="0" w:footer="2072" w:gutter="0"/>
          <w:cols w:space="720"/>
        </w:sectPr>
      </w:pPr>
    </w:p>
    <w:p w:rsidR="00F3177F" w:rsidRDefault="0089671D">
      <w:pPr>
        <w:pStyle w:val="BodyText"/>
        <w:spacing w:before="52"/>
        <w:ind w:left="584"/>
      </w:pPr>
      <w:r>
        <w:lastRenderedPageBreak/>
        <w:t>Table 33: Tests of Between-Subjects Effects for the Hypothesis 2</w:t>
      </w:r>
    </w:p>
    <w:p w:rsidR="00F3177F" w:rsidRDefault="00F3177F">
      <w:pPr>
        <w:pStyle w:val="BodyText"/>
        <w:spacing w:before="8"/>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981"/>
        <w:gridCol w:w="1440"/>
        <w:gridCol w:w="449"/>
        <w:gridCol w:w="1260"/>
        <w:gridCol w:w="721"/>
        <w:gridCol w:w="720"/>
        <w:gridCol w:w="720"/>
      </w:tblGrid>
      <w:tr w:rsidR="00F3177F">
        <w:trPr>
          <w:trHeight w:hRule="exact" w:val="970"/>
        </w:trPr>
        <w:tc>
          <w:tcPr>
            <w:tcW w:w="1351"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ind w:left="420" w:right="43"/>
              <w:rPr>
                <w:sz w:val="18"/>
              </w:rPr>
            </w:pPr>
            <w:r>
              <w:rPr>
                <w:sz w:val="18"/>
              </w:rPr>
              <w:t>Source</w:t>
            </w:r>
          </w:p>
        </w:tc>
        <w:tc>
          <w:tcPr>
            <w:tcW w:w="1981"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ind w:left="262" w:right="51"/>
              <w:rPr>
                <w:sz w:val="18"/>
              </w:rPr>
            </w:pPr>
            <w:r>
              <w:rPr>
                <w:sz w:val="18"/>
              </w:rPr>
              <w:t>Dependent Variable</w:t>
            </w:r>
          </w:p>
        </w:tc>
        <w:tc>
          <w:tcPr>
            <w:tcW w:w="1440" w:type="dxa"/>
          </w:tcPr>
          <w:p w:rsidR="00F3177F" w:rsidRDefault="00F3177F">
            <w:pPr>
              <w:pStyle w:val="TableParagraph"/>
              <w:spacing w:before="4"/>
              <w:rPr>
                <w:sz w:val="23"/>
              </w:rPr>
            </w:pPr>
          </w:p>
          <w:p w:rsidR="00F3177F" w:rsidRDefault="0089671D">
            <w:pPr>
              <w:pStyle w:val="TableParagraph"/>
              <w:spacing w:line="369" w:lineRule="auto"/>
              <w:ind w:left="429" w:right="113" w:hanging="296"/>
              <w:rPr>
                <w:sz w:val="18"/>
              </w:rPr>
            </w:pPr>
            <w:r>
              <w:rPr>
                <w:sz w:val="18"/>
              </w:rPr>
              <w:t>Type III Sum of Squares</w:t>
            </w:r>
          </w:p>
        </w:tc>
        <w:tc>
          <w:tcPr>
            <w:tcW w:w="449"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ind w:left="143"/>
              <w:rPr>
                <w:sz w:val="18"/>
              </w:rPr>
            </w:pPr>
            <w:r>
              <w:rPr>
                <w:sz w:val="18"/>
              </w:rPr>
              <w:t>df</w:t>
            </w:r>
          </w:p>
        </w:tc>
        <w:tc>
          <w:tcPr>
            <w:tcW w:w="1260"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ind w:left="72" w:right="72"/>
              <w:jc w:val="center"/>
              <w:rPr>
                <w:sz w:val="18"/>
              </w:rPr>
            </w:pPr>
            <w:r>
              <w:rPr>
                <w:sz w:val="18"/>
              </w:rPr>
              <w:t>Mean Square</w:t>
            </w:r>
          </w:p>
        </w:tc>
        <w:tc>
          <w:tcPr>
            <w:tcW w:w="721"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jc w:val="center"/>
              <w:rPr>
                <w:sz w:val="18"/>
              </w:rPr>
            </w:pPr>
            <w:r>
              <w:rPr>
                <w:w w:val="99"/>
                <w:sz w:val="18"/>
              </w:rPr>
              <w:t>F</w:t>
            </w:r>
          </w:p>
        </w:tc>
        <w:tc>
          <w:tcPr>
            <w:tcW w:w="720" w:type="dxa"/>
          </w:tcPr>
          <w:p w:rsidR="00F3177F" w:rsidRDefault="00F3177F">
            <w:pPr>
              <w:pStyle w:val="TableParagraph"/>
              <w:rPr>
                <w:sz w:val="18"/>
              </w:rPr>
            </w:pPr>
          </w:p>
          <w:p w:rsidR="00F3177F" w:rsidRDefault="00F3177F">
            <w:pPr>
              <w:pStyle w:val="TableParagraph"/>
              <w:spacing w:before="1"/>
              <w:rPr>
                <w:sz w:val="19"/>
              </w:rPr>
            </w:pPr>
          </w:p>
          <w:p w:rsidR="00F3177F" w:rsidRDefault="0089671D">
            <w:pPr>
              <w:pStyle w:val="TableParagraph"/>
              <w:ind w:left="39" w:right="40"/>
              <w:jc w:val="center"/>
              <w:rPr>
                <w:sz w:val="18"/>
              </w:rPr>
            </w:pPr>
            <w:r>
              <w:rPr>
                <w:sz w:val="18"/>
              </w:rPr>
              <w:t>Sig.</w:t>
            </w:r>
          </w:p>
        </w:tc>
        <w:tc>
          <w:tcPr>
            <w:tcW w:w="720" w:type="dxa"/>
          </w:tcPr>
          <w:p w:rsidR="00F3177F" w:rsidRDefault="0089671D">
            <w:pPr>
              <w:pStyle w:val="TableParagraph"/>
              <w:spacing w:before="108" w:line="369" w:lineRule="auto"/>
              <w:ind w:left="60" w:right="57" w:hanging="4"/>
              <w:jc w:val="center"/>
              <w:rPr>
                <w:sz w:val="18"/>
              </w:rPr>
            </w:pPr>
            <w:r>
              <w:rPr>
                <w:sz w:val="18"/>
              </w:rPr>
              <w:t>Partial Eta</w:t>
            </w:r>
          </w:p>
          <w:p w:rsidR="00F3177F" w:rsidRDefault="0089671D">
            <w:pPr>
              <w:pStyle w:val="TableParagraph"/>
              <w:spacing w:before="7"/>
              <w:ind w:left="40" w:right="40"/>
              <w:jc w:val="center"/>
              <w:rPr>
                <w:sz w:val="18"/>
              </w:rPr>
            </w:pPr>
            <w:r>
              <w:rPr>
                <w:sz w:val="18"/>
              </w:rPr>
              <w:t>Squared</w:t>
            </w:r>
          </w:p>
        </w:tc>
      </w:tr>
      <w:tr w:rsidR="00F3177F">
        <w:trPr>
          <w:trHeight w:hRule="exact" w:val="650"/>
        </w:trPr>
        <w:tc>
          <w:tcPr>
            <w:tcW w:w="1351" w:type="dxa"/>
            <w:vMerge w:val="restart"/>
          </w:tcPr>
          <w:p w:rsidR="00F3177F" w:rsidRDefault="00F3177F">
            <w:pPr>
              <w:pStyle w:val="TableParagraph"/>
              <w:rPr>
                <w:sz w:val="18"/>
              </w:rPr>
            </w:pPr>
          </w:p>
          <w:p w:rsidR="00F3177F" w:rsidRDefault="00F3177F">
            <w:pPr>
              <w:pStyle w:val="TableParagraph"/>
              <w:spacing w:before="8"/>
              <w:rPr>
                <w:sz w:val="19"/>
              </w:rPr>
            </w:pPr>
          </w:p>
          <w:p w:rsidR="00F3177F" w:rsidRDefault="0089671D">
            <w:pPr>
              <w:pStyle w:val="TableParagraph"/>
              <w:spacing w:before="1" w:line="369" w:lineRule="auto"/>
              <w:ind w:left="434" w:right="297" w:hanging="120"/>
              <w:rPr>
                <w:sz w:val="18"/>
              </w:rPr>
            </w:pPr>
            <w:r>
              <w:rPr>
                <w:sz w:val="18"/>
              </w:rPr>
              <w:t>Corrected Model</w:t>
            </w:r>
          </w:p>
        </w:tc>
        <w:tc>
          <w:tcPr>
            <w:tcW w:w="1981" w:type="dxa"/>
          </w:tcPr>
          <w:p w:rsidR="00F3177F" w:rsidRDefault="0089671D">
            <w:pPr>
              <w:pStyle w:val="TableParagraph"/>
              <w:spacing w:before="18" w:line="322" w:lineRule="exact"/>
              <w:ind w:left="60" w:right="51"/>
              <w:rPr>
                <w:sz w:val="18"/>
              </w:rPr>
            </w:pPr>
            <w:r>
              <w:rPr>
                <w:sz w:val="18"/>
              </w:rPr>
              <w:t>Annual Energy Consumption per Student</w:t>
            </w:r>
          </w:p>
        </w:tc>
        <w:tc>
          <w:tcPr>
            <w:tcW w:w="1440" w:type="dxa"/>
          </w:tcPr>
          <w:p w:rsidR="00F3177F" w:rsidRDefault="00F3177F">
            <w:pPr>
              <w:pStyle w:val="TableParagraph"/>
              <w:spacing w:before="3"/>
              <w:rPr>
                <w:sz w:val="21"/>
              </w:rPr>
            </w:pPr>
          </w:p>
          <w:p w:rsidR="00F3177F" w:rsidRDefault="0089671D">
            <w:pPr>
              <w:pStyle w:val="TableParagraph"/>
              <w:ind w:left="124" w:right="124"/>
              <w:jc w:val="center"/>
              <w:rPr>
                <w:sz w:val="12"/>
              </w:rPr>
            </w:pPr>
            <w:r>
              <w:rPr>
                <w:sz w:val="18"/>
              </w:rPr>
              <w:t>28675347.177</w:t>
            </w:r>
            <w:r>
              <w:rPr>
                <w:position w:val="8"/>
                <w:sz w:val="12"/>
              </w:rPr>
              <w:t>a</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48</w:t>
            </w:r>
          </w:p>
        </w:tc>
        <w:tc>
          <w:tcPr>
            <w:tcW w:w="1260" w:type="dxa"/>
          </w:tcPr>
          <w:p w:rsidR="00F3177F" w:rsidRDefault="00F3177F">
            <w:pPr>
              <w:pStyle w:val="TableParagraph"/>
              <w:spacing w:before="4"/>
              <w:rPr>
                <w:sz w:val="23"/>
              </w:rPr>
            </w:pPr>
          </w:p>
          <w:p w:rsidR="00F3177F" w:rsidRDefault="0089671D">
            <w:pPr>
              <w:pStyle w:val="TableParagraph"/>
              <w:ind w:left="72" w:right="73"/>
              <w:jc w:val="center"/>
              <w:rPr>
                <w:sz w:val="18"/>
              </w:rPr>
            </w:pPr>
            <w:r>
              <w:rPr>
                <w:sz w:val="18"/>
              </w:rPr>
              <w:t>597403.066</w:t>
            </w:r>
          </w:p>
        </w:tc>
        <w:tc>
          <w:tcPr>
            <w:tcW w:w="721" w:type="dxa"/>
          </w:tcPr>
          <w:p w:rsidR="00F3177F" w:rsidRDefault="00F3177F">
            <w:pPr>
              <w:pStyle w:val="TableParagraph"/>
              <w:spacing w:before="4"/>
              <w:rPr>
                <w:sz w:val="23"/>
              </w:rPr>
            </w:pPr>
          </w:p>
          <w:p w:rsidR="00F3177F" w:rsidRDefault="0089671D">
            <w:pPr>
              <w:pStyle w:val="TableParagraph"/>
              <w:ind w:left="60" w:right="60"/>
              <w:jc w:val="center"/>
              <w:rPr>
                <w:sz w:val="18"/>
              </w:rPr>
            </w:pPr>
            <w:r>
              <w:rPr>
                <w:sz w:val="18"/>
              </w:rPr>
              <w:t>.659</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.807</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.841</w:t>
            </w:r>
          </w:p>
        </w:tc>
      </w:tr>
      <w:tr w:rsidR="00F3177F">
        <w:trPr>
          <w:trHeight w:hRule="exact" w:val="650"/>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3"/>
              <w:rPr>
                <w:sz w:val="21"/>
              </w:rPr>
            </w:pPr>
          </w:p>
          <w:p w:rsidR="00F3177F" w:rsidRDefault="0089671D">
            <w:pPr>
              <w:pStyle w:val="TableParagraph"/>
              <w:ind w:left="124" w:right="122"/>
              <w:jc w:val="center"/>
              <w:rPr>
                <w:sz w:val="12"/>
              </w:rPr>
            </w:pPr>
            <w:r>
              <w:rPr>
                <w:sz w:val="18"/>
              </w:rPr>
              <w:t>9929.608</w:t>
            </w:r>
            <w:r>
              <w:rPr>
                <w:position w:val="8"/>
                <w:sz w:val="12"/>
              </w:rPr>
              <w:t>b</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48</w:t>
            </w:r>
          </w:p>
        </w:tc>
        <w:tc>
          <w:tcPr>
            <w:tcW w:w="1260" w:type="dxa"/>
          </w:tcPr>
          <w:p w:rsidR="00F3177F" w:rsidRDefault="00F3177F">
            <w:pPr>
              <w:pStyle w:val="TableParagraph"/>
              <w:spacing w:before="4"/>
              <w:rPr>
                <w:sz w:val="23"/>
              </w:rPr>
            </w:pPr>
          </w:p>
          <w:p w:rsidR="00F3177F" w:rsidRDefault="0089671D">
            <w:pPr>
              <w:pStyle w:val="TableParagraph"/>
              <w:ind w:left="72" w:right="73"/>
              <w:jc w:val="center"/>
              <w:rPr>
                <w:sz w:val="18"/>
              </w:rPr>
            </w:pPr>
            <w:r>
              <w:rPr>
                <w:sz w:val="18"/>
              </w:rPr>
              <w:t>206.867</w:t>
            </w:r>
          </w:p>
        </w:tc>
        <w:tc>
          <w:tcPr>
            <w:tcW w:w="721" w:type="dxa"/>
          </w:tcPr>
          <w:p w:rsidR="00F3177F" w:rsidRDefault="00F3177F">
            <w:pPr>
              <w:pStyle w:val="TableParagraph"/>
              <w:spacing w:before="4"/>
              <w:rPr>
                <w:sz w:val="23"/>
              </w:rPr>
            </w:pPr>
          </w:p>
          <w:p w:rsidR="00F3177F" w:rsidRDefault="0089671D">
            <w:pPr>
              <w:pStyle w:val="TableParagraph"/>
              <w:jc w:val="center"/>
              <w:rPr>
                <w:sz w:val="18"/>
              </w:rPr>
            </w:pPr>
            <w:r>
              <w:rPr>
                <w:sz w:val="18"/>
              </w:rPr>
              <w:t>.</w:t>
            </w:r>
          </w:p>
        </w:tc>
        <w:tc>
          <w:tcPr>
            <w:tcW w:w="720" w:type="dxa"/>
          </w:tcPr>
          <w:p w:rsidR="00F3177F" w:rsidRDefault="00F3177F">
            <w:pPr>
              <w:pStyle w:val="TableParagraph"/>
              <w:spacing w:before="4"/>
              <w:rPr>
                <w:sz w:val="23"/>
              </w:rPr>
            </w:pPr>
          </w:p>
          <w:p w:rsidR="00F3177F" w:rsidRDefault="0089671D">
            <w:pPr>
              <w:pStyle w:val="TableParagraph"/>
              <w:ind w:right="2"/>
              <w:jc w:val="center"/>
              <w:rPr>
                <w:sz w:val="18"/>
              </w:rPr>
            </w:pPr>
            <w:r>
              <w:rPr>
                <w:sz w:val="18"/>
              </w:rPr>
              <w:t>.</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1.000</w:t>
            </w:r>
          </w:p>
        </w:tc>
      </w:tr>
      <w:tr w:rsidR="00F3177F">
        <w:trPr>
          <w:trHeight w:hRule="exact" w:val="650"/>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5"/>
              </w:rPr>
            </w:pPr>
          </w:p>
          <w:p w:rsidR="00F3177F" w:rsidRDefault="0089671D">
            <w:pPr>
              <w:pStyle w:val="TableParagraph"/>
              <w:spacing w:before="1"/>
              <w:ind w:left="348" w:right="43"/>
              <w:rPr>
                <w:sz w:val="18"/>
              </w:rPr>
            </w:pPr>
            <w:r>
              <w:rPr>
                <w:sz w:val="18"/>
              </w:rPr>
              <w:t>Intercept</w:t>
            </w:r>
          </w:p>
        </w:tc>
        <w:tc>
          <w:tcPr>
            <w:tcW w:w="1981" w:type="dxa"/>
          </w:tcPr>
          <w:p w:rsidR="00F3177F" w:rsidRDefault="0089671D">
            <w:pPr>
              <w:pStyle w:val="TableParagraph"/>
              <w:spacing w:before="20" w:line="320" w:lineRule="exact"/>
              <w:ind w:left="60" w:right="51"/>
              <w:rPr>
                <w:sz w:val="18"/>
              </w:rPr>
            </w:pPr>
            <w:r>
              <w:rPr>
                <w:sz w:val="18"/>
              </w:rPr>
              <w:t>Annual Energy Consumption per Student</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25167660.579</w:t>
            </w:r>
          </w:p>
        </w:tc>
        <w:tc>
          <w:tcPr>
            <w:tcW w:w="449" w:type="dxa"/>
          </w:tcPr>
          <w:p w:rsidR="00F3177F" w:rsidRDefault="00F3177F">
            <w:pPr>
              <w:pStyle w:val="TableParagraph"/>
              <w:spacing w:before="4"/>
              <w:rPr>
                <w:sz w:val="23"/>
              </w:rPr>
            </w:pPr>
          </w:p>
          <w:p w:rsidR="00F3177F" w:rsidRDefault="0089671D">
            <w:pPr>
              <w:pStyle w:val="TableParagraph"/>
              <w:ind w:left="172"/>
              <w:rPr>
                <w:sz w:val="18"/>
              </w:rPr>
            </w:pPr>
            <w:r>
              <w:rPr>
                <w:sz w:val="18"/>
              </w:rPr>
              <w:t>1</w:t>
            </w:r>
          </w:p>
        </w:tc>
        <w:tc>
          <w:tcPr>
            <w:tcW w:w="1260" w:type="dxa"/>
          </w:tcPr>
          <w:p w:rsidR="00F3177F" w:rsidRDefault="00F3177F">
            <w:pPr>
              <w:pStyle w:val="TableParagraph"/>
              <w:spacing w:before="4"/>
              <w:rPr>
                <w:sz w:val="23"/>
              </w:rPr>
            </w:pPr>
          </w:p>
          <w:p w:rsidR="00F3177F" w:rsidRDefault="0089671D">
            <w:pPr>
              <w:pStyle w:val="TableParagraph"/>
              <w:ind w:left="72" w:right="72"/>
              <w:jc w:val="center"/>
              <w:rPr>
                <w:sz w:val="18"/>
              </w:rPr>
            </w:pPr>
            <w:r>
              <w:rPr>
                <w:sz w:val="18"/>
              </w:rPr>
              <w:t>25167660.579</w:t>
            </w:r>
          </w:p>
        </w:tc>
        <w:tc>
          <w:tcPr>
            <w:tcW w:w="721" w:type="dxa"/>
          </w:tcPr>
          <w:p w:rsidR="00F3177F" w:rsidRDefault="00F3177F">
            <w:pPr>
              <w:pStyle w:val="TableParagraph"/>
              <w:spacing w:before="4"/>
              <w:rPr>
                <w:sz w:val="23"/>
              </w:rPr>
            </w:pPr>
          </w:p>
          <w:p w:rsidR="00F3177F" w:rsidRDefault="0089671D">
            <w:pPr>
              <w:pStyle w:val="TableParagraph"/>
              <w:ind w:left="60" w:right="60"/>
              <w:jc w:val="center"/>
              <w:rPr>
                <w:sz w:val="18"/>
              </w:rPr>
            </w:pPr>
            <w:r>
              <w:rPr>
                <w:sz w:val="18"/>
              </w:rPr>
              <w:t>27.757</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.002</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.822</w:t>
            </w:r>
          </w:p>
        </w:tc>
      </w:tr>
      <w:tr w:rsidR="00F3177F">
        <w:trPr>
          <w:trHeight w:hRule="exact" w:val="649"/>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2"/>
              <w:rPr>
                <w:sz w:val="23"/>
              </w:rPr>
            </w:pPr>
          </w:p>
          <w:p w:rsidR="00F3177F" w:rsidRDefault="0089671D">
            <w:pPr>
              <w:pStyle w:val="TableParagraph"/>
              <w:ind w:left="124" w:right="124"/>
              <w:jc w:val="center"/>
              <w:rPr>
                <w:sz w:val="18"/>
              </w:rPr>
            </w:pPr>
            <w:r>
              <w:rPr>
                <w:sz w:val="18"/>
              </w:rPr>
              <w:t>10114.790</w:t>
            </w:r>
          </w:p>
        </w:tc>
        <w:tc>
          <w:tcPr>
            <w:tcW w:w="449" w:type="dxa"/>
          </w:tcPr>
          <w:p w:rsidR="00F3177F" w:rsidRDefault="00F3177F">
            <w:pPr>
              <w:pStyle w:val="TableParagraph"/>
              <w:spacing w:before="2"/>
              <w:rPr>
                <w:sz w:val="23"/>
              </w:rPr>
            </w:pPr>
          </w:p>
          <w:p w:rsidR="00F3177F" w:rsidRDefault="0089671D">
            <w:pPr>
              <w:pStyle w:val="TableParagraph"/>
              <w:ind w:left="172"/>
              <w:rPr>
                <w:sz w:val="18"/>
              </w:rPr>
            </w:pPr>
            <w:r>
              <w:rPr>
                <w:sz w:val="18"/>
              </w:rPr>
              <w:t>1</w:t>
            </w:r>
          </w:p>
        </w:tc>
        <w:tc>
          <w:tcPr>
            <w:tcW w:w="1260" w:type="dxa"/>
          </w:tcPr>
          <w:p w:rsidR="00F3177F" w:rsidRDefault="00F3177F">
            <w:pPr>
              <w:pStyle w:val="TableParagraph"/>
              <w:spacing w:before="2"/>
              <w:rPr>
                <w:sz w:val="23"/>
              </w:rPr>
            </w:pPr>
          </w:p>
          <w:p w:rsidR="00F3177F" w:rsidRDefault="0089671D">
            <w:pPr>
              <w:pStyle w:val="TableParagraph"/>
              <w:ind w:left="72" w:right="72"/>
              <w:jc w:val="center"/>
              <w:rPr>
                <w:sz w:val="18"/>
              </w:rPr>
            </w:pPr>
            <w:r>
              <w:rPr>
                <w:sz w:val="18"/>
              </w:rPr>
              <w:t>10114.790</w:t>
            </w:r>
          </w:p>
        </w:tc>
        <w:tc>
          <w:tcPr>
            <w:tcW w:w="721" w:type="dxa"/>
          </w:tcPr>
          <w:p w:rsidR="00F3177F" w:rsidRDefault="00F3177F">
            <w:pPr>
              <w:pStyle w:val="TableParagraph"/>
              <w:spacing w:before="2"/>
              <w:rPr>
                <w:sz w:val="23"/>
              </w:rPr>
            </w:pPr>
          </w:p>
          <w:p w:rsidR="00F3177F" w:rsidRDefault="0089671D">
            <w:pPr>
              <w:pStyle w:val="TableParagraph"/>
              <w:jc w:val="center"/>
              <w:rPr>
                <w:sz w:val="18"/>
              </w:rPr>
            </w:pPr>
            <w:r>
              <w:rPr>
                <w:sz w:val="18"/>
              </w:rPr>
              <w:t>.</w:t>
            </w:r>
          </w:p>
        </w:tc>
        <w:tc>
          <w:tcPr>
            <w:tcW w:w="720" w:type="dxa"/>
          </w:tcPr>
          <w:p w:rsidR="00F3177F" w:rsidRDefault="00F3177F">
            <w:pPr>
              <w:pStyle w:val="TableParagraph"/>
              <w:spacing w:before="2"/>
              <w:rPr>
                <w:sz w:val="23"/>
              </w:rPr>
            </w:pPr>
          </w:p>
          <w:p w:rsidR="00F3177F" w:rsidRDefault="0089671D">
            <w:pPr>
              <w:pStyle w:val="TableParagraph"/>
              <w:ind w:right="2"/>
              <w:jc w:val="center"/>
              <w:rPr>
                <w:sz w:val="18"/>
              </w:rPr>
            </w:pPr>
            <w:r>
              <w:rPr>
                <w:sz w:val="18"/>
              </w:rPr>
              <w:t>.</w:t>
            </w:r>
          </w:p>
        </w:tc>
        <w:tc>
          <w:tcPr>
            <w:tcW w:w="720" w:type="dxa"/>
          </w:tcPr>
          <w:p w:rsidR="00F3177F" w:rsidRDefault="00F3177F">
            <w:pPr>
              <w:pStyle w:val="TableParagraph"/>
              <w:spacing w:before="2"/>
              <w:rPr>
                <w:sz w:val="23"/>
              </w:rPr>
            </w:pPr>
          </w:p>
          <w:p w:rsidR="00F3177F" w:rsidRDefault="0089671D">
            <w:pPr>
              <w:pStyle w:val="TableParagraph"/>
              <w:ind w:left="39" w:right="40"/>
              <w:jc w:val="center"/>
              <w:rPr>
                <w:sz w:val="18"/>
              </w:rPr>
            </w:pPr>
            <w:r>
              <w:rPr>
                <w:sz w:val="18"/>
              </w:rPr>
              <w:t>1.000</w:t>
            </w:r>
          </w:p>
        </w:tc>
      </w:tr>
      <w:tr w:rsidR="00F3177F">
        <w:trPr>
          <w:trHeight w:hRule="exact" w:val="650"/>
        </w:trPr>
        <w:tc>
          <w:tcPr>
            <w:tcW w:w="1351" w:type="dxa"/>
            <w:vMerge w:val="restart"/>
          </w:tcPr>
          <w:p w:rsidR="00F3177F" w:rsidRDefault="00F3177F">
            <w:pPr>
              <w:pStyle w:val="TableParagraph"/>
              <w:spacing w:before="9"/>
              <w:rPr>
                <w:sz w:val="23"/>
              </w:rPr>
            </w:pPr>
          </w:p>
          <w:p w:rsidR="00F3177F" w:rsidRDefault="0089671D">
            <w:pPr>
              <w:pStyle w:val="TableParagraph"/>
              <w:spacing w:line="372" w:lineRule="auto"/>
              <w:ind w:left="175" w:right="104" w:hanging="53"/>
              <w:rPr>
                <w:sz w:val="18"/>
              </w:rPr>
            </w:pPr>
            <w:r>
              <w:rPr>
                <w:sz w:val="18"/>
              </w:rPr>
              <w:t>Annual Energy Consumption per Unit Area</w:t>
            </w:r>
          </w:p>
        </w:tc>
        <w:tc>
          <w:tcPr>
            <w:tcW w:w="1981" w:type="dxa"/>
          </w:tcPr>
          <w:p w:rsidR="00F3177F" w:rsidRDefault="0089671D">
            <w:pPr>
              <w:pStyle w:val="TableParagraph"/>
              <w:spacing w:before="22" w:line="320" w:lineRule="exact"/>
              <w:ind w:left="60" w:right="51"/>
              <w:rPr>
                <w:sz w:val="18"/>
              </w:rPr>
            </w:pPr>
            <w:r>
              <w:rPr>
                <w:sz w:val="18"/>
              </w:rPr>
              <w:t>Annual Energy Consumption per Student</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28675347.177</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48</w:t>
            </w:r>
          </w:p>
        </w:tc>
        <w:tc>
          <w:tcPr>
            <w:tcW w:w="1260" w:type="dxa"/>
          </w:tcPr>
          <w:p w:rsidR="00F3177F" w:rsidRDefault="00F3177F">
            <w:pPr>
              <w:pStyle w:val="TableParagraph"/>
              <w:spacing w:before="4"/>
              <w:rPr>
                <w:sz w:val="23"/>
              </w:rPr>
            </w:pPr>
          </w:p>
          <w:p w:rsidR="00F3177F" w:rsidRDefault="0089671D">
            <w:pPr>
              <w:pStyle w:val="TableParagraph"/>
              <w:ind w:left="72" w:right="73"/>
              <w:jc w:val="center"/>
              <w:rPr>
                <w:sz w:val="18"/>
              </w:rPr>
            </w:pPr>
            <w:r>
              <w:rPr>
                <w:sz w:val="18"/>
              </w:rPr>
              <w:t>597403.066</w:t>
            </w:r>
          </w:p>
        </w:tc>
        <w:tc>
          <w:tcPr>
            <w:tcW w:w="721" w:type="dxa"/>
          </w:tcPr>
          <w:p w:rsidR="00F3177F" w:rsidRDefault="00F3177F">
            <w:pPr>
              <w:pStyle w:val="TableParagraph"/>
              <w:spacing w:before="4"/>
              <w:rPr>
                <w:sz w:val="23"/>
              </w:rPr>
            </w:pPr>
          </w:p>
          <w:p w:rsidR="00F3177F" w:rsidRDefault="0089671D">
            <w:pPr>
              <w:pStyle w:val="TableParagraph"/>
              <w:ind w:left="60" w:right="60"/>
              <w:jc w:val="center"/>
              <w:rPr>
                <w:sz w:val="18"/>
              </w:rPr>
            </w:pPr>
            <w:r>
              <w:rPr>
                <w:sz w:val="18"/>
              </w:rPr>
              <w:t>.659</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.807</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.841</w:t>
            </w:r>
          </w:p>
        </w:tc>
      </w:tr>
      <w:tr w:rsidR="00F3177F">
        <w:trPr>
          <w:trHeight w:hRule="exact" w:val="650"/>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9929.608</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48</w:t>
            </w:r>
          </w:p>
        </w:tc>
        <w:tc>
          <w:tcPr>
            <w:tcW w:w="1260" w:type="dxa"/>
          </w:tcPr>
          <w:p w:rsidR="00F3177F" w:rsidRDefault="00F3177F">
            <w:pPr>
              <w:pStyle w:val="TableParagraph"/>
              <w:spacing w:before="4"/>
              <w:rPr>
                <w:sz w:val="23"/>
              </w:rPr>
            </w:pPr>
          </w:p>
          <w:p w:rsidR="00F3177F" w:rsidRDefault="0089671D">
            <w:pPr>
              <w:pStyle w:val="TableParagraph"/>
              <w:ind w:left="72" w:right="73"/>
              <w:jc w:val="center"/>
              <w:rPr>
                <w:sz w:val="18"/>
              </w:rPr>
            </w:pPr>
            <w:r>
              <w:rPr>
                <w:sz w:val="18"/>
              </w:rPr>
              <w:t>206.867</w:t>
            </w:r>
          </w:p>
        </w:tc>
        <w:tc>
          <w:tcPr>
            <w:tcW w:w="721" w:type="dxa"/>
          </w:tcPr>
          <w:p w:rsidR="00F3177F" w:rsidRDefault="00F3177F">
            <w:pPr>
              <w:pStyle w:val="TableParagraph"/>
              <w:spacing w:before="4"/>
              <w:rPr>
                <w:sz w:val="23"/>
              </w:rPr>
            </w:pPr>
          </w:p>
          <w:p w:rsidR="00F3177F" w:rsidRDefault="0089671D">
            <w:pPr>
              <w:pStyle w:val="TableParagraph"/>
              <w:jc w:val="center"/>
              <w:rPr>
                <w:sz w:val="18"/>
              </w:rPr>
            </w:pPr>
            <w:r>
              <w:rPr>
                <w:sz w:val="18"/>
              </w:rPr>
              <w:t>.</w:t>
            </w:r>
          </w:p>
        </w:tc>
        <w:tc>
          <w:tcPr>
            <w:tcW w:w="720" w:type="dxa"/>
          </w:tcPr>
          <w:p w:rsidR="00F3177F" w:rsidRDefault="00F3177F">
            <w:pPr>
              <w:pStyle w:val="TableParagraph"/>
              <w:spacing w:before="4"/>
              <w:rPr>
                <w:sz w:val="23"/>
              </w:rPr>
            </w:pPr>
          </w:p>
          <w:p w:rsidR="00F3177F" w:rsidRDefault="0089671D">
            <w:pPr>
              <w:pStyle w:val="TableParagraph"/>
              <w:ind w:right="2"/>
              <w:jc w:val="center"/>
              <w:rPr>
                <w:sz w:val="18"/>
              </w:rPr>
            </w:pPr>
            <w:r>
              <w:rPr>
                <w:sz w:val="18"/>
              </w:rPr>
              <w:t>.</w:t>
            </w:r>
          </w:p>
        </w:tc>
        <w:tc>
          <w:tcPr>
            <w:tcW w:w="720" w:type="dxa"/>
          </w:tcPr>
          <w:p w:rsidR="00F3177F" w:rsidRDefault="00F3177F">
            <w:pPr>
              <w:pStyle w:val="TableParagraph"/>
              <w:spacing w:before="4"/>
              <w:rPr>
                <w:sz w:val="23"/>
              </w:rPr>
            </w:pPr>
          </w:p>
          <w:p w:rsidR="00F3177F" w:rsidRDefault="0089671D">
            <w:pPr>
              <w:pStyle w:val="TableParagraph"/>
              <w:ind w:left="39" w:right="40"/>
              <w:jc w:val="center"/>
              <w:rPr>
                <w:sz w:val="18"/>
              </w:rPr>
            </w:pPr>
            <w:r>
              <w:rPr>
                <w:sz w:val="18"/>
              </w:rPr>
              <w:t>1.000</w:t>
            </w:r>
          </w:p>
        </w:tc>
      </w:tr>
      <w:tr w:rsidR="00F3177F">
        <w:trPr>
          <w:trHeight w:hRule="exact" w:val="650"/>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5"/>
              </w:rPr>
            </w:pPr>
          </w:p>
          <w:p w:rsidR="00F3177F" w:rsidRDefault="0089671D">
            <w:pPr>
              <w:pStyle w:val="TableParagraph"/>
              <w:ind w:left="73" w:right="73"/>
              <w:jc w:val="center"/>
              <w:rPr>
                <w:sz w:val="18"/>
              </w:rPr>
            </w:pPr>
            <w:r>
              <w:rPr>
                <w:sz w:val="18"/>
              </w:rPr>
              <w:t>Error</w:t>
            </w:r>
          </w:p>
        </w:tc>
        <w:tc>
          <w:tcPr>
            <w:tcW w:w="1981" w:type="dxa"/>
          </w:tcPr>
          <w:p w:rsidR="00F3177F" w:rsidRDefault="0089671D">
            <w:pPr>
              <w:pStyle w:val="TableParagraph"/>
              <w:spacing w:before="18" w:line="322" w:lineRule="exact"/>
              <w:ind w:left="60" w:right="51"/>
              <w:rPr>
                <w:sz w:val="18"/>
              </w:rPr>
            </w:pPr>
            <w:r>
              <w:rPr>
                <w:sz w:val="18"/>
              </w:rPr>
              <w:t>Annual Energy Consumption per Student</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5440355.295</w:t>
            </w:r>
          </w:p>
        </w:tc>
        <w:tc>
          <w:tcPr>
            <w:tcW w:w="449" w:type="dxa"/>
          </w:tcPr>
          <w:p w:rsidR="00F3177F" w:rsidRDefault="00F3177F">
            <w:pPr>
              <w:pStyle w:val="TableParagraph"/>
              <w:spacing w:before="4"/>
              <w:rPr>
                <w:sz w:val="23"/>
              </w:rPr>
            </w:pPr>
          </w:p>
          <w:p w:rsidR="00F3177F" w:rsidRDefault="0089671D">
            <w:pPr>
              <w:pStyle w:val="TableParagraph"/>
              <w:ind w:left="172"/>
              <w:rPr>
                <w:sz w:val="18"/>
              </w:rPr>
            </w:pPr>
            <w:r>
              <w:rPr>
                <w:sz w:val="18"/>
              </w:rPr>
              <w:t>6</w:t>
            </w:r>
          </w:p>
        </w:tc>
        <w:tc>
          <w:tcPr>
            <w:tcW w:w="1260" w:type="dxa"/>
          </w:tcPr>
          <w:p w:rsidR="00F3177F" w:rsidRDefault="00F3177F">
            <w:pPr>
              <w:pStyle w:val="TableParagraph"/>
              <w:spacing w:before="4"/>
              <w:rPr>
                <w:sz w:val="23"/>
              </w:rPr>
            </w:pPr>
          </w:p>
          <w:p w:rsidR="00F3177F" w:rsidRDefault="0089671D">
            <w:pPr>
              <w:pStyle w:val="TableParagraph"/>
              <w:ind w:left="72" w:right="73"/>
              <w:jc w:val="center"/>
              <w:rPr>
                <w:sz w:val="18"/>
              </w:rPr>
            </w:pPr>
            <w:r>
              <w:rPr>
                <w:sz w:val="18"/>
              </w:rPr>
              <w:t>906725.883</w:t>
            </w:r>
          </w:p>
        </w:tc>
        <w:tc>
          <w:tcPr>
            <w:tcW w:w="721" w:type="dxa"/>
          </w:tcPr>
          <w:p w:rsidR="00F3177F" w:rsidRDefault="00F3177F"/>
        </w:tc>
        <w:tc>
          <w:tcPr>
            <w:tcW w:w="720" w:type="dxa"/>
          </w:tcPr>
          <w:p w:rsidR="00F3177F" w:rsidRDefault="00F3177F"/>
        </w:tc>
        <w:tc>
          <w:tcPr>
            <w:tcW w:w="720" w:type="dxa"/>
          </w:tcPr>
          <w:p w:rsidR="00F3177F" w:rsidRDefault="00F3177F"/>
        </w:tc>
      </w:tr>
      <w:tr w:rsidR="00F3177F">
        <w:trPr>
          <w:trHeight w:hRule="exact" w:val="650"/>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.000</w:t>
            </w:r>
          </w:p>
        </w:tc>
        <w:tc>
          <w:tcPr>
            <w:tcW w:w="449" w:type="dxa"/>
          </w:tcPr>
          <w:p w:rsidR="00F3177F" w:rsidRDefault="00F3177F">
            <w:pPr>
              <w:pStyle w:val="TableParagraph"/>
              <w:spacing w:before="4"/>
              <w:rPr>
                <w:sz w:val="23"/>
              </w:rPr>
            </w:pPr>
          </w:p>
          <w:p w:rsidR="00F3177F" w:rsidRDefault="0089671D">
            <w:pPr>
              <w:pStyle w:val="TableParagraph"/>
              <w:ind w:left="172"/>
              <w:rPr>
                <w:sz w:val="18"/>
              </w:rPr>
            </w:pPr>
            <w:r>
              <w:rPr>
                <w:sz w:val="18"/>
              </w:rPr>
              <w:t>6</w:t>
            </w:r>
          </w:p>
        </w:tc>
        <w:tc>
          <w:tcPr>
            <w:tcW w:w="1260" w:type="dxa"/>
          </w:tcPr>
          <w:p w:rsidR="00F3177F" w:rsidRDefault="00F3177F">
            <w:pPr>
              <w:pStyle w:val="TableParagraph"/>
              <w:spacing w:before="4"/>
              <w:rPr>
                <w:sz w:val="23"/>
              </w:rPr>
            </w:pPr>
          </w:p>
          <w:p w:rsidR="00F3177F" w:rsidRDefault="0089671D">
            <w:pPr>
              <w:pStyle w:val="TableParagraph"/>
              <w:ind w:left="72" w:right="72"/>
              <w:jc w:val="center"/>
              <w:rPr>
                <w:sz w:val="18"/>
              </w:rPr>
            </w:pPr>
            <w:r>
              <w:rPr>
                <w:sz w:val="18"/>
              </w:rPr>
              <w:t>.000</w:t>
            </w:r>
          </w:p>
        </w:tc>
        <w:tc>
          <w:tcPr>
            <w:tcW w:w="721" w:type="dxa"/>
          </w:tcPr>
          <w:p w:rsidR="00F3177F" w:rsidRDefault="00F3177F"/>
        </w:tc>
        <w:tc>
          <w:tcPr>
            <w:tcW w:w="720" w:type="dxa"/>
          </w:tcPr>
          <w:p w:rsidR="00F3177F" w:rsidRDefault="00F3177F"/>
        </w:tc>
        <w:tc>
          <w:tcPr>
            <w:tcW w:w="720" w:type="dxa"/>
          </w:tcPr>
          <w:p w:rsidR="00F3177F" w:rsidRDefault="00F3177F"/>
        </w:tc>
      </w:tr>
      <w:tr w:rsidR="00F3177F">
        <w:trPr>
          <w:trHeight w:hRule="exact" w:val="651"/>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6"/>
              <w:rPr>
                <w:sz w:val="15"/>
              </w:rPr>
            </w:pPr>
          </w:p>
          <w:p w:rsidR="00F3177F" w:rsidRDefault="0089671D">
            <w:pPr>
              <w:pStyle w:val="TableParagraph"/>
              <w:ind w:left="73" w:right="73"/>
              <w:jc w:val="center"/>
              <w:rPr>
                <w:sz w:val="18"/>
              </w:rPr>
            </w:pPr>
            <w:r>
              <w:rPr>
                <w:sz w:val="18"/>
              </w:rPr>
              <w:t>Total</w:t>
            </w:r>
          </w:p>
        </w:tc>
        <w:tc>
          <w:tcPr>
            <w:tcW w:w="1981" w:type="dxa"/>
          </w:tcPr>
          <w:p w:rsidR="00F3177F" w:rsidRDefault="0089671D">
            <w:pPr>
              <w:pStyle w:val="TableParagraph"/>
              <w:spacing w:before="20" w:line="320" w:lineRule="exact"/>
              <w:ind w:left="60" w:right="51"/>
              <w:rPr>
                <w:sz w:val="18"/>
              </w:rPr>
            </w:pPr>
            <w:r>
              <w:rPr>
                <w:sz w:val="18"/>
              </w:rPr>
              <w:t>Annual Energy Consumption per Student</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61696126.750</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55</w:t>
            </w:r>
          </w:p>
        </w:tc>
        <w:tc>
          <w:tcPr>
            <w:tcW w:w="1260" w:type="dxa"/>
          </w:tcPr>
          <w:p w:rsidR="00F3177F" w:rsidRDefault="00F3177F"/>
        </w:tc>
        <w:tc>
          <w:tcPr>
            <w:tcW w:w="721" w:type="dxa"/>
          </w:tcPr>
          <w:p w:rsidR="00F3177F" w:rsidRDefault="00F3177F"/>
        </w:tc>
        <w:tc>
          <w:tcPr>
            <w:tcW w:w="720" w:type="dxa"/>
          </w:tcPr>
          <w:p w:rsidR="00F3177F" w:rsidRDefault="00F3177F"/>
        </w:tc>
        <w:tc>
          <w:tcPr>
            <w:tcW w:w="720" w:type="dxa"/>
          </w:tcPr>
          <w:p w:rsidR="00F3177F" w:rsidRDefault="00F3177F"/>
        </w:tc>
      </w:tr>
      <w:tr w:rsidR="00F3177F">
        <w:trPr>
          <w:trHeight w:hRule="exact" w:val="648"/>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1"/>
              <w:rPr>
                <w:sz w:val="23"/>
              </w:rPr>
            </w:pPr>
          </w:p>
          <w:p w:rsidR="00F3177F" w:rsidRDefault="0089671D">
            <w:pPr>
              <w:pStyle w:val="TableParagraph"/>
              <w:spacing w:before="1"/>
              <w:ind w:left="124" w:right="124"/>
              <w:jc w:val="center"/>
              <w:rPr>
                <w:sz w:val="18"/>
              </w:rPr>
            </w:pPr>
            <w:r>
              <w:rPr>
                <w:sz w:val="18"/>
              </w:rPr>
              <w:t>20260.780</w:t>
            </w:r>
          </w:p>
        </w:tc>
        <w:tc>
          <w:tcPr>
            <w:tcW w:w="449" w:type="dxa"/>
          </w:tcPr>
          <w:p w:rsidR="00F3177F" w:rsidRDefault="00F3177F">
            <w:pPr>
              <w:pStyle w:val="TableParagraph"/>
              <w:spacing w:before="1"/>
              <w:rPr>
                <w:sz w:val="23"/>
              </w:rPr>
            </w:pPr>
          </w:p>
          <w:p w:rsidR="00F3177F" w:rsidRDefault="0089671D">
            <w:pPr>
              <w:pStyle w:val="TableParagraph"/>
              <w:spacing w:before="1"/>
              <w:ind w:left="129"/>
              <w:rPr>
                <w:sz w:val="18"/>
              </w:rPr>
            </w:pPr>
            <w:r>
              <w:rPr>
                <w:sz w:val="18"/>
              </w:rPr>
              <w:t>55</w:t>
            </w:r>
          </w:p>
        </w:tc>
        <w:tc>
          <w:tcPr>
            <w:tcW w:w="1260" w:type="dxa"/>
          </w:tcPr>
          <w:p w:rsidR="00F3177F" w:rsidRDefault="00F3177F"/>
        </w:tc>
        <w:tc>
          <w:tcPr>
            <w:tcW w:w="721" w:type="dxa"/>
          </w:tcPr>
          <w:p w:rsidR="00F3177F" w:rsidRDefault="00F3177F"/>
        </w:tc>
        <w:tc>
          <w:tcPr>
            <w:tcW w:w="720" w:type="dxa"/>
          </w:tcPr>
          <w:p w:rsidR="00F3177F" w:rsidRDefault="00F3177F"/>
        </w:tc>
        <w:tc>
          <w:tcPr>
            <w:tcW w:w="720" w:type="dxa"/>
          </w:tcPr>
          <w:p w:rsidR="00F3177F" w:rsidRDefault="00F3177F"/>
        </w:tc>
      </w:tr>
      <w:tr w:rsidR="00F3177F">
        <w:trPr>
          <w:trHeight w:hRule="exact" w:val="650"/>
        </w:trPr>
        <w:tc>
          <w:tcPr>
            <w:tcW w:w="1351" w:type="dxa"/>
            <w:vMerge w:val="restart"/>
          </w:tcPr>
          <w:p w:rsidR="00F3177F" w:rsidRDefault="00F3177F">
            <w:pPr>
              <w:pStyle w:val="TableParagraph"/>
              <w:rPr>
                <w:sz w:val="18"/>
              </w:rPr>
            </w:pPr>
          </w:p>
          <w:p w:rsidR="00F3177F" w:rsidRDefault="00F3177F">
            <w:pPr>
              <w:pStyle w:val="TableParagraph"/>
              <w:rPr>
                <w:sz w:val="18"/>
              </w:rPr>
            </w:pPr>
          </w:p>
          <w:p w:rsidR="00F3177F" w:rsidRDefault="00F3177F">
            <w:pPr>
              <w:pStyle w:val="TableParagraph"/>
              <w:spacing w:before="8"/>
              <w:rPr>
                <w:sz w:val="15"/>
              </w:rPr>
            </w:pPr>
          </w:p>
          <w:p w:rsidR="00F3177F" w:rsidRDefault="0089671D">
            <w:pPr>
              <w:pStyle w:val="TableParagraph"/>
              <w:ind w:left="100" w:right="43"/>
              <w:rPr>
                <w:sz w:val="18"/>
              </w:rPr>
            </w:pPr>
            <w:r>
              <w:rPr>
                <w:sz w:val="18"/>
              </w:rPr>
              <w:t>Corrected Total</w:t>
            </w:r>
          </w:p>
        </w:tc>
        <w:tc>
          <w:tcPr>
            <w:tcW w:w="1981" w:type="dxa"/>
          </w:tcPr>
          <w:p w:rsidR="00F3177F" w:rsidRDefault="0089671D">
            <w:pPr>
              <w:pStyle w:val="TableParagraph"/>
              <w:spacing w:before="22" w:line="320" w:lineRule="exact"/>
              <w:ind w:left="60" w:right="51"/>
              <w:rPr>
                <w:sz w:val="18"/>
              </w:rPr>
            </w:pPr>
            <w:r>
              <w:rPr>
                <w:sz w:val="18"/>
              </w:rPr>
              <w:t>Annual Energy Consumption per Student</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34115702.472</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54</w:t>
            </w:r>
          </w:p>
        </w:tc>
        <w:tc>
          <w:tcPr>
            <w:tcW w:w="1260" w:type="dxa"/>
          </w:tcPr>
          <w:p w:rsidR="00F3177F" w:rsidRDefault="00F3177F"/>
        </w:tc>
        <w:tc>
          <w:tcPr>
            <w:tcW w:w="721" w:type="dxa"/>
          </w:tcPr>
          <w:p w:rsidR="00F3177F" w:rsidRDefault="00F3177F"/>
        </w:tc>
        <w:tc>
          <w:tcPr>
            <w:tcW w:w="720" w:type="dxa"/>
          </w:tcPr>
          <w:p w:rsidR="00F3177F" w:rsidRDefault="00F3177F"/>
        </w:tc>
        <w:tc>
          <w:tcPr>
            <w:tcW w:w="720" w:type="dxa"/>
          </w:tcPr>
          <w:p w:rsidR="00F3177F" w:rsidRDefault="00F3177F"/>
        </w:tc>
      </w:tr>
      <w:tr w:rsidR="00F3177F">
        <w:trPr>
          <w:trHeight w:hRule="exact" w:val="650"/>
        </w:trPr>
        <w:tc>
          <w:tcPr>
            <w:tcW w:w="1351" w:type="dxa"/>
            <w:vMerge/>
          </w:tcPr>
          <w:p w:rsidR="00F3177F" w:rsidRDefault="00F3177F"/>
        </w:tc>
        <w:tc>
          <w:tcPr>
            <w:tcW w:w="1981" w:type="dxa"/>
          </w:tcPr>
          <w:p w:rsidR="00F3177F" w:rsidRDefault="0089671D">
            <w:pPr>
              <w:pStyle w:val="TableParagraph"/>
              <w:spacing w:before="32" w:line="300" w:lineRule="atLeast"/>
              <w:ind w:left="60" w:right="306"/>
              <w:rPr>
                <w:sz w:val="18"/>
              </w:rPr>
            </w:pPr>
            <w:r>
              <w:rPr>
                <w:sz w:val="18"/>
              </w:rPr>
              <w:t>Annual CO</w:t>
            </w:r>
            <w:r>
              <w:rPr>
                <w:position w:val="-2"/>
                <w:sz w:val="12"/>
              </w:rPr>
              <w:t xml:space="preserve">2 </w:t>
            </w:r>
            <w:r>
              <w:rPr>
                <w:sz w:val="18"/>
              </w:rPr>
              <w:t>Emission per Unit Area</w:t>
            </w:r>
          </w:p>
        </w:tc>
        <w:tc>
          <w:tcPr>
            <w:tcW w:w="1440" w:type="dxa"/>
          </w:tcPr>
          <w:p w:rsidR="00F3177F" w:rsidRDefault="00F3177F">
            <w:pPr>
              <w:pStyle w:val="TableParagraph"/>
              <w:spacing w:before="4"/>
              <w:rPr>
                <w:sz w:val="23"/>
              </w:rPr>
            </w:pPr>
          </w:p>
          <w:p w:rsidR="00F3177F" w:rsidRDefault="0089671D">
            <w:pPr>
              <w:pStyle w:val="TableParagraph"/>
              <w:ind w:left="124" w:right="124"/>
              <w:jc w:val="center"/>
              <w:rPr>
                <w:sz w:val="18"/>
              </w:rPr>
            </w:pPr>
            <w:r>
              <w:rPr>
                <w:sz w:val="18"/>
              </w:rPr>
              <w:t>9929.608</w:t>
            </w:r>
          </w:p>
        </w:tc>
        <w:tc>
          <w:tcPr>
            <w:tcW w:w="449" w:type="dxa"/>
          </w:tcPr>
          <w:p w:rsidR="00F3177F" w:rsidRDefault="00F3177F">
            <w:pPr>
              <w:pStyle w:val="TableParagraph"/>
              <w:spacing w:before="4"/>
              <w:rPr>
                <w:sz w:val="23"/>
              </w:rPr>
            </w:pPr>
          </w:p>
          <w:p w:rsidR="00F3177F" w:rsidRDefault="0089671D">
            <w:pPr>
              <w:pStyle w:val="TableParagraph"/>
              <w:ind w:left="129"/>
              <w:rPr>
                <w:sz w:val="18"/>
              </w:rPr>
            </w:pPr>
            <w:r>
              <w:rPr>
                <w:sz w:val="18"/>
              </w:rPr>
              <w:t>54</w:t>
            </w:r>
          </w:p>
        </w:tc>
        <w:tc>
          <w:tcPr>
            <w:tcW w:w="1260" w:type="dxa"/>
          </w:tcPr>
          <w:p w:rsidR="00F3177F" w:rsidRDefault="00F3177F"/>
        </w:tc>
        <w:tc>
          <w:tcPr>
            <w:tcW w:w="721" w:type="dxa"/>
          </w:tcPr>
          <w:p w:rsidR="00F3177F" w:rsidRDefault="00F3177F"/>
        </w:tc>
        <w:tc>
          <w:tcPr>
            <w:tcW w:w="720" w:type="dxa"/>
          </w:tcPr>
          <w:p w:rsidR="00F3177F" w:rsidRDefault="00F3177F"/>
        </w:tc>
        <w:tc>
          <w:tcPr>
            <w:tcW w:w="720" w:type="dxa"/>
          </w:tcPr>
          <w:p w:rsidR="00F3177F" w:rsidRDefault="00F3177F"/>
        </w:tc>
      </w:tr>
    </w:tbl>
    <w:p w:rsidR="00F3177F" w:rsidRDefault="0089671D">
      <w:pPr>
        <w:pStyle w:val="ListParagraph"/>
        <w:numPr>
          <w:ilvl w:val="0"/>
          <w:numId w:val="13"/>
        </w:numPr>
        <w:tabs>
          <w:tab w:val="left" w:pos="885"/>
        </w:tabs>
        <w:spacing w:before="37"/>
        <w:ind w:firstLine="0"/>
        <w:rPr>
          <w:sz w:val="24"/>
        </w:rPr>
      </w:pPr>
      <w:r>
        <w:rPr>
          <w:sz w:val="24"/>
        </w:rPr>
        <w:t>R Squared = .841 (Adjusted R Squared =</w:t>
      </w:r>
      <w:r>
        <w:rPr>
          <w:spacing w:val="-2"/>
          <w:sz w:val="24"/>
        </w:rPr>
        <w:t xml:space="preserve"> </w:t>
      </w:r>
      <w:r>
        <w:rPr>
          <w:sz w:val="24"/>
        </w:rPr>
        <w:t>-.435)</w:t>
      </w:r>
    </w:p>
    <w:p w:rsidR="00F3177F" w:rsidRDefault="0089671D">
      <w:pPr>
        <w:pStyle w:val="ListParagraph"/>
        <w:numPr>
          <w:ilvl w:val="0"/>
          <w:numId w:val="13"/>
        </w:numPr>
        <w:tabs>
          <w:tab w:val="left" w:pos="899"/>
        </w:tabs>
        <w:spacing w:before="45" w:line="278" w:lineRule="auto"/>
        <w:ind w:right="3710" w:firstLine="0"/>
        <w:rPr>
          <w:sz w:val="24"/>
        </w:rPr>
      </w:pPr>
      <w:r>
        <w:rPr>
          <w:sz w:val="24"/>
        </w:rPr>
        <w:t>R Squared = 1.000 (Adjusted R Squared =</w:t>
      </w:r>
      <w:r>
        <w:rPr>
          <w:spacing w:val="-5"/>
          <w:sz w:val="24"/>
        </w:rPr>
        <w:t xml:space="preserve"> </w:t>
      </w:r>
      <w:r>
        <w:rPr>
          <w:sz w:val="24"/>
        </w:rPr>
        <w:t>1.000) Annual Energy Consumption per Unit</w:t>
      </w:r>
      <w:r>
        <w:rPr>
          <w:spacing w:val="-10"/>
          <w:sz w:val="24"/>
        </w:rPr>
        <w:t xml:space="preserve"> </w:t>
      </w:r>
      <w:r>
        <w:rPr>
          <w:sz w:val="24"/>
        </w:rPr>
        <w:t>Area</w:t>
      </w:r>
    </w:p>
    <w:p w:rsidR="00F3177F" w:rsidRDefault="0089671D">
      <w:pPr>
        <w:pStyle w:val="BodyText"/>
        <w:spacing w:before="1"/>
        <w:ind w:left="658"/>
      </w:pPr>
      <w:r>
        <w:t>Annual Energy Consumption per Student</w:t>
      </w:r>
    </w:p>
    <w:p w:rsidR="00F3177F" w:rsidRDefault="00F3177F">
      <w:pPr>
        <w:sectPr w:rsidR="00F3177F">
          <w:pgSz w:w="12240" w:h="15840"/>
          <w:pgMar w:top="1380" w:right="1160" w:bottom="2320" w:left="1720" w:header="0" w:footer="2072" w:gutter="0"/>
          <w:cols w:space="720"/>
        </w:sectPr>
      </w:pPr>
    </w:p>
    <w:p w:rsidR="00F3177F" w:rsidRDefault="0089671D">
      <w:pPr>
        <w:pStyle w:val="BodyText"/>
        <w:spacing w:before="54" w:line="355" w:lineRule="auto"/>
        <w:ind w:left="584" w:right="119"/>
        <w:jc w:val="both"/>
      </w:pPr>
      <w:r>
        <w:rPr>
          <w:b/>
        </w:rPr>
        <w:lastRenderedPageBreak/>
        <w:t>H</w:t>
      </w:r>
      <w:r>
        <w:rPr>
          <w:b/>
          <w:position w:val="-2"/>
          <w:sz w:val="16"/>
        </w:rPr>
        <w:t>3</w:t>
      </w:r>
      <w:r>
        <w:rPr>
          <w:b/>
        </w:rPr>
        <w:t xml:space="preserve">: </w:t>
      </w:r>
      <w:r>
        <w:t>Higher degrees of differences appear between students’ comfort levels in schools with low energy consumption, building transparencies and compactness than schools with high energy consumption, building transparencies and compactness when the attended number of lessons increases.</w:t>
      </w:r>
    </w:p>
    <w:p w:rsidR="00F3177F" w:rsidRDefault="00F3177F">
      <w:pPr>
        <w:pStyle w:val="BodyText"/>
      </w:pPr>
    </w:p>
    <w:p w:rsidR="00F3177F" w:rsidRDefault="0089671D">
      <w:pPr>
        <w:pStyle w:val="BodyText"/>
        <w:spacing w:before="148" w:line="360" w:lineRule="auto"/>
        <w:ind w:left="584" w:right="115"/>
        <w:jc w:val="both"/>
      </w:pPr>
      <w:r>
        <w:t>When the number of attended lessons increase, it is possible that students develop</w:t>
      </w:r>
      <w:r w:rsidR="004D4913">
        <w:t xml:space="preserve"> </w:t>
      </w:r>
      <w:r>
        <w:t>higher levels of discomfort and complaints such as feeling tired, poor air quality, unpleasant odor or distraction. Similarly, thermal discomfort is a reason for sick building syndrome symptoms, complaints and distraction along with poor indoor air quality causing poor performance (Wargocki &amp; Wyon, 2007b). The research focuses on whether the gap between students’ comfort levels in the first and last lessons are wider in lower energy consuming schools than the one in higher energy consuming schools. Items 16-23 in the questionnaire are related to students’ comfort levels in their classrooms.</w:t>
      </w:r>
    </w:p>
    <w:p w:rsidR="00F3177F" w:rsidRDefault="00F3177F">
      <w:pPr>
        <w:pStyle w:val="BodyText"/>
      </w:pPr>
    </w:p>
    <w:p w:rsidR="00F3177F" w:rsidRDefault="0089671D">
      <w:pPr>
        <w:pStyle w:val="BodyText"/>
        <w:spacing w:before="143"/>
        <w:ind w:left="584"/>
        <w:jc w:val="both"/>
      </w:pPr>
      <w:r>
        <w:t>The null hypothesis:</w:t>
      </w:r>
    </w:p>
    <w:p w:rsidR="00F3177F" w:rsidRDefault="0089671D">
      <w:pPr>
        <w:pStyle w:val="BodyText"/>
        <w:spacing w:before="144" w:line="348" w:lineRule="auto"/>
        <w:ind w:left="584" w:right="118"/>
        <w:jc w:val="both"/>
      </w:pPr>
      <w:r>
        <w:rPr>
          <w:spacing w:val="-1"/>
        </w:rPr>
        <w:t>H</w:t>
      </w:r>
      <w:r>
        <w:rPr>
          <w:spacing w:val="-1"/>
          <w:position w:val="-2"/>
          <w:sz w:val="16"/>
        </w:rPr>
        <w:t>0</w:t>
      </w:r>
      <w:r>
        <w:rPr>
          <w:spacing w:val="-1"/>
        </w:rPr>
        <w:t xml:space="preserve">:  </w:t>
      </w:r>
      <w:r>
        <w:rPr>
          <w:noProof/>
          <w:spacing w:val="-19"/>
        </w:rPr>
        <w:drawing>
          <wp:inline distT="0" distB="0" distL="0" distR="0">
            <wp:extent cx="104775" cy="161544"/>
            <wp:effectExtent l="0" t="0" r="0" b="0"/>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61" cstate="print"/>
                    <a:stretch>
                      <a:fillRect/>
                    </a:stretch>
                  </pic:blipFill>
                  <pic:spPr>
                    <a:xfrm>
                      <a:off x="0" y="0"/>
                      <a:ext cx="104775" cy="161544"/>
                    </a:xfrm>
                    <a:prstGeom prst="rect">
                      <a:avLst/>
                    </a:prstGeom>
                  </pic:spPr>
                </pic:pic>
              </a:graphicData>
            </a:graphic>
          </wp:inline>
        </w:drawing>
      </w:r>
      <w:r>
        <w:rPr>
          <w:spacing w:val="-19"/>
        </w:rPr>
        <w:t xml:space="preserve">  </w:t>
      </w:r>
      <w:r>
        <w:t>students’ comfort level differences between the first and last three lessons in schools</w:t>
      </w:r>
      <w:r>
        <w:rPr>
          <w:spacing w:val="37"/>
        </w:rPr>
        <w:t xml:space="preserve"> </w:t>
      </w:r>
      <w:r>
        <w:t>with</w:t>
      </w:r>
      <w:r>
        <w:rPr>
          <w:spacing w:val="37"/>
        </w:rPr>
        <w:t xml:space="preserve"> </w:t>
      </w:r>
      <w:r>
        <w:t>low</w:t>
      </w:r>
      <w:r>
        <w:rPr>
          <w:spacing w:val="37"/>
        </w:rPr>
        <w:t xml:space="preserve"> </w:t>
      </w:r>
      <w:r>
        <w:t>energy</w:t>
      </w:r>
      <w:r>
        <w:rPr>
          <w:spacing w:val="34"/>
        </w:rPr>
        <w:t xml:space="preserve"> </w:t>
      </w:r>
      <w:r>
        <w:t>consumption,</w:t>
      </w:r>
      <w:r>
        <w:rPr>
          <w:spacing w:val="37"/>
        </w:rPr>
        <w:t xml:space="preserve"> </w:t>
      </w:r>
      <w:r>
        <w:t>building</w:t>
      </w:r>
      <w:r>
        <w:rPr>
          <w:spacing w:val="37"/>
        </w:rPr>
        <w:t xml:space="preserve"> </w:t>
      </w:r>
      <w:r>
        <w:t>transparencies</w:t>
      </w:r>
      <w:r>
        <w:rPr>
          <w:spacing w:val="39"/>
        </w:rPr>
        <w:t xml:space="preserve"> </w:t>
      </w:r>
      <w:r>
        <w:t>and</w:t>
      </w:r>
      <w:r>
        <w:rPr>
          <w:spacing w:val="39"/>
        </w:rPr>
        <w:t xml:space="preserve"> </w:t>
      </w:r>
      <w:r>
        <w:t>compactness</w:t>
      </w:r>
      <w:r>
        <w:rPr>
          <w:spacing w:val="37"/>
        </w:rPr>
        <w:t xml:space="preserve"> </w:t>
      </w:r>
      <w:r>
        <w:t>=</w:t>
      </w:r>
      <w:r>
        <w:rPr>
          <w:w w:val="99"/>
        </w:rPr>
        <w:t xml:space="preserve"> </w:t>
      </w:r>
      <w:r>
        <w:rPr>
          <w:spacing w:val="-16"/>
          <w:w w:val="99"/>
        </w:rPr>
        <w:t xml:space="preserve"> </w:t>
      </w:r>
      <w:r>
        <w:rPr>
          <w:noProof/>
          <w:spacing w:val="-16"/>
          <w:w w:val="99"/>
        </w:rPr>
        <w:drawing>
          <wp:inline distT="0" distB="0" distL="0" distR="0">
            <wp:extent cx="104773" cy="161925"/>
            <wp:effectExtent l="0" t="0" r="0" b="0"/>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61" cstate="print"/>
                    <a:stretch>
                      <a:fillRect/>
                    </a:stretch>
                  </pic:blipFill>
                  <pic:spPr>
                    <a:xfrm>
                      <a:off x="0" y="0"/>
                      <a:ext cx="104773" cy="161925"/>
                    </a:xfrm>
                    <a:prstGeom prst="rect">
                      <a:avLst/>
                    </a:prstGeom>
                  </pic:spPr>
                </pic:pic>
              </a:graphicData>
            </a:graphic>
          </wp:inline>
        </w:drawing>
      </w:r>
      <w:r>
        <w:rPr>
          <w:spacing w:val="-16"/>
          <w:w w:val="99"/>
        </w:rPr>
        <w:t xml:space="preserve"> </w:t>
      </w:r>
      <w:r>
        <w:t>students’ comfort level differences between the first and last three lessons in schools with high energy consumption, building transparencies and</w:t>
      </w:r>
      <w:r>
        <w:rPr>
          <w:spacing w:val="-13"/>
        </w:rPr>
        <w:t xml:space="preserve"> </w:t>
      </w:r>
      <w:r>
        <w:t>compactness</w:t>
      </w:r>
    </w:p>
    <w:p w:rsidR="00F3177F" w:rsidRDefault="0089671D">
      <w:pPr>
        <w:pStyle w:val="BodyText"/>
        <w:spacing w:before="17"/>
        <w:ind w:left="584"/>
        <w:jc w:val="both"/>
      </w:pPr>
      <w:r>
        <w:t>The alternate hypothesis:</w:t>
      </w:r>
    </w:p>
    <w:p w:rsidR="00F3177F" w:rsidRDefault="0089671D">
      <w:pPr>
        <w:pStyle w:val="BodyText"/>
        <w:spacing w:before="143" w:line="348" w:lineRule="auto"/>
        <w:ind w:left="584" w:right="118"/>
        <w:jc w:val="both"/>
      </w:pPr>
      <w:r>
        <w:rPr>
          <w:spacing w:val="-2"/>
        </w:rPr>
        <w:t>H</w:t>
      </w:r>
      <w:r>
        <w:rPr>
          <w:spacing w:val="-2"/>
          <w:position w:val="-2"/>
          <w:sz w:val="16"/>
        </w:rPr>
        <w:t>A</w:t>
      </w:r>
      <w:r>
        <w:rPr>
          <w:spacing w:val="-2"/>
        </w:rPr>
        <w:t xml:space="preserve">:  </w:t>
      </w:r>
      <w:r>
        <w:rPr>
          <w:noProof/>
          <w:spacing w:val="-18"/>
        </w:rPr>
        <w:drawing>
          <wp:inline distT="0" distB="0" distL="0" distR="0">
            <wp:extent cx="104775" cy="161925"/>
            <wp:effectExtent l="0" t="0" r="0" b="0"/>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18"/>
        </w:rPr>
        <w:t xml:space="preserve"> </w:t>
      </w:r>
      <w:r>
        <w:rPr>
          <w:spacing w:val="-20"/>
        </w:rPr>
        <w:t xml:space="preserve"> </w:t>
      </w:r>
      <w:r>
        <w:t>students’ comfort level differences between the first and last three lessons in schools</w:t>
      </w:r>
      <w:r>
        <w:rPr>
          <w:spacing w:val="37"/>
        </w:rPr>
        <w:t xml:space="preserve"> </w:t>
      </w:r>
      <w:r>
        <w:t>with</w:t>
      </w:r>
      <w:r>
        <w:rPr>
          <w:spacing w:val="37"/>
        </w:rPr>
        <w:t xml:space="preserve"> </w:t>
      </w:r>
      <w:r>
        <w:t>low</w:t>
      </w:r>
      <w:r>
        <w:rPr>
          <w:spacing w:val="39"/>
        </w:rPr>
        <w:t xml:space="preserve"> </w:t>
      </w:r>
      <w:r>
        <w:t>energy</w:t>
      </w:r>
      <w:r>
        <w:rPr>
          <w:spacing w:val="34"/>
        </w:rPr>
        <w:t xml:space="preserve"> </w:t>
      </w:r>
      <w:r>
        <w:t>consumption,</w:t>
      </w:r>
      <w:r>
        <w:rPr>
          <w:spacing w:val="37"/>
        </w:rPr>
        <w:t xml:space="preserve"> </w:t>
      </w:r>
      <w:r>
        <w:t>building</w:t>
      </w:r>
      <w:r>
        <w:rPr>
          <w:spacing w:val="37"/>
        </w:rPr>
        <w:t xml:space="preserve"> </w:t>
      </w:r>
      <w:r>
        <w:t>transparencies</w:t>
      </w:r>
      <w:r>
        <w:rPr>
          <w:spacing w:val="39"/>
        </w:rPr>
        <w:t xml:space="preserve"> </w:t>
      </w:r>
      <w:r>
        <w:t>and</w:t>
      </w:r>
      <w:r>
        <w:rPr>
          <w:spacing w:val="39"/>
        </w:rPr>
        <w:t xml:space="preserve"> </w:t>
      </w:r>
      <w:r>
        <w:t>compactness</w:t>
      </w:r>
      <w:r>
        <w:rPr>
          <w:spacing w:val="39"/>
        </w:rPr>
        <w:t xml:space="preserve"> </w:t>
      </w:r>
      <w:r>
        <w:t xml:space="preserve">≠ </w:t>
      </w:r>
      <w:r>
        <w:rPr>
          <w:spacing w:val="-17"/>
        </w:rPr>
        <w:t xml:space="preserve"> </w:t>
      </w:r>
      <w:r>
        <w:rPr>
          <w:noProof/>
          <w:spacing w:val="-17"/>
        </w:rPr>
        <w:drawing>
          <wp:inline distT="0" distB="0" distL="0" distR="0">
            <wp:extent cx="104773" cy="161925"/>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61" cstate="print"/>
                    <a:stretch>
                      <a:fillRect/>
                    </a:stretch>
                  </pic:blipFill>
                  <pic:spPr>
                    <a:xfrm>
                      <a:off x="0" y="0"/>
                      <a:ext cx="104773" cy="161925"/>
                    </a:xfrm>
                    <a:prstGeom prst="rect">
                      <a:avLst/>
                    </a:prstGeom>
                  </pic:spPr>
                </pic:pic>
              </a:graphicData>
            </a:graphic>
          </wp:inline>
        </w:drawing>
      </w:r>
      <w:r>
        <w:rPr>
          <w:spacing w:val="-17"/>
        </w:rPr>
        <w:t xml:space="preserve"> </w:t>
      </w:r>
      <w:r>
        <w:t>students’ comfort level differences between the first and last three lessons in schools with high energy consumption, building transparencies and</w:t>
      </w:r>
      <w:r>
        <w:rPr>
          <w:spacing w:val="-14"/>
        </w:rPr>
        <w:t xml:space="preserve"> </w:t>
      </w:r>
      <w:r>
        <w:t>compactness</w:t>
      </w:r>
    </w:p>
    <w:p w:rsidR="00F3177F" w:rsidRDefault="00F3177F">
      <w:pPr>
        <w:pStyle w:val="BodyText"/>
      </w:pPr>
    </w:p>
    <w:p w:rsidR="00F3177F" w:rsidRDefault="0089671D">
      <w:pPr>
        <w:pStyle w:val="BodyText"/>
        <w:spacing w:before="157"/>
        <w:ind w:left="584"/>
        <w:jc w:val="both"/>
      </w:pPr>
      <w:r>
        <w:t xml:space="preserve">The </w:t>
      </w:r>
      <w:proofErr w:type="gramStart"/>
      <w:r>
        <w:t>items  16</w:t>
      </w:r>
      <w:proofErr w:type="gramEnd"/>
      <w:r>
        <w:t>-23 in  the  research questionnaire  are directly linked to  students’     well-</w:t>
      </w:r>
    </w:p>
    <w:p w:rsidR="00F3177F" w:rsidRDefault="0089671D">
      <w:pPr>
        <w:pStyle w:val="BodyText"/>
        <w:spacing w:before="5" w:line="410" w:lineRule="atLeast"/>
        <w:ind w:left="584" w:right="116"/>
        <w:jc w:val="both"/>
      </w:pPr>
      <w:proofErr w:type="gramStart"/>
      <w:r>
        <w:t>being</w:t>
      </w:r>
      <w:proofErr w:type="gramEnd"/>
      <w:r>
        <w:t>. The other items under the subtitle ‘Well-being’ are more related to outdoor effects. The research results show that students’ complaint level in the first three lessons</w:t>
      </w:r>
    </w:p>
    <w:p w:rsidR="00F3177F" w:rsidRDefault="00F3177F">
      <w:pPr>
        <w:spacing w:line="410" w:lineRule="atLeast"/>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4"/>
        <w:jc w:val="both"/>
      </w:pPr>
      <w:proofErr w:type="gramStart"/>
      <w:r>
        <w:lastRenderedPageBreak/>
        <w:t>is</w:t>
      </w:r>
      <w:proofErr w:type="gramEnd"/>
      <w:r>
        <w:t xml:space="preserve"> 47.55% while it is 55.65% in the last three lessons in MINECSs. The same figures in MAXECSs are 30.42% and 34.79%, respectively. Students’ complaint levels increase by 8.1% in MINECSs while they increase by 4.37% in MAXECSs. It shows that complaint level differences between the first three and last three lessons changes 3.73% more in MINECSs than MAXECSs. Thus, it can be derived from the results that students in MINECSs are more affected when the number of lessons is increased than the students in MAXECSs. The results reject the null hypothesis with a Chi-square statistic of 366.069, a </w:t>
      </w:r>
      <w:r>
        <w:rPr>
          <w:i/>
        </w:rPr>
        <w:t>p</w:t>
      </w:r>
      <w:r>
        <w:t xml:space="preserve">-value of 0.0 and Yates’ </w:t>
      </w:r>
      <w:r>
        <w:rPr>
          <w:i/>
        </w:rPr>
        <w:t>p</w:t>
      </w:r>
      <w:r>
        <w:t xml:space="preserve">-value of 0.0 at </w:t>
      </w:r>
      <w:r>
        <w:rPr>
          <w:i/>
        </w:rPr>
        <w:t>p&lt;.05</w:t>
      </w:r>
      <w:r>
        <w:t xml:space="preserve">. Thus, there is statistically significant change between students’ comfort levels in MINECSs and MAXECSs when the attended number of lessons is increased. Likewise, one-way Anova results with the </w:t>
      </w:r>
      <w:r>
        <w:rPr>
          <w:i/>
        </w:rPr>
        <w:t>f</w:t>
      </w:r>
      <w:r>
        <w:t xml:space="preserve">-ratio value of 18.69148 and </w:t>
      </w:r>
      <w:r>
        <w:rPr>
          <w:i/>
        </w:rPr>
        <w:t>p</w:t>
      </w:r>
      <w:r>
        <w:t xml:space="preserve">-value of 0.00001 at </w:t>
      </w:r>
      <w:r>
        <w:rPr>
          <w:i/>
        </w:rPr>
        <w:t>p</w:t>
      </w:r>
      <w:r>
        <w:t>&lt;.05 indicates significance. Table 34 and Table 35 below show Chi-square and Anova results,</w:t>
      </w:r>
      <w:r>
        <w:rPr>
          <w:spacing w:val="-7"/>
        </w:rPr>
        <w:t xml:space="preserve"> </w:t>
      </w:r>
      <w:r>
        <w:t>respectively.</w:t>
      </w:r>
    </w:p>
    <w:p w:rsidR="00F3177F" w:rsidRDefault="00F3177F">
      <w:pPr>
        <w:pStyle w:val="BodyText"/>
        <w:spacing w:before="1"/>
      </w:pPr>
    </w:p>
    <w:p w:rsidR="00F3177F" w:rsidRDefault="0089671D">
      <w:pPr>
        <w:pStyle w:val="BodyText"/>
        <w:ind w:left="584" w:right="119"/>
        <w:jc w:val="both"/>
      </w:pPr>
      <w:r>
        <w:t>Table 34: Chi-square test results for number of attended lessons and students’ complaint levels</w:t>
      </w:r>
    </w:p>
    <w:p w:rsidR="00F3177F" w:rsidRDefault="00F3177F">
      <w:pPr>
        <w:pStyle w:val="BodyText"/>
        <w:spacing w:before="9"/>
        <w:rPr>
          <w:sz w:val="12"/>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1172"/>
        <w:gridCol w:w="1529"/>
        <w:gridCol w:w="1440"/>
        <w:gridCol w:w="1441"/>
        <w:gridCol w:w="1440"/>
      </w:tblGrid>
      <w:tr w:rsidR="00F3177F">
        <w:trPr>
          <w:trHeight w:hRule="exact" w:val="629"/>
        </w:trPr>
        <w:tc>
          <w:tcPr>
            <w:tcW w:w="1454" w:type="dxa"/>
          </w:tcPr>
          <w:p w:rsidR="00F3177F" w:rsidRDefault="00F3177F"/>
        </w:tc>
        <w:tc>
          <w:tcPr>
            <w:tcW w:w="1172" w:type="dxa"/>
          </w:tcPr>
          <w:p w:rsidR="00F3177F" w:rsidRDefault="0089671D">
            <w:pPr>
              <w:pStyle w:val="TableParagraph"/>
              <w:spacing w:before="164"/>
              <w:ind w:left="62" w:right="63"/>
              <w:jc w:val="center"/>
              <w:rPr>
                <w:sz w:val="24"/>
              </w:rPr>
            </w:pPr>
            <w:r>
              <w:rPr>
                <w:sz w:val="24"/>
              </w:rPr>
              <w:t>Value</w:t>
            </w:r>
          </w:p>
        </w:tc>
        <w:tc>
          <w:tcPr>
            <w:tcW w:w="1529" w:type="dxa"/>
          </w:tcPr>
          <w:p w:rsidR="00F3177F" w:rsidRDefault="0089671D">
            <w:pPr>
              <w:pStyle w:val="TableParagraph"/>
              <w:spacing w:before="25"/>
              <w:ind w:left="357" w:right="245" w:hanging="96"/>
              <w:rPr>
                <w:sz w:val="24"/>
              </w:rPr>
            </w:pPr>
            <w:r>
              <w:rPr>
                <w:sz w:val="24"/>
              </w:rPr>
              <w:t>degrees of freedom</w:t>
            </w:r>
          </w:p>
        </w:tc>
        <w:tc>
          <w:tcPr>
            <w:tcW w:w="1440" w:type="dxa"/>
          </w:tcPr>
          <w:p w:rsidR="00F3177F" w:rsidRDefault="0089671D">
            <w:pPr>
              <w:pStyle w:val="TableParagraph"/>
              <w:spacing w:before="164"/>
              <w:ind w:left="124" w:right="125"/>
              <w:jc w:val="center"/>
              <w:rPr>
                <w:sz w:val="24"/>
              </w:rPr>
            </w:pPr>
            <w:r>
              <w:rPr>
                <w:i/>
                <w:sz w:val="24"/>
              </w:rPr>
              <w:t>p</w:t>
            </w:r>
            <w:r>
              <w:rPr>
                <w:sz w:val="24"/>
              </w:rPr>
              <w:t>-value</w:t>
            </w:r>
          </w:p>
        </w:tc>
        <w:tc>
          <w:tcPr>
            <w:tcW w:w="1441" w:type="dxa"/>
          </w:tcPr>
          <w:p w:rsidR="00F3177F" w:rsidRDefault="0089671D">
            <w:pPr>
              <w:pStyle w:val="TableParagraph"/>
              <w:spacing w:before="25"/>
              <w:ind w:left="215" w:right="216" w:firstLine="204"/>
              <w:rPr>
                <w:sz w:val="24"/>
              </w:rPr>
            </w:pPr>
            <w:r>
              <w:rPr>
                <w:sz w:val="24"/>
              </w:rPr>
              <w:t>Yates' chi-square</w:t>
            </w:r>
          </w:p>
        </w:tc>
        <w:tc>
          <w:tcPr>
            <w:tcW w:w="1440" w:type="dxa"/>
          </w:tcPr>
          <w:p w:rsidR="00F3177F" w:rsidRDefault="0089671D">
            <w:pPr>
              <w:pStyle w:val="TableParagraph"/>
              <w:spacing w:before="25"/>
              <w:ind w:left="391"/>
              <w:rPr>
                <w:sz w:val="24"/>
              </w:rPr>
            </w:pPr>
            <w:r>
              <w:rPr>
                <w:sz w:val="24"/>
              </w:rPr>
              <w:t>Yates'</w:t>
            </w:r>
          </w:p>
          <w:p w:rsidR="00F3177F" w:rsidRDefault="0089671D">
            <w:pPr>
              <w:pStyle w:val="TableParagraph"/>
              <w:ind w:left="355"/>
              <w:rPr>
                <w:sz w:val="24"/>
              </w:rPr>
            </w:pPr>
            <w:r>
              <w:rPr>
                <w:i/>
                <w:sz w:val="24"/>
              </w:rPr>
              <w:t>p</w:t>
            </w:r>
            <w:r>
              <w:rPr>
                <w:sz w:val="24"/>
              </w:rPr>
              <w:t>-value</w:t>
            </w:r>
          </w:p>
        </w:tc>
      </w:tr>
      <w:tr w:rsidR="00F3177F">
        <w:trPr>
          <w:trHeight w:hRule="exact" w:val="631"/>
        </w:trPr>
        <w:tc>
          <w:tcPr>
            <w:tcW w:w="1454" w:type="dxa"/>
          </w:tcPr>
          <w:p w:rsidR="00F3177F" w:rsidRDefault="0089671D">
            <w:pPr>
              <w:pStyle w:val="TableParagraph"/>
              <w:spacing w:before="164"/>
              <w:ind w:left="175"/>
              <w:rPr>
                <w:sz w:val="24"/>
              </w:rPr>
            </w:pPr>
            <w:r>
              <w:rPr>
                <w:sz w:val="24"/>
              </w:rPr>
              <w:t>Chi-Square</w:t>
            </w:r>
          </w:p>
        </w:tc>
        <w:tc>
          <w:tcPr>
            <w:tcW w:w="1172" w:type="dxa"/>
          </w:tcPr>
          <w:p w:rsidR="00F3177F" w:rsidRDefault="0089671D">
            <w:pPr>
              <w:pStyle w:val="TableParagraph"/>
              <w:spacing w:before="164"/>
              <w:ind w:left="62" w:right="63"/>
              <w:jc w:val="center"/>
              <w:rPr>
                <w:sz w:val="24"/>
              </w:rPr>
            </w:pPr>
            <w:r>
              <w:rPr>
                <w:sz w:val="24"/>
              </w:rPr>
              <w:t>366.069</w:t>
            </w:r>
          </w:p>
        </w:tc>
        <w:tc>
          <w:tcPr>
            <w:tcW w:w="1529" w:type="dxa"/>
          </w:tcPr>
          <w:p w:rsidR="00F3177F" w:rsidRDefault="0089671D">
            <w:pPr>
              <w:pStyle w:val="TableParagraph"/>
              <w:spacing w:before="164"/>
              <w:ind w:right="5"/>
              <w:jc w:val="center"/>
              <w:rPr>
                <w:sz w:val="24"/>
              </w:rPr>
            </w:pPr>
            <w:r>
              <w:rPr>
                <w:sz w:val="24"/>
              </w:rPr>
              <w:t>3</w:t>
            </w:r>
          </w:p>
        </w:tc>
        <w:tc>
          <w:tcPr>
            <w:tcW w:w="1440" w:type="dxa"/>
          </w:tcPr>
          <w:p w:rsidR="00F3177F" w:rsidRDefault="0089671D">
            <w:pPr>
              <w:pStyle w:val="TableParagraph"/>
              <w:spacing w:before="164"/>
              <w:ind w:left="124" w:right="125"/>
              <w:jc w:val="center"/>
              <w:rPr>
                <w:sz w:val="24"/>
              </w:rPr>
            </w:pPr>
            <w:r>
              <w:rPr>
                <w:sz w:val="24"/>
              </w:rPr>
              <w:t>0.0</w:t>
            </w:r>
          </w:p>
        </w:tc>
        <w:tc>
          <w:tcPr>
            <w:tcW w:w="1441" w:type="dxa"/>
          </w:tcPr>
          <w:p w:rsidR="00F3177F" w:rsidRDefault="0089671D">
            <w:pPr>
              <w:pStyle w:val="TableParagraph"/>
              <w:spacing w:before="164"/>
              <w:ind w:left="323" w:right="216"/>
              <w:rPr>
                <w:sz w:val="24"/>
              </w:rPr>
            </w:pPr>
            <w:r>
              <w:rPr>
                <w:sz w:val="24"/>
              </w:rPr>
              <w:t>364.358</w:t>
            </w:r>
          </w:p>
        </w:tc>
        <w:tc>
          <w:tcPr>
            <w:tcW w:w="1440" w:type="dxa"/>
          </w:tcPr>
          <w:p w:rsidR="00F3177F" w:rsidRDefault="0089671D">
            <w:pPr>
              <w:pStyle w:val="TableParagraph"/>
              <w:spacing w:before="164"/>
              <w:ind w:left="139" w:right="139"/>
              <w:jc w:val="center"/>
              <w:rPr>
                <w:sz w:val="24"/>
              </w:rPr>
            </w:pPr>
            <w:r>
              <w:rPr>
                <w:sz w:val="24"/>
              </w:rPr>
              <w:t>0.0</w:t>
            </w:r>
          </w:p>
        </w:tc>
      </w:tr>
    </w:tbl>
    <w:p w:rsidR="00F3177F" w:rsidRDefault="00F3177F">
      <w:pPr>
        <w:pStyle w:val="BodyText"/>
        <w:spacing w:before="3"/>
        <w:rPr>
          <w:sz w:val="17"/>
        </w:rPr>
      </w:pPr>
    </w:p>
    <w:p w:rsidR="00F3177F" w:rsidRDefault="0089671D">
      <w:pPr>
        <w:pStyle w:val="BodyText"/>
        <w:spacing w:before="69"/>
        <w:ind w:left="584" w:right="562"/>
      </w:pPr>
      <w:r>
        <w:t>Table 35: One-way Anova results for number of attended lessons and students’ complaint levels</w:t>
      </w:r>
    </w:p>
    <w:p w:rsidR="00F3177F" w:rsidRDefault="00F3177F">
      <w:pPr>
        <w:pStyle w:val="BodyText"/>
        <w:spacing w:before="6" w:after="1"/>
        <w:rPr>
          <w:sz w:val="12"/>
        </w:rPr>
      </w:pPr>
    </w:p>
    <w:tbl>
      <w:tblPr>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1800"/>
        <w:gridCol w:w="720"/>
        <w:gridCol w:w="1529"/>
        <w:gridCol w:w="1261"/>
        <w:gridCol w:w="1260"/>
      </w:tblGrid>
      <w:tr w:rsidR="00F3177F">
        <w:trPr>
          <w:trHeight w:hRule="exact" w:val="605"/>
        </w:trPr>
        <w:tc>
          <w:tcPr>
            <w:tcW w:w="1906" w:type="dxa"/>
          </w:tcPr>
          <w:p w:rsidR="00F3177F" w:rsidRDefault="0089671D">
            <w:pPr>
              <w:pStyle w:val="TableParagraph"/>
              <w:spacing w:before="152"/>
              <w:ind w:left="123" w:right="123"/>
              <w:jc w:val="center"/>
              <w:rPr>
                <w:sz w:val="24"/>
              </w:rPr>
            </w:pPr>
            <w:r>
              <w:rPr>
                <w:sz w:val="24"/>
              </w:rPr>
              <w:t>Source</w:t>
            </w:r>
          </w:p>
        </w:tc>
        <w:tc>
          <w:tcPr>
            <w:tcW w:w="1800" w:type="dxa"/>
          </w:tcPr>
          <w:p w:rsidR="00F3177F" w:rsidRDefault="0089671D">
            <w:pPr>
              <w:pStyle w:val="TableParagraph"/>
              <w:spacing w:before="152"/>
              <w:ind w:left="114" w:right="115"/>
              <w:jc w:val="center"/>
              <w:rPr>
                <w:sz w:val="24"/>
              </w:rPr>
            </w:pPr>
            <w:r>
              <w:rPr>
                <w:sz w:val="24"/>
              </w:rPr>
              <w:t>Sum of Squares</w:t>
            </w:r>
          </w:p>
        </w:tc>
        <w:tc>
          <w:tcPr>
            <w:tcW w:w="720" w:type="dxa"/>
          </w:tcPr>
          <w:p w:rsidR="00F3177F" w:rsidRDefault="0089671D">
            <w:pPr>
              <w:pStyle w:val="TableParagraph"/>
              <w:spacing w:before="152"/>
              <w:ind w:left="254"/>
              <w:rPr>
                <w:sz w:val="24"/>
              </w:rPr>
            </w:pPr>
            <w:r>
              <w:rPr>
                <w:sz w:val="24"/>
              </w:rPr>
              <w:t>df</w:t>
            </w:r>
          </w:p>
        </w:tc>
        <w:tc>
          <w:tcPr>
            <w:tcW w:w="1529" w:type="dxa"/>
          </w:tcPr>
          <w:p w:rsidR="00F3177F" w:rsidRDefault="0089671D">
            <w:pPr>
              <w:pStyle w:val="TableParagraph"/>
              <w:spacing w:before="152"/>
              <w:ind w:left="102" w:right="103"/>
              <w:jc w:val="center"/>
              <w:rPr>
                <w:sz w:val="24"/>
              </w:rPr>
            </w:pPr>
            <w:r>
              <w:rPr>
                <w:sz w:val="24"/>
              </w:rPr>
              <w:t>Mean Square</w:t>
            </w:r>
          </w:p>
        </w:tc>
        <w:tc>
          <w:tcPr>
            <w:tcW w:w="1261" w:type="dxa"/>
          </w:tcPr>
          <w:p w:rsidR="00F3177F" w:rsidRDefault="0089671D">
            <w:pPr>
              <w:pStyle w:val="TableParagraph"/>
              <w:spacing w:before="152"/>
              <w:ind w:right="1"/>
              <w:jc w:val="center"/>
              <w:rPr>
                <w:sz w:val="24"/>
              </w:rPr>
            </w:pPr>
            <w:r>
              <w:rPr>
                <w:w w:val="99"/>
                <w:sz w:val="24"/>
              </w:rPr>
              <w:t>F</w:t>
            </w:r>
          </w:p>
        </w:tc>
        <w:tc>
          <w:tcPr>
            <w:tcW w:w="1260" w:type="dxa"/>
          </w:tcPr>
          <w:p w:rsidR="00F3177F" w:rsidRDefault="0089671D">
            <w:pPr>
              <w:pStyle w:val="TableParagraph"/>
              <w:spacing w:before="152"/>
              <w:ind w:left="72" w:right="72"/>
              <w:jc w:val="center"/>
              <w:rPr>
                <w:sz w:val="24"/>
              </w:rPr>
            </w:pPr>
            <w:r>
              <w:rPr>
                <w:sz w:val="24"/>
              </w:rPr>
              <w:t>Sig.</w:t>
            </w:r>
          </w:p>
        </w:tc>
      </w:tr>
      <w:tr w:rsidR="00F3177F">
        <w:trPr>
          <w:trHeight w:hRule="exact" w:val="449"/>
        </w:trPr>
        <w:tc>
          <w:tcPr>
            <w:tcW w:w="1906" w:type="dxa"/>
          </w:tcPr>
          <w:p w:rsidR="00F3177F" w:rsidRDefault="0089671D">
            <w:pPr>
              <w:pStyle w:val="TableParagraph"/>
              <w:spacing w:before="73"/>
              <w:ind w:left="123" w:right="126"/>
              <w:jc w:val="center"/>
              <w:rPr>
                <w:sz w:val="24"/>
              </w:rPr>
            </w:pPr>
            <w:r>
              <w:rPr>
                <w:sz w:val="24"/>
              </w:rPr>
              <w:t>Between Groups</w:t>
            </w:r>
          </w:p>
        </w:tc>
        <w:tc>
          <w:tcPr>
            <w:tcW w:w="1800" w:type="dxa"/>
          </w:tcPr>
          <w:p w:rsidR="00F3177F" w:rsidRDefault="0089671D">
            <w:pPr>
              <w:pStyle w:val="TableParagraph"/>
              <w:spacing w:before="73"/>
              <w:ind w:left="114" w:right="114"/>
              <w:jc w:val="center"/>
              <w:rPr>
                <w:sz w:val="24"/>
              </w:rPr>
            </w:pPr>
            <w:r>
              <w:rPr>
                <w:sz w:val="24"/>
              </w:rPr>
              <w:t>1.4627</w:t>
            </w:r>
          </w:p>
        </w:tc>
        <w:tc>
          <w:tcPr>
            <w:tcW w:w="720" w:type="dxa"/>
          </w:tcPr>
          <w:p w:rsidR="00F3177F" w:rsidRDefault="0089671D">
            <w:pPr>
              <w:pStyle w:val="TableParagraph"/>
              <w:spacing w:before="73"/>
              <w:jc w:val="center"/>
              <w:rPr>
                <w:sz w:val="24"/>
              </w:rPr>
            </w:pPr>
            <w:r>
              <w:rPr>
                <w:sz w:val="24"/>
              </w:rPr>
              <w:t>3</w:t>
            </w:r>
          </w:p>
        </w:tc>
        <w:tc>
          <w:tcPr>
            <w:tcW w:w="1529" w:type="dxa"/>
          </w:tcPr>
          <w:p w:rsidR="00F3177F" w:rsidRDefault="0089671D">
            <w:pPr>
              <w:pStyle w:val="TableParagraph"/>
              <w:spacing w:before="73"/>
              <w:ind w:left="102" w:right="102"/>
              <w:jc w:val="center"/>
              <w:rPr>
                <w:sz w:val="24"/>
              </w:rPr>
            </w:pPr>
            <w:r>
              <w:rPr>
                <w:sz w:val="24"/>
              </w:rPr>
              <w:t>0.4876</w:t>
            </w:r>
          </w:p>
        </w:tc>
        <w:tc>
          <w:tcPr>
            <w:tcW w:w="1261" w:type="dxa"/>
          </w:tcPr>
          <w:p w:rsidR="00F3177F" w:rsidRDefault="0089671D">
            <w:pPr>
              <w:pStyle w:val="TableParagraph"/>
              <w:spacing w:before="73"/>
              <w:ind w:left="155" w:right="155"/>
              <w:jc w:val="center"/>
              <w:rPr>
                <w:sz w:val="24"/>
              </w:rPr>
            </w:pPr>
            <w:r>
              <w:rPr>
                <w:sz w:val="24"/>
              </w:rPr>
              <w:t>18.69148</w:t>
            </w:r>
          </w:p>
        </w:tc>
        <w:tc>
          <w:tcPr>
            <w:tcW w:w="1260" w:type="dxa"/>
          </w:tcPr>
          <w:p w:rsidR="00F3177F" w:rsidRDefault="0089671D">
            <w:pPr>
              <w:pStyle w:val="TableParagraph"/>
              <w:spacing w:before="73"/>
              <w:ind w:left="72" w:right="72"/>
              <w:jc w:val="center"/>
              <w:rPr>
                <w:sz w:val="24"/>
              </w:rPr>
            </w:pPr>
            <w:r>
              <w:rPr>
                <w:sz w:val="24"/>
              </w:rPr>
              <w:t>0.00001</w:t>
            </w:r>
          </w:p>
        </w:tc>
      </w:tr>
      <w:tr w:rsidR="00F3177F">
        <w:trPr>
          <w:trHeight w:hRule="exact" w:val="451"/>
        </w:trPr>
        <w:tc>
          <w:tcPr>
            <w:tcW w:w="1906" w:type="dxa"/>
          </w:tcPr>
          <w:p w:rsidR="00F3177F" w:rsidRDefault="0089671D">
            <w:pPr>
              <w:pStyle w:val="TableParagraph"/>
              <w:spacing w:before="73"/>
              <w:ind w:left="123" w:right="124"/>
              <w:jc w:val="center"/>
              <w:rPr>
                <w:sz w:val="24"/>
              </w:rPr>
            </w:pPr>
            <w:r>
              <w:rPr>
                <w:sz w:val="24"/>
              </w:rPr>
              <w:t>Within Groups</w:t>
            </w:r>
          </w:p>
        </w:tc>
        <w:tc>
          <w:tcPr>
            <w:tcW w:w="1800" w:type="dxa"/>
          </w:tcPr>
          <w:p w:rsidR="00F3177F" w:rsidRDefault="0089671D">
            <w:pPr>
              <w:pStyle w:val="TableParagraph"/>
              <w:spacing w:before="73"/>
              <w:ind w:left="114" w:right="114"/>
              <w:jc w:val="center"/>
              <w:rPr>
                <w:sz w:val="24"/>
              </w:rPr>
            </w:pPr>
            <w:r>
              <w:rPr>
                <w:sz w:val="24"/>
              </w:rPr>
              <w:t>18.4946</w:t>
            </w:r>
          </w:p>
        </w:tc>
        <w:tc>
          <w:tcPr>
            <w:tcW w:w="720" w:type="dxa"/>
          </w:tcPr>
          <w:p w:rsidR="00F3177F" w:rsidRDefault="0089671D">
            <w:pPr>
              <w:pStyle w:val="TableParagraph"/>
              <w:spacing w:before="73"/>
              <w:ind w:left="175"/>
              <w:rPr>
                <w:sz w:val="24"/>
              </w:rPr>
            </w:pPr>
            <w:r>
              <w:rPr>
                <w:sz w:val="24"/>
              </w:rPr>
              <w:t>709</w:t>
            </w:r>
          </w:p>
        </w:tc>
        <w:tc>
          <w:tcPr>
            <w:tcW w:w="1529" w:type="dxa"/>
          </w:tcPr>
          <w:p w:rsidR="00F3177F" w:rsidRDefault="0089671D">
            <w:pPr>
              <w:pStyle w:val="TableParagraph"/>
              <w:spacing w:before="73"/>
              <w:ind w:left="102" w:right="102"/>
              <w:jc w:val="center"/>
              <w:rPr>
                <w:sz w:val="24"/>
              </w:rPr>
            </w:pPr>
            <w:r>
              <w:rPr>
                <w:sz w:val="24"/>
              </w:rPr>
              <w:t>0.0261</w:t>
            </w:r>
          </w:p>
        </w:tc>
        <w:tc>
          <w:tcPr>
            <w:tcW w:w="1261" w:type="dxa"/>
          </w:tcPr>
          <w:p w:rsidR="00F3177F" w:rsidRDefault="00F3177F"/>
        </w:tc>
        <w:tc>
          <w:tcPr>
            <w:tcW w:w="1260" w:type="dxa"/>
          </w:tcPr>
          <w:p w:rsidR="00F3177F" w:rsidRDefault="00F3177F"/>
        </w:tc>
      </w:tr>
      <w:tr w:rsidR="00F3177F">
        <w:trPr>
          <w:trHeight w:hRule="exact" w:val="351"/>
        </w:trPr>
        <w:tc>
          <w:tcPr>
            <w:tcW w:w="1906" w:type="dxa"/>
          </w:tcPr>
          <w:p w:rsidR="00F3177F" w:rsidRDefault="0089671D">
            <w:pPr>
              <w:pStyle w:val="TableParagraph"/>
              <w:spacing w:before="23"/>
              <w:ind w:left="123" w:right="124"/>
              <w:jc w:val="center"/>
              <w:rPr>
                <w:sz w:val="24"/>
              </w:rPr>
            </w:pPr>
            <w:r>
              <w:rPr>
                <w:sz w:val="24"/>
              </w:rPr>
              <w:t>Total</w:t>
            </w:r>
          </w:p>
        </w:tc>
        <w:tc>
          <w:tcPr>
            <w:tcW w:w="1800" w:type="dxa"/>
          </w:tcPr>
          <w:p w:rsidR="00F3177F" w:rsidRDefault="0089671D">
            <w:pPr>
              <w:pStyle w:val="TableParagraph"/>
              <w:spacing w:before="23"/>
              <w:ind w:left="114" w:right="114"/>
              <w:jc w:val="center"/>
              <w:rPr>
                <w:sz w:val="24"/>
              </w:rPr>
            </w:pPr>
            <w:r>
              <w:rPr>
                <w:sz w:val="24"/>
              </w:rPr>
              <w:t>19.9573</w:t>
            </w:r>
          </w:p>
        </w:tc>
        <w:tc>
          <w:tcPr>
            <w:tcW w:w="720" w:type="dxa"/>
          </w:tcPr>
          <w:p w:rsidR="00F3177F" w:rsidRDefault="0089671D">
            <w:pPr>
              <w:pStyle w:val="TableParagraph"/>
              <w:spacing w:before="23"/>
              <w:ind w:left="175"/>
              <w:rPr>
                <w:sz w:val="24"/>
              </w:rPr>
            </w:pPr>
            <w:r>
              <w:rPr>
                <w:sz w:val="24"/>
              </w:rPr>
              <w:t>712</w:t>
            </w:r>
          </w:p>
        </w:tc>
        <w:tc>
          <w:tcPr>
            <w:tcW w:w="1529" w:type="dxa"/>
          </w:tcPr>
          <w:p w:rsidR="00F3177F" w:rsidRDefault="00F3177F"/>
        </w:tc>
        <w:tc>
          <w:tcPr>
            <w:tcW w:w="1261" w:type="dxa"/>
          </w:tcPr>
          <w:p w:rsidR="00F3177F" w:rsidRDefault="00F3177F"/>
        </w:tc>
        <w:tc>
          <w:tcPr>
            <w:tcW w:w="1260" w:type="dxa"/>
          </w:tcPr>
          <w:p w:rsidR="00F3177F" w:rsidRDefault="00F3177F"/>
        </w:tc>
      </w:tr>
    </w:tbl>
    <w:p w:rsidR="00F3177F" w:rsidRDefault="00F3177F">
      <w:pPr>
        <w:pStyle w:val="BodyText"/>
        <w:spacing w:before="7"/>
        <w:rPr>
          <w:sz w:val="29"/>
        </w:rPr>
      </w:pPr>
    </w:p>
    <w:p w:rsidR="00F3177F" w:rsidRDefault="0089671D" w:rsidP="009978E7">
      <w:pPr>
        <w:pStyle w:val="BodyText"/>
        <w:spacing w:before="69" w:line="360" w:lineRule="auto"/>
        <w:ind w:left="584" w:right="65"/>
        <w:jc w:val="both"/>
      </w:pPr>
      <w:r>
        <w:t xml:space="preserve">Thus, the results of Chi-square and one-way Anova show that higher degrees of </w:t>
      </w:r>
      <w:r w:rsidR="009978E7">
        <w:t>d</w:t>
      </w:r>
      <w:r>
        <w:t>ifferences appear between students’ comfort levels in low energy consuming schools</w:t>
      </w:r>
      <w:r w:rsidR="009978E7">
        <w:t xml:space="preserve"> </w:t>
      </w:r>
      <w:r>
        <w:t>than high energy consuming schools when the attended number of lessons increases.</w:t>
      </w:r>
    </w:p>
    <w:p w:rsidR="00F3177F" w:rsidRDefault="00F3177F" w:rsidP="009978E7">
      <w:pPr>
        <w:jc w:val="both"/>
        <w:sectPr w:rsidR="00F3177F">
          <w:pgSz w:w="12240" w:h="15840"/>
          <w:pgMar w:top="1380" w:right="1320" w:bottom="2320" w:left="1720" w:header="0" w:footer="2072" w:gutter="0"/>
          <w:cols w:space="720"/>
        </w:sectPr>
      </w:pPr>
    </w:p>
    <w:p w:rsidR="00F3177F" w:rsidRDefault="0089671D">
      <w:pPr>
        <w:pStyle w:val="BodyText"/>
        <w:spacing w:before="54" w:line="355" w:lineRule="auto"/>
        <w:ind w:left="584" w:right="119"/>
        <w:jc w:val="both"/>
      </w:pPr>
      <w:r>
        <w:rPr>
          <w:b/>
        </w:rPr>
        <w:lastRenderedPageBreak/>
        <w:t>H</w:t>
      </w:r>
      <w:r>
        <w:rPr>
          <w:b/>
          <w:position w:val="-2"/>
          <w:sz w:val="16"/>
        </w:rPr>
        <w:t>4</w:t>
      </w:r>
      <w:r>
        <w:rPr>
          <w:b/>
        </w:rPr>
        <w:t xml:space="preserve">: </w:t>
      </w:r>
      <w:r>
        <w:t>Students in schools with low energy consumption, building transparencies and compactness have higher levels of health problems than students in schools with high energy consumption, building transparencies and compactness.</w:t>
      </w:r>
    </w:p>
    <w:p w:rsidR="00F3177F" w:rsidRDefault="00F3177F">
      <w:pPr>
        <w:pStyle w:val="BodyText"/>
      </w:pPr>
    </w:p>
    <w:p w:rsidR="00F3177F" w:rsidRDefault="0089671D">
      <w:pPr>
        <w:pStyle w:val="BodyText"/>
        <w:spacing w:before="148" w:line="360" w:lineRule="auto"/>
        <w:ind w:left="584" w:right="117"/>
        <w:jc w:val="both"/>
      </w:pPr>
      <w:r>
        <w:t xml:space="preserve">As school children are more vulnerable to unfavorable conditions than adults, energy consumption that affects indoor environmental conditions can be of importance </w:t>
      </w:r>
      <w:proofErr w:type="gramStart"/>
      <w:r>
        <w:t>from  the</w:t>
      </w:r>
      <w:proofErr w:type="gramEnd"/>
      <w:r>
        <w:t xml:space="preserve"> point of students’ health. Shaikh </w:t>
      </w:r>
      <w:proofErr w:type="gramStart"/>
      <w:r>
        <w:t>et</w:t>
      </w:r>
      <w:proofErr w:type="gramEnd"/>
      <w:r>
        <w:t>. al. (2013) draws attention to the impact of indoor comfort on occupant’s health while Clements-Croome (2006) states that students’ thermal comfort and needs could play a significant role on their health and well-being.</w:t>
      </w:r>
    </w:p>
    <w:p w:rsidR="00F3177F" w:rsidRDefault="00F3177F">
      <w:pPr>
        <w:pStyle w:val="BodyText"/>
      </w:pPr>
    </w:p>
    <w:p w:rsidR="00F3177F" w:rsidRDefault="0089671D">
      <w:pPr>
        <w:pStyle w:val="BodyText"/>
        <w:spacing w:before="143"/>
        <w:ind w:left="584"/>
        <w:jc w:val="both"/>
      </w:pPr>
      <w:r>
        <w:t>The null hypothesis:</w:t>
      </w:r>
    </w:p>
    <w:p w:rsidR="00F3177F" w:rsidRDefault="0089671D">
      <w:pPr>
        <w:pStyle w:val="BodyText"/>
        <w:spacing w:before="144" w:line="340" w:lineRule="auto"/>
        <w:ind w:left="584" w:right="116"/>
        <w:jc w:val="both"/>
      </w:pPr>
      <w:r>
        <w:rPr>
          <w:spacing w:val="-1"/>
        </w:rPr>
        <w:t>H</w:t>
      </w:r>
      <w:r>
        <w:rPr>
          <w:spacing w:val="-1"/>
          <w:position w:val="-2"/>
          <w:sz w:val="16"/>
        </w:rPr>
        <w:t>0</w:t>
      </w:r>
      <w:r>
        <w:rPr>
          <w:spacing w:val="-1"/>
        </w:rPr>
        <w:t xml:space="preserve">:  </w:t>
      </w:r>
      <w:r>
        <w:rPr>
          <w:noProof/>
          <w:spacing w:val="-9"/>
        </w:rPr>
        <w:drawing>
          <wp:inline distT="0" distB="0" distL="0" distR="0">
            <wp:extent cx="104775" cy="161671"/>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61" cstate="print"/>
                    <a:stretch>
                      <a:fillRect/>
                    </a:stretch>
                  </pic:blipFill>
                  <pic:spPr>
                    <a:xfrm>
                      <a:off x="0" y="0"/>
                      <a:ext cx="104775" cy="161671"/>
                    </a:xfrm>
                    <a:prstGeom prst="rect">
                      <a:avLst/>
                    </a:prstGeom>
                  </pic:spPr>
                </pic:pic>
              </a:graphicData>
            </a:graphic>
          </wp:inline>
        </w:drawing>
      </w:r>
      <w:r>
        <w:rPr>
          <w:spacing w:val="-9"/>
        </w:rPr>
        <w:t xml:space="preserve"> </w:t>
      </w:r>
      <w:r>
        <w:rPr>
          <w:spacing w:val="-10"/>
        </w:rPr>
        <w:t xml:space="preserve"> </w:t>
      </w:r>
      <w:r>
        <w:t xml:space="preserve">level of students’ health problems in schools with low energy consumption, building transparencies and compactness =  </w:t>
      </w:r>
      <w:r>
        <w:rPr>
          <w:noProof/>
          <w:spacing w:val="-5"/>
        </w:rPr>
        <w:drawing>
          <wp:inline distT="0" distB="0" distL="0" distR="0">
            <wp:extent cx="104775" cy="161925"/>
            <wp:effectExtent l="0" t="0" r="0" b="0"/>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5"/>
        </w:rPr>
        <w:t xml:space="preserve"> </w:t>
      </w:r>
      <w:r>
        <w:rPr>
          <w:spacing w:val="-8"/>
        </w:rPr>
        <w:t xml:space="preserve"> </w:t>
      </w:r>
      <w:r>
        <w:t>level of students’ health problems in schools with high energy consumption, building transparencies and</w:t>
      </w:r>
      <w:r>
        <w:rPr>
          <w:spacing w:val="-13"/>
        </w:rPr>
        <w:t xml:space="preserve"> </w:t>
      </w:r>
      <w:r>
        <w:t>compactness</w:t>
      </w:r>
    </w:p>
    <w:p w:rsidR="00F3177F" w:rsidRDefault="0089671D">
      <w:pPr>
        <w:pStyle w:val="BodyText"/>
        <w:spacing w:before="25"/>
        <w:ind w:left="584"/>
        <w:jc w:val="both"/>
      </w:pPr>
      <w:r>
        <w:t>The alternate hypothesis:</w:t>
      </w:r>
    </w:p>
    <w:p w:rsidR="00F3177F" w:rsidRDefault="0089671D">
      <w:pPr>
        <w:pStyle w:val="BodyText"/>
        <w:spacing w:before="144" w:line="345" w:lineRule="auto"/>
        <w:ind w:left="584" w:right="116"/>
        <w:jc w:val="both"/>
      </w:pPr>
      <w:r>
        <w:rPr>
          <w:spacing w:val="-2"/>
        </w:rPr>
        <w:t>H</w:t>
      </w:r>
      <w:r>
        <w:rPr>
          <w:spacing w:val="-2"/>
          <w:position w:val="-2"/>
          <w:sz w:val="16"/>
        </w:rPr>
        <w:t>A</w:t>
      </w:r>
      <w:r>
        <w:rPr>
          <w:spacing w:val="-2"/>
        </w:rPr>
        <w:t xml:space="preserve">:  </w:t>
      </w:r>
      <w:r>
        <w:rPr>
          <w:noProof/>
          <w:spacing w:val="-8"/>
        </w:rPr>
        <w:drawing>
          <wp:inline distT="0" distB="0" distL="0" distR="0">
            <wp:extent cx="104775" cy="161289"/>
            <wp:effectExtent l="0" t="0" r="0" b="0"/>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61" cstate="print"/>
                    <a:stretch>
                      <a:fillRect/>
                    </a:stretch>
                  </pic:blipFill>
                  <pic:spPr>
                    <a:xfrm>
                      <a:off x="0" y="0"/>
                      <a:ext cx="104775" cy="161289"/>
                    </a:xfrm>
                    <a:prstGeom prst="rect">
                      <a:avLst/>
                    </a:prstGeom>
                  </pic:spPr>
                </pic:pic>
              </a:graphicData>
            </a:graphic>
          </wp:inline>
        </w:drawing>
      </w:r>
      <w:r>
        <w:rPr>
          <w:spacing w:val="-8"/>
        </w:rPr>
        <w:t xml:space="preserve"> </w:t>
      </w:r>
      <w:r>
        <w:rPr>
          <w:spacing w:val="-11"/>
        </w:rPr>
        <w:t xml:space="preserve"> </w:t>
      </w:r>
      <w:r>
        <w:t>level of students’ health problems in schools with low energy consumption, building transparencies and compactness ≠ level of students’ health problems in schools with high energy consumption, building transparencies and</w:t>
      </w:r>
      <w:r>
        <w:rPr>
          <w:spacing w:val="-14"/>
        </w:rPr>
        <w:t xml:space="preserve"> </w:t>
      </w:r>
      <w:r>
        <w:t>compactness</w:t>
      </w:r>
    </w:p>
    <w:p w:rsidR="00F3177F" w:rsidRDefault="00F3177F">
      <w:pPr>
        <w:pStyle w:val="BodyText"/>
      </w:pPr>
    </w:p>
    <w:p w:rsidR="00F3177F" w:rsidRDefault="0089671D">
      <w:pPr>
        <w:pStyle w:val="BodyText"/>
        <w:spacing w:before="159" w:line="360" w:lineRule="auto"/>
        <w:ind w:left="584" w:right="111"/>
        <w:jc w:val="both"/>
      </w:pPr>
      <w:r>
        <w:t xml:space="preserve">The items 4-15 in the research questionnaire are listed under the subtitle ‘Health – How are you today’. The research results show that 26.8% of students complain about their health in MINECSs while the same percentage is 21.1% in MAXECSs. That means the students in MINECSs complain by 5.7% more about their health in MINECSs than the students in MAXECSs. The results reject the null hypothesis with a Chi-square statistic of 37.647, a </w:t>
      </w:r>
      <w:r>
        <w:rPr>
          <w:i/>
        </w:rPr>
        <w:t>p</w:t>
      </w:r>
      <w:r>
        <w:t xml:space="preserve">-value of 0.0 and Yates’ </w:t>
      </w:r>
      <w:r>
        <w:rPr>
          <w:i/>
        </w:rPr>
        <w:t>p</w:t>
      </w:r>
      <w:r>
        <w:t xml:space="preserve">-value of 0.0 at </w:t>
      </w:r>
      <w:r>
        <w:rPr>
          <w:i/>
        </w:rPr>
        <w:t>p&lt;.05</w:t>
      </w:r>
      <w:r>
        <w:t xml:space="preserve">. Thus, there is statistically significant difference between students’ health levels in MINECSs and MAXECSs. Also, one-way Anova results with the </w:t>
      </w:r>
      <w:r>
        <w:rPr>
          <w:i/>
        </w:rPr>
        <w:t>f</w:t>
      </w:r>
      <w:r>
        <w:t xml:space="preserve">-ratio value of 14.10443 and </w:t>
      </w:r>
      <w:r>
        <w:rPr>
          <w:i/>
        </w:rPr>
        <w:t>p</w:t>
      </w:r>
      <w:r>
        <w:t>-value of   0.00019</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65"/>
      </w:pPr>
      <w:proofErr w:type="gramStart"/>
      <w:r>
        <w:lastRenderedPageBreak/>
        <w:t>at</w:t>
      </w:r>
      <w:proofErr w:type="gramEnd"/>
      <w:r>
        <w:t xml:space="preserve"> </w:t>
      </w:r>
      <w:r>
        <w:rPr>
          <w:i/>
        </w:rPr>
        <w:t>p</w:t>
      </w:r>
      <w:r>
        <w:t>&lt;.05 indicates significance. Table 36 and Table 37 below show Chi-square and Anova results, respectively.</w:t>
      </w:r>
    </w:p>
    <w:p w:rsidR="00F3177F" w:rsidRDefault="00F3177F">
      <w:pPr>
        <w:pStyle w:val="BodyText"/>
      </w:pPr>
    </w:p>
    <w:p w:rsidR="00F3177F" w:rsidRDefault="0089671D" w:rsidP="00D47CE6">
      <w:pPr>
        <w:pStyle w:val="BodyText"/>
        <w:spacing w:before="140"/>
        <w:ind w:left="584" w:right="65"/>
        <w:jc w:val="both"/>
      </w:pPr>
      <w:r>
        <w:t>Table 36: Chi-square test results for the items concerning students’ health (Items 4-15)</w:t>
      </w:r>
    </w:p>
    <w:p w:rsidR="00F3177F" w:rsidRDefault="00F3177F">
      <w:pPr>
        <w:pStyle w:val="BodyText"/>
        <w:spacing w:before="9"/>
        <w:rPr>
          <w:sz w:val="12"/>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1172"/>
        <w:gridCol w:w="1529"/>
        <w:gridCol w:w="1440"/>
        <w:gridCol w:w="1441"/>
        <w:gridCol w:w="1440"/>
      </w:tblGrid>
      <w:tr w:rsidR="00F3177F">
        <w:trPr>
          <w:trHeight w:hRule="exact" w:val="562"/>
        </w:trPr>
        <w:tc>
          <w:tcPr>
            <w:tcW w:w="1454" w:type="dxa"/>
          </w:tcPr>
          <w:p w:rsidR="00F3177F" w:rsidRDefault="00F3177F"/>
        </w:tc>
        <w:tc>
          <w:tcPr>
            <w:tcW w:w="1172" w:type="dxa"/>
          </w:tcPr>
          <w:p w:rsidR="00F3177F" w:rsidRDefault="0089671D">
            <w:pPr>
              <w:pStyle w:val="TableParagraph"/>
              <w:spacing w:before="131"/>
              <w:ind w:left="62" w:right="63"/>
              <w:jc w:val="center"/>
              <w:rPr>
                <w:sz w:val="24"/>
              </w:rPr>
            </w:pPr>
            <w:r>
              <w:rPr>
                <w:sz w:val="24"/>
              </w:rPr>
              <w:t>Value</w:t>
            </w:r>
          </w:p>
        </w:tc>
        <w:tc>
          <w:tcPr>
            <w:tcW w:w="1529" w:type="dxa"/>
          </w:tcPr>
          <w:p w:rsidR="00F3177F" w:rsidRDefault="0089671D">
            <w:pPr>
              <w:pStyle w:val="TableParagraph"/>
              <w:ind w:left="357" w:right="245" w:hanging="96"/>
              <w:rPr>
                <w:sz w:val="24"/>
              </w:rPr>
            </w:pPr>
            <w:r>
              <w:rPr>
                <w:sz w:val="24"/>
              </w:rPr>
              <w:t>degrees of freedom</w:t>
            </w:r>
          </w:p>
        </w:tc>
        <w:tc>
          <w:tcPr>
            <w:tcW w:w="1440" w:type="dxa"/>
          </w:tcPr>
          <w:p w:rsidR="00F3177F" w:rsidRDefault="0089671D">
            <w:pPr>
              <w:pStyle w:val="TableParagraph"/>
              <w:spacing w:before="131"/>
              <w:ind w:left="124" w:right="125"/>
              <w:jc w:val="center"/>
              <w:rPr>
                <w:sz w:val="24"/>
              </w:rPr>
            </w:pPr>
            <w:r>
              <w:rPr>
                <w:i/>
                <w:sz w:val="24"/>
              </w:rPr>
              <w:t>p</w:t>
            </w:r>
            <w:r>
              <w:rPr>
                <w:sz w:val="24"/>
              </w:rPr>
              <w:t>-value</w:t>
            </w:r>
          </w:p>
        </w:tc>
        <w:tc>
          <w:tcPr>
            <w:tcW w:w="1441" w:type="dxa"/>
          </w:tcPr>
          <w:p w:rsidR="00F3177F" w:rsidRDefault="0089671D">
            <w:pPr>
              <w:pStyle w:val="TableParagraph"/>
              <w:ind w:left="215" w:right="216" w:firstLine="204"/>
              <w:rPr>
                <w:sz w:val="24"/>
              </w:rPr>
            </w:pPr>
            <w:r>
              <w:rPr>
                <w:sz w:val="24"/>
              </w:rPr>
              <w:t>Yates' chi-square</w:t>
            </w:r>
          </w:p>
        </w:tc>
        <w:tc>
          <w:tcPr>
            <w:tcW w:w="1440" w:type="dxa"/>
          </w:tcPr>
          <w:p w:rsidR="00F3177F" w:rsidRDefault="0089671D">
            <w:pPr>
              <w:pStyle w:val="TableParagraph"/>
              <w:spacing w:line="268" w:lineRule="exact"/>
              <w:ind w:left="391"/>
              <w:rPr>
                <w:sz w:val="24"/>
              </w:rPr>
            </w:pPr>
            <w:r>
              <w:rPr>
                <w:sz w:val="24"/>
              </w:rPr>
              <w:t>Yates'</w:t>
            </w:r>
          </w:p>
          <w:p w:rsidR="00F3177F" w:rsidRDefault="0089671D">
            <w:pPr>
              <w:pStyle w:val="TableParagraph"/>
              <w:ind w:left="355"/>
              <w:rPr>
                <w:sz w:val="24"/>
              </w:rPr>
            </w:pPr>
            <w:r>
              <w:rPr>
                <w:i/>
                <w:sz w:val="24"/>
              </w:rPr>
              <w:t>p</w:t>
            </w:r>
            <w:r>
              <w:rPr>
                <w:sz w:val="24"/>
              </w:rPr>
              <w:t>-value</w:t>
            </w:r>
          </w:p>
        </w:tc>
      </w:tr>
      <w:tr w:rsidR="00F3177F">
        <w:trPr>
          <w:trHeight w:hRule="exact" w:val="509"/>
        </w:trPr>
        <w:tc>
          <w:tcPr>
            <w:tcW w:w="1454" w:type="dxa"/>
          </w:tcPr>
          <w:p w:rsidR="00F3177F" w:rsidRDefault="0089671D">
            <w:pPr>
              <w:pStyle w:val="TableParagraph"/>
              <w:spacing w:before="104"/>
              <w:ind w:left="175"/>
              <w:rPr>
                <w:sz w:val="24"/>
              </w:rPr>
            </w:pPr>
            <w:r>
              <w:rPr>
                <w:sz w:val="24"/>
              </w:rPr>
              <w:t>Chi-Square</w:t>
            </w:r>
          </w:p>
        </w:tc>
        <w:tc>
          <w:tcPr>
            <w:tcW w:w="1172" w:type="dxa"/>
          </w:tcPr>
          <w:p w:rsidR="00F3177F" w:rsidRDefault="0089671D">
            <w:pPr>
              <w:pStyle w:val="TableParagraph"/>
              <w:spacing w:before="104"/>
              <w:ind w:left="62" w:right="63"/>
              <w:jc w:val="center"/>
              <w:rPr>
                <w:sz w:val="24"/>
              </w:rPr>
            </w:pPr>
            <w:r>
              <w:rPr>
                <w:sz w:val="24"/>
              </w:rPr>
              <w:t>37.647</w:t>
            </w:r>
          </w:p>
        </w:tc>
        <w:tc>
          <w:tcPr>
            <w:tcW w:w="1529" w:type="dxa"/>
          </w:tcPr>
          <w:p w:rsidR="00F3177F" w:rsidRDefault="0089671D">
            <w:pPr>
              <w:pStyle w:val="TableParagraph"/>
              <w:spacing w:before="104"/>
              <w:ind w:right="5"/>
              <w:jc w:val="center"/>
              <w:rPr>
                <w:sz w:val="24"/>
              </w:rPr>
            </w:pPr>
            <w:r>
              <w:rPr>
                <w:sz w:val="24"/>
              </w:rPr>
              <w:t>1</w:t>
            </w:r>
          </w:p>
        </w:tc>
        <w:tc>
          <w:tcPr>
            <w:tcW w:w="1440" w:type="dxa"/>
          </w:tcPr>
          <w:p w:rsidR="00F3177F" w:rsidRDefault="0089671D">
            <w:pPr>
              <w:pStyle w:val="TableParagraph"/>
              <w:spacing w:before="104"/>
              <w:ind w:left="124" w:right="125"/>
              <w:jc w:val="center"/>
              <w:rPr>
                <w:sz w:val="24"/>
              </w:rPr>
            </w:pPr>
            <w:r>
              <w:rPr>
                <w:sz w:val="24"/>
              </w:rPr>
              <w:t>0.0</w:t>
            </w:r>
          </w:p>
        </w:tc>
        <w:tc>
          <w:tcPr>
            <w:tcW w:w="1441" w:type="dxa"/>
          </w:tcPr>
          <w:p w:rsidR="00F3177F" w:rsidRDefault="0089671D">
            <w:pPr>
              <w:pStyle w:val="TableParagraph"/>
              <w:spacing w:before="104"/>
              <w:ind w:left="383" w:right="216"/>
              <w:rPr>
                <w:sz w:val="24"/>
              </w:rPr>
            </w:pPr>
            <w:r>
              <w:rPr>
                <w:sz w:val="24"/>
              </w:rPr>
              <w:t>37.336</w:t>
            </w:r>
          </w:p>
        </w:tc>
        <w:tc>
          <w:tcPr>
            <w:tcW w:w="1440" w:type="dxa"/>
          </w:tcPr>
          <w:p w:rsidR="00F3177F" w:rsidRDefault="0089671D">
            <w:pPr>
              <w:pStyle w:val="TableParagraph"/>
              <w:spacing w:before="104"/>
              <w:ind w:left="139" w:right="139"/>
              <w:jc w:val="center"/>
              <w:rPr>
                <w:sz w:val="24"/>
              </w:rPr>
            </w:pPr>
            <w:r>
              <w:rPr>
                <w:sz w:val="24"/>
              </w:rPr>
              <w:t>0.0</w:t>
            </w:r>
          </w:p>
        </w:tc>
      </w:tr>
    </w:tbl>
    <w:p w:rsidR="00F3177F" w:rsidRDefault="00F3177F">
      <w:pPr>
        <w:pStyle w:val="BodyText"/>
        <w:spacing w:before="4"/>
        <w:rPr>
          <w:sz w:val="29"/>
        </w:rPr>
      </w:pPr>
    </w:p>
    <w:p w:rsidR="00F3177F" w:rsidRDefault="0089671D" w:rsidP="00D47CE6">
      <w:pPr>
        <w:pStyle w:val="BodyText"/>
        <w:spacing w:before="69"/>
        <w:ind w:left="584" w:right="65"/>
        <w:jc w:val="both"/>
      </w:pPr>
      <w:r>
        <w:t>Table 37: One-way Anova results for the items concerning students’ health (Items 4-15)</w:t>
      </w:r>
    </w:p>
    <w:p w:rsidR="00F3177F" w:rsidRDefault="00F3177F">
      <w:pPr>
        <w:pStyle w:val="BodyText"/>
        <w:spacing w:before="6" w:after="1"/>
        <w:rPr>
          <w:sz w:val="12"/>
        </w:rPr>
      </w:pPr>
    </w:p>
    <w:tbl>
      <w:tblPr>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1800"/>
        <w:gridCol w:w="720"/>
        <w:gridCol w:w="1529"/>
        <w:gridCol w:w="1261"/>
        <w:gridCol w:w="1260"/>
      </w:tblGrid>
      <w:tr w:rsidR="00F3177F">
        <w:trPr>
          <w:trHeight w:hRule="exact" w:val="656"/>
        </w:trPr>
        <w:tc>
          <w:tcPr>
            <w:tcW w:w="1906" w:type="dxa"/>
          </w:tcPr>
          <w:p w:rsidR="00F3177F" w:rsidRDefault="0089671D">
            <w:pPr>
              <w:pStyle w:val="TableParagraph"/>
              <w:spacing w:before="177"/>
              <w:ind w:left="123" w:right="123"/>
              <w:jc w:val="center"/>
              <w:rPr>
                <w:sz w:val="24"/>
              </w:rPr>
            </w:pPr>
            <w:r>
              <w:rPr>
                <w:sz w:val="24"/>
              </w:rPr>
              <w:t>Source</w:t>
            </w:r>
          </w:p>
        </w:tc>
        <w:tc>
          <w:tcPr>
            <w:tcW w:w="1800" w:type="dxa"/>
          </w:tcPr>
          <w:p w:rsidR="00F3177F" w:rsidRDefault="0089671D">
            <w:pPr>
              <w:pStyle w:val="TableParagraph"/>
              <w:spacing w:before="177"/>
              <w:ind w:left="114" w:right="115"/>
              <w:jc w:val="center"/>
              <w:rPr>
                <w:sz w:val="24"/>
              </w:rPr>
            </w:pPr>
            <w:r>
              <w:rPr>
                <w:sz w:val="24"/>
              </w:rPr>
              <w:t>Sum of Squares</w:t>
            </w:r>
          </w:p>
        </w:tc>
        <w:tc>
          <w:tcPr>
            <w:tcW w:w="720" w:type="dxa"/>
          </w:tcPr>
          <w:p w:rsidR="00F3177F" w:rsidRDefault="0089671D">
            <w:pPr>
              <w:pStyle w:val="TableParagraph"/>
              <w:spacing w:before="177"/>
              <w:ind w:left="215" w:right="215"/>
              <w:jc w:val="center"/>
              <w:rPr>
                <w:sz w:val="24"/>
              </w:rPr>
            </w:pPr>
            <w:r>
              <w:rPr>
                <w:sz w:val="24"/>
              </w:rPr>
              <w:t>df</w:t>
            </w:r>
          </w:p>
        </w:tc>
        <w:tc>
          <w:tcPr>
            <w:tcW w:w="1529" w:type="dxa"/>
          </w:tcPr>
          <w:p w:rsidR="00F3177F" w:rsidRDefault="0089671D">
            <w:pPr>
              <w:pStyle w:val="TableParagraph"/>
              <w:spacing w:before="177"/>
              <w:ind w:left="102" w:right="103"/>
              <w:jc w:val="center"/>
              <w:rPr>
                <w:sz w:val="24"/>
              </w:rPr>
            </w:pPr>
            <w:r>
              <w:rPr>
                <w:sz w:val="24"/>
              </w:rPr>
              <w:t>Mean Square</w:t>
            </w:r>
          </w:p>
        </w:tc>
        <w:tc>
          <w:tcPr>
            <w:tcW w:w="1261" w:type="dxa"/>
          </w:tcPr>
          <w:p w:rsidR="00F3177F" w:rsidRDefault="0089671D">
            <w:pPr>
              <w:pStyle w:val="TableParagraph"/>
              <w:spacing w:before="177"/>
              <w:ind w:right="1"/>
              <w:jc w:val="center"/>
              <w:rPr>
                <w:sz w:val="24"/>
              </w:rPr>
            </w:pPr>
            <w:r>
              <w:rPr>
                <w:w w:val="99"/>
                <w:sz w:val="24"/>
              </w:rPr>
              <w:t>F</w:t>
            </w:r>
          </w:p>
        </w:tc>
        <w:tc>
          <w:tcPr>
            <w:tcW w:w="1260" w:type="dxa"/>
          </w:tcPr>
          <w:p w:rsidR="00F3177F" w:rsidRDefault="0089671D">
            <w:pPr>
              <w:pStyle w:val="TableParagraph"/>
              <w:spacing w:before="177"/>
              <w:ind w:left="72" w:right="72"/>
              <w:jc w:val="center"/>
              <w:rPr>
                <w:sz w:val="24"/>
              </w:rPr>
            </w:pPr>
            <w:r>
              <w:rPr>
                <w:sz w:val="24"/>
              </w:rPr>
              <w:t>Sig.</w:t>
            </w:r>
          </w:p>
        </w:tc>
      </w:tr>
      <w:tr w:rsidR="00F3177F">
        <w:trPr>
          <w:trHeight w:hRule="exact" w:val="655"/>
        </w:trPr>
        <w:tc>
          <w:tcPr>
            <w:tcW w:w="1906" w:type="dxa"/>
          </w:tcPr>
          <w:p w:rsidR="00F3177F" w:rsidRDefault="0089671D">
            <w:pPr>
              <w:pStyle w:val="TableParagraph"/>
              <w:spacing w:before="176"/>
              <w:ind w:left="123" w:right="126"/>
              <w:jc w:val="center"/>
              <w:rPr>
                <w:sz w:val="24"/>
              </w:rPr>
            </w:pPr>
            <w:r>
              <w:rPr>
                <w:sz w:val="24"/>
              </w:rPr>
              <w:t>Between Groups</w:t>
            </w:r>
          </w:p>
        </w:tc>
        <w:tc>
          <w:tcPr>
            <w:tcW w:w="1800" w:type="dxa"/>
          </w:tcPr>
          <w:p w:rsidR="00F3177F" w:rsidRDefault="0089671D">
            <w:pPr>
              <w:pStyle w:val="TableParagraph"/>
              <w:spacing w:before="176"/>
              <w:ind w:left="114" w:right="114"/>
              <w:jc w:val="center"/>
              <w:rPr>
                <w:sz w:val="24"/>
              </w:rPr>
            </w:pPr>
            <w:r>
              <w:rPr>
                <w:sz w:val="24"/>
              </w:rPr>
              <w:t>0.5655</w:t>
            </w:r>
          </w:p>
        </w:tc>
        <w:tc>
          <w:tcPr>
            <w:tcW w:w="720" w:type="dxa"/>
          </w:tcPr>
          <w:p w:rsidR="00F3177F" w:rsidRDefault="0089671D">
            <w:pPr>
              <w:pStyle w:val="TableParagraph"/>
              <w:spacing w:before="176"/>
              <w:jc w:val="center"/>
              <w:rPr>
                <w:sz w:val="24"/>
              </w:rPr>
            </w:pPr>
            <w:r>
              <w:rPr>
                <w:sz w:val="24"/>
              </w:rPr>
              <w:t>1</w:t>
            </w:r>
          </w:p>
        </w:tc>
        <w:tc>
          <w:tcPr>
            <w:tcW w:w="1529" w:type="dxa"/>
          </w:tcPr>
          <w:p w:rsidR="00F3177F" w:rsidRDefault="0089671D">
            <w:pPr>
              <w:pStyle w:val="TableParagraph"/>
              <w:spacing w:before="176"/>
              <w:ind w:left="102" w:right="102"/>
              <w:jc w:val="center"/>
              <w:rPr>
                <w:sz w:val="24"/>
              </w:rPr>
            </w:pPr>
            <w:r>
              <w:rPr>
                <w:sz w:val="24"/>
              </w:rPr>
              <w:t>0.5655</w:t>
            </w:r>
          </w:p>
        </w:tc>
        <w:tc>
          <w:tcPr>
            <w:tcW w:w="1261" w:type="dxa"/>
          </w:tcPr>
          <w:p w:rsidR="00F3177F" w:rsidRDefault="0089671D">
            <w:pPr>
              <w:pStyle w:val="TableParagraph"/>
              <w:spacing w:before="176"/>
              <w:ind w:left="155" w:right="155"/>
              <w:jc w:val="center"/>
              <w:rPr>
                <w:sz w:val="24"/>
              </w:rPr>
            </w:pPr>
            <w:r>
              <w:rPr>
                <w:sz w:val="24"/>
              </w:rPr>
              <w:t>14.10443</w:t>
            </w:r>
          </w:p>
        </w:tc>
        <w:tc>
          <w:tcPr>
            <w:tcW w:w="1260" w:type="dxa"/>
          </w:tcPr>
          <w:p w:rsidR="00F3177F" w:rsidRDefault="0089671D">
            <w:pPr>
              <w:pStyle w:val="TableParagraph"/>
              <w:spacing w:before="176"/>
              <w:ind w:left="72" w:right="72"/>
              <w:jc w:val="center"/>
              <w:rPr>
                <w:sz w:val="24"/>
              </w:rPr>
            </w:pPr>
            <w:r>
              <w:rPr>
                <w:sz w:val="24"/>
              </w:rPr>
              <w:t>0.000187</w:t>
            </w:r>
          </w:p>
        </w:tc>
      </w:tr>
      <w:tr w:rsidR="00F3177F">
        <w:trPr>
          <w:trHeight w:hRule="exact" w:val="655"/>
        </w:trPr>
        <w:tc>
          <w:tcPr>
            <w:tcW w:w="1906" w:type="dxa"/>
          </w:tcPr>
          <w:p w:rsidR="00F3177F" w:rsidRDefault="0089671D">
            <w:pPr>
              <w:pStyle w:val="TableParagraph"/>
              <w:spacing w:before="176"/>
              <w:ind w:left="123" w:right="124"/>
              <w:jc w:val="center"/>
              <w:rPr>
                <w:sz w:val="24"/>
              </w:rPr>
            </w:pPr>
            <w:r>
              <w:rPr>
                <w:sz w:val="24"/>
              </w:rPr>
              <w:t>Within Groups</w:t>
            </w:r>
          </w:p>
        </w:tc>
        <w:tc>
          <w:tcPr>
            <w:tcW w:w="1800" w:type="dxa"/>
          </w:tcPr>
          <w:p w:rsidR="00F3177F" w:rsidRDefault="0089671D">
            <w:pPr>
              <w:pStyle w:val="TableParagraph"/>
              <w:spacing w:before="176"/>
              <w:ind w:left="114" w:right="114"/>
              <w:jc w:val="center"/>
              <w:rPr>
                <w:sz w:val="24"/>
              </w:rPr>
            </w:pPr>
            <w:r>
              <w:rPr>
                <w:sz w:val="24"/>
              </w:rPr>
              <w:t>0.3508</w:t>
            </w:r>
          </w:p>
        </w:tc>
        <w:tc>
          <w:tcPr>
            <w:tcW w:w="720" w:type="dxa"/>
          </w:tcPr>
          <w:p w:rsidR="00F3177F" w:rsidRDefault="0089671D">
            <w:pPr>
              <w:pStyle w:val="TableParagraph"/>
              <w:spacing w:before="176"/>
              <w:ind w:left="215" w:right="215"/>
              <w:jc w:val="center"/>
              <w:rPr>
                <w:sz w:val="24"/>
              </w:rPr>
            </w:pPr>
            <w:r>
              <w:rPr>
                <w:sz w:val="24"/>
              </w:rPr>
              <w:t>22</w:t>
            </w:r>
          </w:p>
        </w:tc>
        <w:tc>
          <w:tcPr>
            <w:tcW w:w="1529" w:type="dxa"/>
          </w:tcPr>
          <w:p w:rsidR="00F3177F" w:rsidRDefault="0089671D">
            <w:pPr>
              <w:pStyle w:val="TableParagraph"/>
              <w:spacing w:before="176"/>
              <w:ind w:left="102" w:right="102"/>
              <w:jc w:val="center"/>
              <w:rPr>
                <w:sz w:val="24"/>
              </w:rPr>
            </w:pPr>
            <w:r>
              <w:rPr>
                <w:sz w:val="24"/>
              </w:rPr>
              <w:t>0.0159</w:t>
            </w:r>
          </w:p>
        </w:tc>
        <w:tc>
          <w:tcPr>
            <w:tcW w:w="1261" w:type="dxa"/>
          </w:tcPr>
          <w:p w:rsidR="00F3177F" w:rsidRDefault="00F3177F"/>
        </w:tc>
        <w:tc>
          <w:tcPr>
            <w:tcW w:w="1260" w:type="dxa"/>
          </w:tcPr>
          <w:p w:rsidR="00F3177F" w:rsidRDefault="00F3177F"/>
        </w:tc>
      </w:tr>
      <w:tr w:rsidR="00F3177F">
        <w:trPr>
          <w:trHeight w:hRule="exact" w:val="494"/>
        </w:trPr>
        <w:tc>
          <w:tcPr>
            <w:tcW w:w="1906" w:type="dxa"/>
          </w:tcPr>
          <w:p w:rsidR="00F3177F" w:rsidRDefault="0089671D">
            <w:pPr>
              <w:pStyle w:val="TableParagraph"/>
              <w:spacing w:before="97"/>
              <w:ind w:left="123" w:right="124"/>
              <w:jc w:val="center"/>
              <w:rPr>
                <w:sz w:val="24"/>
              </w:rPr>
            </w:pPr>
            <w:r>
              <w:rPr>
                <w:sz w:val="24"/>
              </w:rPr>
              <w:t>Total</w:t>
            </w:r>
          </w:p>
        </w:tc>
        <w:tc>
          <w:tcPr>
            <w:tcW w:w="1800" w:type="dxa"/>
          </w:tcPr>
          <w:p w:rsidR="00F3177F" w:rsidRDefault="0089671D">
            <w:pPr>
              <w:pStyle w:val="TableParagraph"/>
              <w:spacing w:before="97"/>
              <w:ind w:left="114" w:right="114"/>
              <w:jc w:val="center"/>
              <w:rPr>
                <w:sz w:val="24"/>
              </w:rPr>
            </w:pPr>
            <w:r>
              <w:rPr>
                <w:sz w:val="24"/>
              </w:rPr>
              <w:t>0.37</w:t>
            </w:r>
          </w:p>
        </w:tc>
        <w:tc>
          <w:tcPr>
            <w:tcW w:w="720" w:type="dxa"/>
          </w:tcPr>
          <w:p w:rsidR="00F3177F" w:rsidRDefault="0089671D">
            <w:pPr>
              <w:pStyle w:val="TableParagraph"/>
              <w:spacing w:before="97"/>
              <w:ind w:left="215" w:right="215"/>
              <w:jc w:val="center"/>
              <w:rPr>
                <w:sz w:val="24"/>
              </w:rPr>
            </w:pPr>
            <w:r>
              <w:rPr>
                <w:sz w:val="24"/>
              </w:rPr>
              <w:t>23</w:t>
            </w:r>
          </w:p>
        </w:tc>
        <w:tc>
          <w:tcPr>
            <w:tcW w:w="1529" w:type="dxa"/>
          </w:tcPr>
          <w:p w:rsidR="00F3177F" w:rsidRDefault="00F3177F"/>
        </w:tc>
        <w:tc>
          <w:tcPr>
            <w:tcW w:w="1261" w:type="dxa"/>
          </w:tcPr>
          <w:p w:rsidR="00F3177F" w:rsidRDefault="00F3177F"/>
        </w:tc>
        <w:tc>
          <w:tcPr>
            <w:tcW w:w="1260" w:type="dxa"/>
          </w:tcPr>
          <w:p w:rsidR="00F3177F" w:rsidRDefault="00F3177F"/>
        </w:tc>
      </w:tr>
    </w:tbl>
    <w:p w:rsidR="00F3177F" w:rsidRDefault="00F3177F">
      <w:pPr>
        <w:pStyle w:val="BodyText"/>
        <w:spacing w:before="7"/>
        <w:rPr>
          <w:sz w:val="29"/>
        </w:rPr>
      </w:pPr>
    </w:p>
    <w:p w:rsidR="00F3177F" w:rsidRDefault="0089671D">
      <w:pPr>
        <w:pStyle w:val="BodyText"/>
        <w:spacing w:before="69" w:line="360" w:lineRule="auto"/>
        <w:ind w:left="584" w:right="117"/>
        <w:jc w:val="both"/>
      </w:pPr>
      <w:r>
        <w:t>Thus, the results of Chi-square and one-way Anova show that students in lower energy consuming schools have higher levels of health problems than students in higher energy consuming schools.</w:t>
      </w:r>
    </w:p>
    <w:p w:rsidR="00F3177F" w:rsidRDefault="00F3177F">
      <w:pPr>
        <w:pStyle w:val="BodyText"/>
      </w:pPr>
    </w:p>
    <w:p w:rsidR="00F3177F" w:rsidRDefault="0089671D">
      <w:pPr>
        <w:pStyle w:val="BodyText"/>
        <w:spacing w:before="143" w:line="355" w:lineRule="auto"/>
        <w:ind w:left="584" w:right="119"/>
        <w:jc w:val="both"/>
      </w:pPr>
      <w:r>
        <w:rPr>
          <w:b/>
        </w:rPr>
        <w:t>H</w:t>
      </w:r>
      <w:r>
        <w:rPr>
          <w:b/>
          <w:position w:val="-2"/>
          <w:sz w:val="16"/>
        </w:rPr>
        <w:t>5</w:t>
      </w:r>
      <w:r>
        <w:rPr>
          <w:b/>
        </w:rPr>
        <w:t xml:space="preserve">: </w:t>
      </w:r>
      <w:r>
        <w:t>Students in schools with low energy consumption, building transparencies and compactness have higher levels of distraction than students in schools with high energy consumption, building transparencies and compactness.</w:t>
      </w:r>
    </w:p>
    <w:p w:rsidR="00F3177F" w:rsidRDefault="00F3177F">
      <w:pPr>
        <w:pStyle w:val="BodyText"/>
      </w:pPr>
    </w:p>
    <w:p w:rsidR="00F3177F" w:rsidRDefault="0089671D">
      <w:pPr>
        <w:pStyle w:val="BodyText"/>
        <w:spacing w:before="148" w:line="360" w:lineRule="auto"/>
        <w:ind w:left="584" w:right="115"/>
        <w:jc w:val="both"/>
      </w:pPr>
      <w:r>
        <w:t>Many factors can lead to distraction or lack of concentration during lessons. Bakó-Biró et al.’s (2012) state that unfavorable environmental conditions can lower people’s level of concentration. School children can be more affected by negative classroom conditions and the difference in annual energy consumptions per unit area might be one of the factors that play a role in students’</w:t>
      </w:r>
      <w:r>
        <w:rPr>
          <w:spacing w:val="-8"/>
        </w:rPr>
        <w:t xml:space="preserve"> </w:t>
      </w:r>
      <w:r>
        <w:t>distraction.</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ind w:left="584"/>
        <w:jc w:val="both"/>
      </w:pPr>
      <w:r>
        <w:lastRenderedPageBreak/>
        <w:t>The null hypothesis:</w:t>
      </w:r>
    </w:p>
    <w:p w:rsidR="00F3177F" w:rsidRDefault="0089671D">
      <w:pPr>
        <w:pStyle w:val="BodyText"/>
        <w:spacing w:before="143" w:line="340" w:lineRule="auto"/>
        <w:ind w:left="584" w:right="119"/>
        <w:jc w:val="both"/>
      </w:pPr>
      <w:r>
        <w:rPr>
          <w:spacing w:val="-1"/>
          <w:position w:val="1"/>
        </w:rPr>
        <w:t>H</w:t>
      </w:r>
      <w:r>
        <w:rPr>
          <w:spacing w:val="-1"/>
          <w:position w:val="-2"/>
          <w:sz w:val="16"/>
        </w:rPr>
        <w:t>0</w:t>
      </w:r>
      <w:r>
        <w:rPr>
          <w:spacing w:val="-1"/>
          <w:position w:val="1"/>
        </w:rPr>
        <w:t xml:space="preserve">: </w:t>
      </w:r>
      <w:r>
        <w:rPr>
          <w:noProof/>
          <w:spacing w:val="15"/>
        </w:rPr>
        <w:drawing>
          <wp:inline distT="0" distB="0" distL="0" distR="0">
            <wp:extent cx="104775" cy="161925"/>
            <wp:effectExtent l="0" t="0" r="0" b="0"/>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14"/>
          <w:position w:val="1"/>
        </w:rPr>
        <w:t xml:space="preserve"> </w:t>
      </w:r>
      <w:r>
        <w:rPr>
          <w:position w:val="1"/>
        </w:rPr>
        <w:t xml:space="preserve">students’ levels of distraction in schools with low energy consumption, building </w:t>
      </w:r>
      <w:r>
        <w:t xml:space="preserve">transparencies and compactness = </w:t>
      </w:r>
      <w:r>
        <w:rPr>
          <w:noProof/>
          <w:spacing w:val="11"/>
          <w:w w:val="99"/>
        </w:rPr>
        <w:drawing>
          <wp:inline distT="0" distB="0" distL="0" distR="0">
            <wp:extent cx="104775" cy="161925"/>
            <wp:effectExtent l="0" t="0" r="0" b="0"/>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11"/>
          <w:w w:val="99"/>
        </w:rPr>
        <w:t xml:space="preserve"> </w:t>
      </w:r>
      <w:r>
        <w:t>students’ levels of distraction in schools with high energy consumption, building transparencies and</w:t>
      </w:r>
      <w:r>
        <w:rPr>
          <w:spacing w:val="-13"/>
        </w:rPr>
        <w:t xml:space="preserve"> </w:t>
      </w:r>
      <w:r>
        <w:t>compactness</w:t>
      </w:r>
    </w:p>
    <w:p w:rsidR="00F3177F" w:rsidRDefault="0089671D">
      <w:pPr>
        <w:pStyle w:val="BodyText"/>
        <w:spacing w:before="27"/>
        <w:ind w:left="584"/>
        <w:jc w:val="both"/>
      </w:pPr>
      <w:r>
        <w:t>The alternate hypothesis:</w:t>
      </w:r>
    </w:p>
    <w:p w:rsidR="00F3177F" w:rsidRDefault="0089671D">
      <w:pPr>
        <w:pStyle w:val="BodyText"/>
        <w:spacing w:before="142" w:line="345" w:lineRule="auto"/>
        <w:ind w:left="584" w:right="119"/>
        <w:jc w:val="both"/>
      </w:pPr>
      <w:r>
        <w:rPr>
          <w:spacing w:val="-2"/>
          <w:position w:val="1"/>
        </w:rPr>
        <w:t>H</w:t>
      </w:r>
      <w:r>
        <w:rPr>
          <w:spacing w:val="-2"/>
          <w:position w:val="-2"/>
          <w:sz w:val="16"/>
        </w:rPr>
        <w:t>A</w:t>
      </w:r>
      <w:r>
        <w:rPr>
          <w:spacing w:val="-2"/>
          <w:position w:val="1"/>
        </w:rPr>
        <w:t xml:space="preserve">: </w:t>
      </w:r>
      <w:r>
        <w:rPr>
          <w:noProof/>
          <w:spacing w:val="16"/>
        </w:rPr>
        <w:drawing>
          <wp:inline distT="0" distB="0" distL="0" distR="0">
            <wp:extent cx="104775" cy="161925"/>
            <wp:effectExtent l="0" t="0" r="0" b="0"/>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61" cstate="print"/>
                    <a:stretch>
                      <a:fillRect/>
                    </a:stretch>
                  </pic:blipFill>
                  <pic:spPr>
                    <a:xfrm>
                      <a:off x="0" y="0"/>
                      <a:ext cx="104775" cy="161925"/>
                    </a:xfrm>
                    <a:prstGeom prst="rect">
                      <a:avLst/>
                    </a:prstGeom>
                  </pic:spPr>
                </pic:pic>
              </a:graphicData>
            </a:graphic>
          </wp:inline>
        </w:drawing>
      </w:r>
      <w:r>
        <w:rPr>
          <w:spacing w:val="13"/>
          <w:position w:val="1"/>
        </w:rPr>
        <w:t xml:space="preserve"> </w:t>
      </w:r>
      <w:r>
        <w:rPr>
          <w:position w:val="1"/>
        </w:rPr>
        <w:t xml:space="preserve">students’ levels of distraction in schools with low energy consumption, building </w:t>
      </w:r>
      <w:r>
        <w:t>transparencies and compactness ≠ students’ levels of distraction in schools with high energy consumption, building transparencies and</w:t>
      </w:r>
      <w:r>
        <w:rPr>
          <w:spacing w:val="-11"/>
        </w:rPr>
        <w:t xml:space="preserve"> </w:t>
      </w:r>
      <w:r>
        <w:t>compactness</w:t>
      </w:r>
    </w:p>
    <w:p w:rsidR="00F3177F" w:rsidRDefault="00F3177F">
      <w:pPr>
        <w:pStyle w:val="BodyText"/>
      </w:pPr>
    </w:p>
    <w:p w:rsidR="00F3177F" w:rsidRDefault="0089671D">
      <w:pPr>
        <w:pStyle w:val="BodyText"/>
        <w:spacing w:before="159" w:line="360" w:lineRule="auto"/>
        <w:ind w:left="584" w:right="113"/>
        <w:jc w:val="both"/>
      </w:pPr>
      <w:r>
        <w:t xml:space="preserve">Items 25-28 in the applied questionnaire are directly concerned about students’ distraction and they have been taken into consideration for the analysis. According to the results of the research, 30.68% of responses indicated a presence of distraction in MINECS classrooms while the same figure was 22.6% in MAXECS classrooms. </w:t>
      </w:r>
      <w:r>
        <w:rPr>
          <w:spacing w:val="-3"/>
        </w:rPr>
        <w:t xml:space="preserve">It </w:t>
      </w:r>
      <w:r>
        <w:t xml:space="preserve">means that the students in low energy consuming schools experience 8.08% more distraction than the ones in high energy consuming schools. The results reject the null hypothesis with a Chi-square statistic of 24.008, a </w:t>
      </w:r>
      <w:r>
        <w:rPr>
          <w:i/>
        </w:rPr>
        <w:t>p</w:t>
      </w:r>
      <w:r>
        <w:t xml:space="preserve">-value of 0.000001 and Yates’ </w:t>
      </w:r>
      <w:r>
        <w:rPr>
          <w:i/>
        </w:rPr>
        <w:t>p</w:t>
      </w:r>
      <w:r>
        <w:t xml:space="preserve">- value of 0.000001 at </w:t>
      </w:r>
      <w:r>
        <w:rPr>
          <w:i/>
        </w:rPr>
        <w:t>p&lt;.05</w:t>
      </w:r>
      <w:r>
        <w:t xml:space="preserve">. Thus, there is statistically significant difference between students’ levels of distraction in MINECSs and MAXECSs. Correspondingly, one-way Anova results with the </w:t>
      </w:r>
      <w:r>
        <w:rPr>
          <w:i/>
        </w:rPr>
        <w:t>f</w:t>
      </w:r>
      <w:r>
        <w:t xml:space="preserve">-ratio value of 29.7417 and </w:t>
      </w:r>
      <w:r>
        <w:rPr>
          <w:i/>
        </w:rPr>
        <w:t>p</w:t>
      </w:r>
      <w:r>
        <w:t xml:space="preserve">-value of 0.00001 at </w:t>
      </w:r>
      <w:r>
        <w:rPr>
          <w:i/>
        </w:rPr>
        <w:t>p</w:t>
      </w:r>
      <w:r>
        <w:t>&lt;.</w:t>
      </w:r>
      <w:proofErr w:type="gramStart"/>
      <w:r>
        <w:t>05  indicates</w:t>
      </w:r>
      <w:proofErr w:type="gramEnd"/>
      <w:r>
        <w:t xml:space="preserve"> significance. Table 38 and Table 39 below show Chi-square and Anova results,</w:t>
      </w:r>
      <w:r>
        <w:rPr>
          <w:spacing w:val="-7"/>
        </w:rPr>
        <w:t xml:space="preserve"> </w:t>
      </w:r>
      <w:r>
        <w:t>respectively.</w:t>
      </w:r>
    </w:p>
    <w:p w:rsidR="00F3177F" w:rsidRDefault="00F3177F">
      <w:pPr>
        <w:pStyle w:val="BodyText"/>
        <w:spacing w:before="3"/>
      </w:pPr>
    </w:p>
    <w:p w:rsidR="00F3177F" w:rsidRDefault="0089671D">
      <w:pPr>
        <w:pStyle w:val="BodyText"/>
        <w:spacing w:before="1"/>
        <w:ind w:left="584" w:right="124"/>
        <w:jc w:val="both"/>
      </w:pPr>
      <w:r>
        <w:t>Table 38: Chi-square test results for the items concerning students’ distraction (Items 25-28)</w:t>
      </w:r>
    </w:p>
    <w:p w:rsidR="00F3177F" w:rsidRDefault="00F3177F">
      <w:pPr>
        <w:pStyle w:val="BodyText"/>
        <w:spacing w:before="6" w:after="1"/>
        <w:rPr>
          <w:sz w:val="12"/>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1172"/>
        <w:gridCol w:w="1529"/>
        <w:gridCol w:w="1440"/>
        <w:gridCol w:w="1441"/>
        <w:gridCol w:w="1440"/>
      </w:tblGrid>
      <w:tr w:rsidR="00F3177F">
        <w:trPr>
          <w:trHeight w:hRule="exact" w:val="562"/>
        </w:trPr>
        <w:tc>
          <w:tcPr>
            <w:tcW w:w="1454" w:type="dxa"/>
          </w:tcPr>
          <w:p w:rsidR="00F3177F" w:rsidRDefault="00F3177F"/>
        </w:tc>
        <w:tc>
          <w:tcPr>
            <w:tcW w:w="1172" w:type="dxa"/>
          </w:tcPr>
          <w:p w:rsidR="00F3177F" w:rsidRDefault="0089671D">
            <w:pPr>
              <w:pStyle w:val="TableParagraph"/>
              <w:spacing w:before="131"/>
              <w:ind w:left="62" w:right="63"/>
              <w:jc w:val="center"/>
              <w:rPr>
                <w:sz w:val="24"/>
              </w:rPr>
            </w:pPr>
            <w:r>
              <w:rPr>
                <w:sz w:val="24"/>
              </w:rPr>
              <w:t>Value</w:t>
            </w:r>
          </w:p>
        </w:tc>
        <w:tc>
          <w:tcPr>
            <w:tcW w:w="1529" w:type="dxa"/>
          </w:tcPr>
          <w:p w:rsidR="00F3177F" w:rsidRDefault="0089671D">
            <w:pPr>
              <w:pStyle w:val="TableParagraph"/>
              <w:ind w:left="357" w:right="245" w:hanging="96"/>
              <w:rPr>
                <w:sz w:val="24"/>
              </w:rPr>
            </w:pPr>
            <w:r>
              <w:rPr>
                <w:sz w:val="24"/>
              </w:rPr>
              <w:t>degrees of freedom</w:t>
            </w:r>
          </w:p>
        </w:tc>
        <w:tc>
          <w:tcPr>
            <w:tcW w:w="1440" w:type="dxa"/>
          </w:tcPr>
          <w:p w:rsidR="00F3177F" w:rsidRDefault="0089671D">
            <w:pPr>
              <w:pStyle w:val="TableParagraph"/>
              <w:spacing w:before="131"/>
              <w:ind w:left="124" w:right="125"/>
              <w:jc w:val="center"/>
              <w:rPr>
                <w:sz w:val="24"/>
              </w:rPr>
            </w:pPr>
            <w:r>
              <w:rPr>
                <w:i/>
                <w:sz w:val="24"/>
              </w:rPr>
              <w:t>p</w:t>
            </w:r>
            <w:r>
              <w:rPr>
                <w:sz w:val="24"/>
              </w:rPr>
              <w:t>-value</w:t>
            </w:r>
          </w:p>
        </w:tc>
        <w:tc>
          <w:tcPr>
            <w:tcW w:w="1441" w:type="dxa"/>
          </w:tcPr>
          <w:p w:rsidR="00F3177F" w:rsidRDefault="0089671D">
            <w:pPr>
              <w:pStyle w:val="TableParagraph"/>
              <w:ind w:left="215" w:right="216" w:firstLine="204"/>
              <w:rPr>
                <w:sz w:val="24"/>
              </w:rPr>
            </w:pPr>
            <w:r>
              <w:rPr>
                <w:sz w:val="24"/>
              </w:rPr>
              <w:t>Yates' chi-square</w:t>
            </w:r>
          </w:p>
        </w:tc>
        <w:tc>
          <w:tcPr>
            <w:tcW w:w="1440" w:type="dxa"/>
          </w:tcPr>
          <w:p w:rsidR="00F3177F" w:rsidRDefault="0089671D">
            <w:pPr>
              <w:pStyle w:val="TableParagraph"/>
              <w:spacing w:line="268" w:lineRule="exact"/>
              <w:ind w:left="391"/>
              <w:rPr>
                <w:sz w:val="24"/>
              </w:rPr>
            </w:pPr>
            <w:r>
              <w:rPr>
                <w:sz w:val="24"/>
              </w:rPr>
              <w:t>Yates'</w:t>
            </w:r>
          </w:p>
          <w:p w:rsidR="00F3177F" w:rsidRDefault="0089671D">
            <w:pPr>
              <w:pStyle w:val="TableParagraph"/>
              <w:ind w:left="355"/>
              <w:rPr>
                <w:sz w:val="24"/>
              </w:rPr>
            </w:pPr>
            <w:r>
              <w:rPr>
                <w:i/>
                <w:sz w:val="24"/>
              </w:rPr>
              <w:t>p</w:t>
            </w:r>
            <w:r>
              <w:rPr>
                <w:sz w:val="24"/>
              </w:rPr>
              <w:t>-value</w:t>
            </w:r>
          </w:p>
        </w:tc>
      </w:tr>
      <w:tr w:rsidR="00F3177F">
        <w:trPr>
          <w:trHeight w:hRule="exact" w:val="511"/>
        </w:trPr>
        <w:tc>
          <w:tcPr>
            <w:tcW w:w="1454" w:type="dxa"/>
          </w:tcPr>
          <w:p w:rsidR="00F3177F" w:rsidRDefault="0089671D">
            <w:pPr>
              <w:pStyle w:val="TableParagraph"/>
              <w:spacing w:before="104"/>
              <w:ind w:left="175"/>
              <w:rPr>
                <w:sz w:val="24"/>
              </w:rPr>
            </w:pPr>
            <w:r>
              <w:rPr>
                <w:sz w:val="24"/>
              </w:rPr>
              <w:t>Chi-Square</w:t>
            </w:r>
          </w:p>
        </w:tc>
        <w:tc>
          <w:tcPr>
            <w:tcW w:w="1172" w:type="dxa"/>
          </w:tcPr>
          <w:p w:rsidR="00F3177F" w:rsidRDefault="0089671D">
            <w:pPr>
              <w:pStyle w:val="TableParagraph"/>
              <w:spacing w:before="104"/>
              <w:ind w:left="62" w:right="63"/>
              <w:jc w:val="center"/>
              <w:rPr>
                <w:sz w:val="24"/>
              </w:rPr>
            </w:pPr>
            <w:r>
              <w:rPr>
                <w:sz w:val="24"/>
              </w:rPr>
              <w:t>24.008</w:t>
            </w:r>
          </w:p>
        </w:tc>
        <w:tc>
          <w:tcPr>
            <w:tcW w:w="1529" w:type="dxa"/>
          </w:tcPr>
          <w:p w:rsidR="00F3177F" w:rsidRDefault="0089671D">
            <w:pPr>
              <w:pStyle w:val="TableParagraph"/>
              <w:spacing w:before="104"/>
              <w:ind w:right="5"/>
              <w:jc w:val="center"/>
              <w:rPr>
                <w:sz w:val="24"/>
              </w:rPr>
            </w:pPr>
            <w:r>
              <w:rPr>
                <w:sz w:val="24"/>
              </w:rPr>
              <w:t>1</w:t>
            </w:r>
          </w:p>
        </w:tc>
        <w:tc>
          <w:tcPr>
            <w:tcW w:w="1440" w:type="dxa"/>
          </w:tcPr>
          <w:p w:rsidR="00F3177F" w:rsidRDefault="0089671D">
            <w:pPr>
              <w:pStyle w:val="TableParagraph"/>
              <w:spacing w:before="104"/>
              <w:ind w:left="124" w:right="125"/>
              <w:jc w:val="center"/>
              <w:rPr>
                <w:sz w:val="24"/>
              </w:rPr>
            </w:pPr>
            <w:r>
              <w:rPr>
                <w:sz w:val="24"/>
              </w:rPr>
              <w:t>0.00000096</w:t>
            </w:r>
          </w:p>
        </w:tc>
        <w:tc>
          <w:tcPr>
            <w:tcW w:w="1441" w:type="dxa"/>
          </w:tcPr>
          <w:p w:rsidR="00F3177F" w:rsidRDefault="0089671D">
            <w:pPr>
              <w:pStyle w:val="TableParagraph"/>
              <w:spacing w:before="104"/>
              <w:ind w:left="383" w:right="216"/>
              <w:rPr>
                <w:sz w:val="24"/>
              </w:rPr>
            </w:pPr>
            <w:r>
              <w:rPr>
                <w:sz w:val="24"/>
              </w:rPr>
              <w:t>23.594</w:t>
            </w:r>
          </w:p>
        </w:tc>
        <w:tc>
          <w:tcPr>
            <w:tcW w:w="1440" w:type="dxa"/>
          </w:tcPr>
          <w:p w:rsidR="00F3177F" w:rsidRDefault="0089671D">
            <w:pPr>
              <w:pStyle w:val="TableParagraph"/>
              <w:spacing w:before="104"/>
              <w:ind w:left="144"/>
              <w:rPr>
                <w:sz w:val="24"/>
              </w:rPr>
            </w:pPr>
            <w:r>
              <w:rPr>
                <w:sz w:val="24"/>
              </w:rPr>
              <w:t>0.00000119</w:t>
            </w:r>
          </w:p>
        </w:tc>
      </w:tr>
    </w:tbl>
    <w:p w:rsidR="00F3177F" w:rsidRDefault="00F3177F">
      <w:pPr>
        <w:rPr>
          <w:sz w:val="24"/>
        </w:rPr>
        <w:sectPr w:rsidR="00F3177F">
          <w:pgSz w:w="12240" w:h="15840"/>
          <w:pgMar w:top="1380" w:right="1320" w:bottom="2320" w:left="1720" w:header="0" w:footer="2072" w:gutter="0"/>
          <w:cols w:space="720"/>
        </w:sectPr>
      </w:pPr>
    </w:p>
    <w:p w:rsidR="00F3177F" w:rsidRDefault="0089671D">
      <w:pPr>
        <w:pStyle w:val="BodyText"/>
        <w:spacing w:before="52"/>
        <w:ind w:left="584" w:right="124"/>
      </w:pPr>
      <w:r>
        <w:lastRenderedPageBreak/>
        <w:t>Table 39: One-way Anova results for the items concerning students’ distraction (Items 25-28)</w:t>
      </w:r>
    </w:p>
    <w:p w:rsidR="00F3177F" w:rsidRDefault="00F3177F">
      <w:pPr>
        <w:pStyle w:val="BodyText"/>
        <w:spacing w:before="6" w:after="1"/>
        <w:rPr>
          <w:sz w:val="12"/>
        </w:rPr>
      </w:pPr>
    </w:p>
    <w:tbl>
      <w:tblPr>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1800"/>
        <w:gridCol w:w="720"/>
        <w:gridCol w:w="1529"/>
        <w:gridCol w:w="1261"/>
        <w:gridCol w:w="1260"/>
      </w:tblGrid>
      <w:tr w:rsidR="00F3177F">
        <w:trPr>
          <w:trHeight w:hRule="exact" w:val="655"/>
        </w:trPr>
        <w:tc>
          <w:tcPr>
            <w:tcW w:w="1906" w:type="dxa"/>
          </w:tcPr>
          <w:p w:rsidR="00F3177F" w:rsidRDefault="0089671D">
            <w:pPr>
              <w:pStyle w:val="TableParagraph"/>
              <w:spacing w:before="179"/>
              <w:ind w:left="123" w:right="123"/>
              <w:jc w:val="center"/>
              <w:rPr>
                <w:sz w:val="24"/>
              </w:rPr>
            </w:pPr>
            <w:r>
              <w:rPr>
                <w:sz w:val="24"/>
              </w:rPr>
              <w:t>Source</w:t>
            </w:r>
          </w:p>
        </w:tc>
        <w:tc>
          <w:tcPr>
            <w:tcW w:w="1800" w:type="dxa"/>
          </w:tcPr>
          <w:p w:rsidR="00F3177F" w:rsidRDefault="0089671D">
            <w:pPr>
              <w:pStyle w:val="TableParagraph"/>
              <w:spacing w:before="179"/>
              <w:ind w:left="114" w:right="115"/>
              <w:jc w:val="center"/>
              <w:rPr>
                <w:sz w:val="24"/>
              </w:rPr>
            </w:pPr>
            <w:r>
              <w:rPr>
                <w:sz w:val="24"/>
              </w:rPr>
              <w:t>Sum of Squares</w:t>
            </w:r>
          </w:p>
        </w:tc>
        <w:tc>
          <w:tcPr>
            <w:tcW w:w="720" w:type="dxa"/>
          </w:tcPr>
          <w:p w:rsidR="00F3177F" w:rsidRDefault="0089671D">
            <w:pPr>
              <w:pStyle w:val="TableParagraph"/>
              <w:spacing w:before="179"/>
              <w:ind w:left="254"/>
              <w:rPr>
                <w:sz w:val="24"/>
              </w:rPr>
            </w:pPr>
            <w:r>
              <w:rPr>
                <w:sz w:val="24"/>
              </w:rPr>
              <w:t>df</w:t>
            </w:r>
          </w:p>
        </w:tc>
        <w:tc>
          <w:tcPr>
            <w:tcW w:w="1529" w:type="dxa"/>
          </w:tcPr>
          <w:p w:rsidR="00F3177F" w:rsidRDefault="0089671D">
            <w:pPr>
              <w:pStyle w:val="TableParagraph"/>
              <w:spacing w:before="179"/>
              <w:ind w:left="102" w:right="103"/>
              <w:jc w:val="center"/>
              <w:rPr>
                <w:sz w:val="24"/>
              </w:rPr>
            </w:pPr>
            <w:r>
              <w:rPr>
                <w:sz w:val="24"/>
              </w:rPr>
              <w:t>Mean Square</w:t>
            </w:r>
          </w:p>
        </w:tc>
        <w:tc>
          <w:tcPr>
            <w:tcW w:w="1261" w:type="dxa"/>
          </w:tcPr>
          <w:p w:rsidR="00F3177F" w:rsidRDefault="0089671D">
            <w:pPr>
              <w:pStyle w:val="TableParagraph"/>
              <w:spacing w:before="179"/>
              <w:ind w:right="1"/>
              <w:jc w:val="center"/>
              <w:rPr>
                <w:sz w:val="24"/>
              </w:rPr>
            </w:pPr>
            <w:r>
              <w:rPr>
                <w:w w:val="99"/>
                <w:sz w:val="24"/>
              </w:rPr>
              <w:t>F</w:t>
            </w:r>
          </w:p>
        </w:tc>
        <w:tc>
          <w:tcPr>
            <w:tcW w:w="1260" w:type="dxa"/>
          </w:tcPr>
          <w:p w:rsidR="00F3177F" w:rsidRDefault="0089671D">
            <w:pPr>
              <w:pStyle w:val="TableParagraph"/>
              <w:spacing w:before="179"/>
              <w:ind w:left="72" w:right="72"/>
              <w:jc w:val="center"/>
              <w:rPr>
                <w:sz w:val="24"/>
              </w:rPr>
            </w:pPr>
            <w:r>
              <w:rPr>
                <w:sz w:val="24"/>
              </w:rPr>
              <w:t>Sig.</w:t>
            </w:r>
          </w:p>
        </w:tc>
      </w:tr>
      <w:tr w:rsidR="00F3177F">
        <w:trPr>
          <w:trHeight w:hRule="exact" w:val="655"/>
        </w:trPr>
        <w:tc>
          <w:tcPr>
            <w:tcW w:w="1906" w:type="dxa"/>
          </w:tcPr>
          <w:p w:rsidR="00F3177F" w:rsidRDefault="0089671D">
            <w:pPr>
              <w:pStyle w:val="TableParagraph"/>
              <w:spacing w:before="176"/>
              <w:ind w:left="123" w:right="126"/>
              <w:jc w:val="center"/>
              <w:rPr>
                <w:sz w:val="24"/>
              </w:rPr>
            </w:pPr>
            <w:r>
              <w:rPr>
                <w:sz w:val="24"/>
              </w:rPr>
              <w:t>Between Groups</w:t>
            </w:r>
          </w:p>
        </w:tc>
        <w:tc>
          <w:tcPr>
            <w:tcW w:w="1800" w:type="dxa"/>
          </w:tcPr>
          <w:p w:rsidR="00F3177F" w:rsidRDefault="0089671D">
            <w:pPr>
              <w:pStyle w:val="TableParagraph"/>
              <w:spacing w:before="176"/>
              <w:ind w:left="114" w:right="114"/>
              <w:jc w:val="center"/>
              <w:rPr>
                <w:sz w:val="24"/>
              </w:rPr>
            </w:pPr>
            <w:r>
              <w:rPr>
                <w:sz w:val="24"/>
              </w:rPr>
              <w:t>1.2863</w:t>
            </w:r>
          </w:p>
        </w:tc>
        <w:tc>
          <w:tcPr>
            <w:tcW w:w="720" w:type="dxa"/>
          </w:tcPr>
          <w:p w:rsidR="00F3177F" w:rsidRDefault="0089671D">
            <w:pPr>
              <w:pStyle w:val="TableParagraph"/>
              <w:spacing w:before="176"/>
              <w:jc w:val="center"/>
              <w:rPr>
                <w:sz w:val="24"/>
              </w:rPr>
            </w:pPr>
            <w:r>
              <w:rPr>
                <w:sz w:val="24"/>
              </w:rPr>
              <w:t>1</w:t>
            </w:r>
          </w:p>
        </w:tc>
        <w:tc>
          <w:tcPr>
            <w:tcW w:w="1529" w:type="dxa"/>
          </w:tcPr>
          <w:p w:rsidR="00F3177F" w:rsidRDefault="0089671D">
            <w:pPr>
              <w:pStyle w:val="TableParagraph"/>
              <w:spacing w:before="176"/>
              <w:ind w:left="102" w:right="102"/>
              <w:jc w:val="center"/>
              <w:rPr>
                <w:sz w:val="24"/>
              </w:rPr>
            </w:pPr>
            <w:r>
              <w:rPr>
                <w:sz w:val="24"/>
              </w:rPr>
              <w:t>1.2863</w:t>
            </w:r>
          </w:p>
        </w:tc>
        <w:tc>
          <w:tcPr>
            <w:tcW w:w="1261" w:type="dxa"/>
          </w:tcPr>
          <w:p w:rsidR="00F3177F" w:rsidRDefault="0089671D">
            <w:pPr>
              <w:pStyle w:val="TableParagraph"/>
              <w:spacing w:before="176"/>
              <w:ind w:left="155" w:right="155"/>
              <w:jc w:val="center"/>
              <w:rPr>
                <w:sz w:val="24"/>
              </w:rPr>
            </w:pPr>
            <w:r>
              <w:rPr>
                <w:sz w:val="24"/>
              </w:rPr>
              <w:t>29.7417</w:t>
            </w:r>
          </w:p>
        </w:tc>
        <w:tc>
          <w:tcPr>
            <w:tcW w:w="1260" w:type="dxa"/>
          </w:tcPr>
          <w:p w:rsidR="00F3177F" w:rsidRDefault="0089671D">
            <w:pPr>
              <w:pStyle w:val="TableParagraph"/>
              <w:spacing w:before="176"/>
              <w:ind w:left="72" w:right="72"/>
              <w:jc w:val="center"/>
              <w:rPr>
                <w:sz w:val="24"/>
              </w:rPr>
            </w:pPr>
            <w:r>
              <w:rPr>
                <w:sz w:val="24"/>
              </w:rPr>
              <w:t>0.00001</w:t>
            </w:r>
          </w:p>
        </w:tc>
      </w:tr>
      <w:tr w:rsidR="00F3177F">
        <w:trPr>
          <w:trHeight w:hRule="exact" w:val="655"/>
        </w:trPr>
        <w:tc>
          <w:tcPr>
            <w:tcW w:w="1906" w:type="dxa"/>
          </w:tcPr>
          <w:p w:rsidR="00F3177F" w:rsidRDefault="0089671D">
            <w:pPr>
              <w:pStyle w:val="TableParagraph"/>
              <w:spacing w:before="176"/>
              <w:ind w:left="123" w:right="124"/>
              <w:jc w:val="center"/>
              <w:rPr>
                <w:sz w:val="24"/>
              </w:rPr>
            </w:pPr>
            <w:r>
              <w:rPr>
                <w:sz w:val="24"/>
              </w:rPr>
              <w:t>Within Groups</w:t>
            </w:r>
          </w:p>
        </w:tc>
        <w:tc>
          <w:tcPr>
            <w:tcW w:w="1800" w:type="dxa"/>
          </w:tcPr>
          <w:p w:rsidR="00F3177F" w:rsidRDefault="0089671D">
            <w:pPr>
              <w:pStyle w:val="TableParagraph"/>
              <w:spacing w:before="176"/>
              <w:ind w:left="114" w:right="114"/>
              <w:jc w:val="center"/>
              <w:rPr>
                <w:sz w:val="24"/>
              </w:rPr>
            </w:pPr>
            <w:r>
              <w:rPr>
                <w:sz w:val="24"/>
              </w:rPr>
              <w:t>30.7056</w:t>
            </w:r>
          </w:p>
        </w:tc>
        <w:tc>
          <w:tcPr>
            <w:tcW w:w="720" w:type="dxa"/>
          </w:tcPr>
          <w:p w:rsidR="00F3177F" w:rsidRDefault="0089671D">
            <w:pPr>
              <w:pStyle w:val="TableParagraph"/>
              <w:spacing w:before="176"/>
              <w:ind w:left="175"/>
              <w:rPr>
                <w:sz w:val="24"/>
              </w:rPr>
            </w:pPr>
            <w:r>
              <w:rPr>
                <w:sz w:val="24"/>
              </w:rPr>
              <w:t>710</w:t>
            </w:r>
          </w:p>
        </w:tc>
        <w:tc>
          <w:tcPr>
            <w:tcW w:w="1529" w:type="dxa"/>
          </w:tcPr>
          <w:p w:rsidR="00F3177F" w:rsidRDefault="0089671D">
            <w:pPr>
              <w:pStyle w:val="TableParagraph"/>
              <w:spacing w:before="176"/>
              <w:ind w:left="102" w:right="102"/>
              <w:jc w:val="center"/>
              <w:rPr>
                <w:sz w:val="24"/>
              </w:rPr>
            </w:pPr>
            <w:r>
              <w:rPr>
                <w:sz w:val="24"/>
              </w:rPr>
              <w:t>0.0432</w:t>
            </w:r>
          </w:p>
        </w:tc>
        <w:tc>
          <w:tcPr>
            <w:tcW w:w="1261" w:type="dxa"/>
          </w:tcPr>
          <w:p w:rsidR="00F3177F" w:rsidRDefault="00F3177F"/>
        </w:tc>
        <w:tc>
          <w:tcPr>
            <w:tcW w:w="1260" w:type="dxa"/>
          </w:tcPr>
          <w:p w:rsidR="00F3177F" w:rsidRDefault="00F3177F"/>
        </w:tc>
      </w:tr>
      <w:tr w:rsidR="00F3177F">
        <w:trPr>
          <w:trHeight w:hRule="exact" w:val="497"/>
        </w:trPr>
        <w:tc>
          <w:tcPr>
            <w:tcW w:w="1906" w:type="dxa"/>
          </w:tcPr>
          <w:p w:rsidR="00F3177F" w:rsidRDefault="0089671D">
            <w:pPr>
              <w:pStyle w:val="TableParagraph"/>
              <w:spacing w:before="97"/>
              <w:ind w:left="123" w:right="124"/>
              <w:jc w:val="center"/>
              <w:rPr>
                <w:sz w:val="24"/>
              </w:rPr>
            </w:pPr>
            <w:r>
              <w:rPr>
                <w:sz w:val="24"/>
              </w:rPr>
              <w:t>Total</w:t>
            </w:r>
          </w:p>
        </w:tc>
        <w:tc>
          <w:tcPr>
            <w:tcW w:w="1800" w:type="dxa"/>
          </w:tcPr>
          <w:p w:rsidR="00F3177F" w:rsidRDefault="0089671D">
            <w:pPr>
              <w:pStyle w:val="TableParagraph"/>
              <w:spacing w:before="97"/>
              <w:ind w:left="114" w:right="114"/>
              <w:jc w:val="center"/>
              <w:rPr>
                <w:sz w:val="24"/>
              </w:rPr>
            </w:pPr>
            <w:r>
              <w:rPr>
                <w:sz w:val="24"/>
              </w:rPr>
              <w:t>31.9919</w:t>
            </w:r>
          </w:p>
        </w:tc>
        <w:tc>
          <w:tcPr>
            <w:tcW w:w="720" w:type="dxa"/>
          </w:tcPr>
          <w:p w:rsidR="00F3177F" w:rsidRDefault="0089671D">
            <w:pPr>
              <w:pStyle w:val="TableParagraph"/>
              <w:spacing w:before="97"/>
              <w:ind w:left="175"/>
              <w:rPr>
                <w:sz w:val="24"/>
              </w:rPr>
            </w:pPr>
            <w:r>
              <w:rPr>
                <w:sz w:val="24"/>
              </w:rPr>
              <w:t>711</w:t>
            </w:r>
          </w:p>
        </w:tc>
        <w:tc>
          <w:tcPr>
            <w:tcW w:w="1529" w:type="dxa"/>
          </w:tcPr>
          <w:p w:rsidR="00F3177F" w:rsidRDefault="00F3177F"/>
        </w:tc>
        <w:tc>
          <w:tcPr>
            <w:tcW w:w="1261" w:type="dxa"/>
          </w:tcPr>
          <w:p w:rsidR="00F3177F" w:rsidRDefault="00F3177F"/>
        </w:tc>
        <w:tc>
          <w:tcPr>
            <w:tcW w:w="1260" w:type="dxa"/>
          </w:tcPr>
          <w:p w:rsidR="00F3177F" w:rsidRDefault="00F3177F"/>
        </w:tc>
      </w:tr>
    </w:tbl>
    <w:p w:rsidR="00F3177F" w:rsidRDefault="00F3177F">
      <w:pPr>
        <w:pStyle w:val="BodyText"/>
        <w:spacing w:before="5"/>
        <w:rPr>
          <w:sz w:val="29"/>
        </w:rPr>
      </w:pPr>
    </w:p>
    <w:p w:rsidR="00F3177F" w:rsidRDefault="0089671D">
      <w:pPr>
        <w:pStyle w:val="BodyText"/>
        <w:spacing w:before="69" w:line="360" w:lineRule="auto"/>
        <w:ind w:left="584" w:right="123"/>
        <w:jc w:val="both"/>
      </w:pPr>
      <w:r>
        <w:t>Thus, the results show that students in lower energy consuming schools experience higher levels of distraction problems than students in higher energy consuming schools.</w:t>
      </w:r>
    </w:p>
    <w:p w:rsidR="00F3177F" w:rsidRDefault="00F3177F">
      <w:pPr>
        <w:pStyle w:val="BodyText"/>
      </w:pPr>
    </w:p>
    <w:p w:rsidR="00F3177F" w:rsidRDefault="00F3177F">
      <w:pPr>
        <w:pStyle w:val="BodyText"/>
        <w:spacing w:before="8"/>
      </w:pPr>
    </w:p>
    <w:p w:rsidR="00F3177F" w:rsidRDefault="0089671D">
      <w:pPr>
        <w:pStyle w:val="Heading2"/>
        <w:ind w:left="584" w:firstLine="0"/>
      </w:pPr>
      <w:r>
        <w:t>4.2   Conclusions, Discussion and Recommendations</w:t>
      </w:r>
    </w:p>
    <w:p w:rsidR="00F3177F" w:rsidRDefault="00F3177F">
      <w:pPr>
        <w:pStyle w:val="BodyText"/>
        <w:rPr>
          <w:b/>
        </w:rPr>
      </w:pPr>
    </w:p>
    <w:p w:rsidR="00F3177F" w:rsidRDefault="00F3177F">
      <w:pPr>
        <w:pStyle w:val="BodyText"/>
        <w:spacing w:before="6"/>
        <w:rPr>
          <w:b/>
          <w:sz w:val="23"/>
        </w:rPr>
      </w:pPr>
    </w:p>
    <w:p w:rsidR="00F3177F" w:rsidRDefault="0089671D">
      <w:pPr>
        <w:pStyle w:val="BodyText"/>
        <w:spacing w:line="360" w:lineRule="auto"/>
        <w:ind w:left="584" w:right="116"/>
        <w:jc w:val="both"/>
      </w:pPr>
      <w:r>
        <w:t>There two stages of the thesis and the first stage deals with energy saving school features from the point of annual energy consumption per unit area while the second</w:t>
      </w:r>
      <w:r w:rsidR="00D47CE6">
        <w:t xml:space="preserve"> </w:t>
      </w:r>
      <w:r>
        <w:t>one deals with the differences in students’ comfort levels from the point of students’ health, well-being and distraction between schools with low energy consumption, building transparencies and compactness than schools with high energy consumption, building transparencies and</w:t>
      </w:r>
      <w:r>
        <w:rPr>
          <w:spacing w:val="-8"/>
        </w:rPr>
        <w:t xml:space="preserve"> </w:t>
      </w:r>
      <w:r>
        <w:t>compactness.</w:t>
      </w:r>
    </w:p>
    <w:p w:rsidR="00F3177F" w:rsidRDefault="00F3177F">
      <w:pPr>
        <w:pStyle w:val="BodyText"/>
      </w:pPr>
    </w:p>
    <w:p w:rsidR="00F3177F" w:rsidRDefault="0089671D" w:rsidP="00D47CE6">
      <w:pPr>
        <w:pStyle w:val="BodyText"/>
        <w:spacing w:before="143" w:line="348" w:lineRule="auto"/>
        <w:ind w:left="584" w:right="116"/>
        <w:jc w:val="both"/>
      </w:pPr>
      <w:r>
        <w:t>The research results show that the annual energy consumptions of the state primary and secondary schools in PCM are lower than previous years and much lower than neighboring countries and European countries in general. The effect of Termokos Central Heating System cannot be denied in case of Central Pristina state primary and secondary schools with an annual average of 708.1 kWh/student, 69.4 kWh/m</w:t>
      </w:r>
      <w:r>
        <w:rPr>
          <w:position w:val="11"/>
          <w:sz w:val="16"/>
        </w:rPr>
        <w:t>2</w:t>
      </w:r>
      <w:r>
        <w:t>, 13.7 kgCO</w:t>
      </w:r>
      <w:r>
        <w:rPr>
          <w:position w:val="-2"/>
          <w:sz w:val="16"/>
        </w:rPr>
        <w:t>2</w:t>
      </w:r>
      <w:r>
        <w:t>/m</w:t>
      </w:r>
      <w:r>
        <w:rPr>
          <w:position w:val="11"/>
          <w:sz w:val="16"/>
        </w:rPr>
        <w:t xml:space="preserve">2 </w:t>
      </w:r>
      <w:r>
        <w:t>and 0.15 students per meter square according to the results of the research calculations of this thesis. The same averages were calculated as 671.7 kWh/student,</w:t>
      </w:r>
      <w:r w:rsidR="00D47CE6">
        <w:t xml:space="preserve"> </w:t>
      </w:r>
      <w:r>
        <w:t>107.0 kWh/</w:t>
      </w:r>
      <w:proofErr w:type="gramStart"/>
      <w:r>
        <w:t>m</w:t>
      </w:r>
      <w:r>
        <w:rPr>
          <w:position w:val="11"/>
          <w:sz w:val="16"/>
        </w:rPr>
        <w:t xml:space="preserve">2  </w:t>
      </w:r>
      <w:r>
        <w:t>and</w:t>
      </w:r>
      <w:proofErr w:type="gramEnd"/>
      <w:r>
        <w:t xml:space="preserve"> 15.4 kgCO</w:t>
      </w:r>
      <w:r>
        <w:rPr>
          <w:position w:val="-2"/>
          <w:sz w:val="16"/>
        </w:rPr>
        <w:t>2</w:t>
      </w:r>
      <w:r>
        <w:t>/m</w:t>
      </w:r>
      <w:r>
        <w:rPr>
          <w:position w:val="11"/>
          <w:sz w:val="16"/>
        </w:rPr>
        <w:t>2</w:t>
      </w:r>
      <w:r>
        <w:t xml:space="preserve">, respectively for the pre-primary state schools  </w:t>
      </w:r>
      <w:r>
        <w:rPr>
          <w:spacing w:val="59"/>
        </w:rPr>
        <w:t xml:space="preserve"> </w:t>
      </w:r>
      <w:r>
        <w:t>with</w:t>
      </w:r>
    </w:p>
    <w:p w:rsidR="00F3177F" w:rsidRDefault="00F3177F">
      <w:pPr>
        <w:spacing w:line="308" w:lineRule="exact"/>
        <w:jc w:val="both"/>
        <w:sectPr w:rsidR="00F3177F">
          <w:pgSz w:w="12240" w:h="15840"/>
          <w:pgMar w:top="1380" w:right="1320" w:bottom="2320" w:left="1720" w:header="0" w:footer="2072" w:gutter="0"/>
          <w:cols w:space="720"/>
        </w:sectPr>
      </w:pPr>
    </w:p>
    <w:p w:rsidR="00F3177F" w:rsidRDefault="00CA6556">
      <w:pPr>
        <w:pStyle w:val="BodyText"/>
        <w:spacing w:before="54" w:line="350" w:lineRule="auto"/>
        <w:ind w:left="584" w:right="679"/>
        <w:jc w:val="both"/>
      </w:pPr>
      <w:r>
        <w:lastRenderedPageBreak/>
        <w:pict>
          <v:group id="_x0000_s1028" style="position:absolute;left:0;text-align:left;margin-left:114.8pt;margin-top:147.5pt;width:425.2pt;height:293.75pt;z-index:1792;mso-position-horizontal-relative:page" coordorigin="2296,2950" coordsize="8504,5875">
            <v:shape id="_x0000_s1031" type="#_x0000_t75" style="position:absolute;left:2549;top:3424;width:8002;height:3108">
              <v:imagedata r:id="rId64" o:title=""/>
            </v:shape>
            <v:shape id="_x0000_s1030" style="position:absolute;left:2590;top:6493;width:7920;height:57" coordorigin="2590,6493" coordsize="7920,57" o:spt="100" adj="0,,0" path="m2590,6493r,57m2873,6493r,57m3154,6493r,57m3437,6493r,57m3720,6493r,57m4003,6493r,57m4286,6493r,57m4570,6493r,57m4853,6493r,57m5134,6493r,57m5417,6493r,57m5700,6493r,57m5983,6493r,57m6266,6493r,57m6550,6493r,57m6833,6493r,57m7114,6493r,57m7397,6493r,57m7680,6493r,57m7963,6493r,57m8246,6493r,57m8530,6493r,57m8813,6493r,57m9096,6493r,57m9377,6493r,57m9660,6493r,57m9943,6493r,57m10226,6493r,57m10509,6493r,57e" filled="f" strokecolor="#858585">
              <v:stroke joinstyle="round"/>
              <v:formulas/>
              <v:path arrowok="t" o:connecttype="segments"/>
            </v:shape>
            <v:rect id="_x0000_s1029" style="position:absolute;left:2304;top:2957;width:8489;height:5860" filled="f" strokecolor="#858585"/>
            <w10:wrap anchorx="page"/>
          </v:group>
        </w:pict>
      </w:r>
      <w:r>
        <w:pict>
          <v:shape id="_x0000_s1027" type="#_x0000_t202" style="position:absolute;left:0;text-align:left;margin-left:131.45pt;margin-top:154.2pt;width:393.9pt;height:131.15pt;z-index:1816;mso-position-horizontal-relative:page" filled="f" stroked="f">
            <v:textbox style="layout-flow:vertical;mso-layout-flow-alt:bottom-to-top" inset="0,0,0,0">
              <w:txbxContent>
                <w:p w:rsidR="008C4866" w:rsidRDefault="008C4866">
                  <w:pPr>
                    <w:spacing w:line="223" w:lineRule="exact"/>
                    <w:ind w:left="20"/>
                    <w:rPr>
                      <w:rFonts w:ascii="Calibri"/>
                      <w:sz w:val="20"/>
                    </w:rPr>
                  </w:pPr>
                  <w:r>
                    <w:rPr>
                      <w:rFonts w:ascii="Calibri"/>
                      <w:spacing w:val="-1"/>
                      <w:w w:val="99"/>
                      <w:sz w:val="20"/>
                    </w:rPr>
                    <w:t>68</w:t>
                  </w:r>
                </w:p>
                <w:p w:rsidR="008C4866" w:rsidRDefault="008C4866">
                  <w:pPr>
                    <w:spacing w:before="38"/>
                    <w:ind w:left="35"/>
                    <w:rPr>
                      <w:rFonts w:ascii="Calibri"/>
                      <w:sz w:val="20"/>
                    </w:rPr>
                  </w:pPr>
                  <w:r>
                    <w:rPr>
                      <w:rFonts w:ascii="Calibri"/>
                      <w:w w:val="99"/>
                      <w:sz w:val="20"/>
                    </w:rPr>
                    <w:t>69.4</w:t>
                  </w:r>
                </w:p>
                <w:p w:rsidR="008C4866" w:rsidRDefault="008C4866">
                  <w:pPr>
                    <w:spacing w:before="39"/>
                    <w:ind w:left="67"/>
                    <w:rPr>
                      <w:rFonts w:ascii="Calibri"/>
                      <w:sz w:val="20"/>
                    </w:rPr>
                  </w:pPr>
                  <w:r>
                    <w:rPr>
                      <w:rFonts w:ascii="Calibri"/>
                      <w:w w:val="99"/>
                      <w:sz w:val="20"/>
                    </w:rPr>
                    <w:t>72.6</w:t>
                  </w:r>
                </w:p>
                <w:p w:rsidR="008C4866" w:rsidRDefault="008C4866">
                  <w:pPr>
                    <w:spacing w:before="38"/>
                    <w:ind w:left="271"/>
                    <w:rPr>
                      <w:rFonts w:ascii="Calibri"/>
                      <w:sz w:val="20"/>
                    </w:rPr>
                  </w:pPr>
                  <w:r>
                    <w:rPr>
                      <w:rFonts w:ascii="Calibri"/>
                      <w:spacing w:val="-1"/>
                      <w:w w:val="99"/>
                      <w:sz w:val="20"/>
                    </w:rPr>
                    <w:t>93</w:t>
                  </w:r>
                </w:p>
                <w:p w:rsidR="008C4866" w:rsidRDefault="008C4866">
                  <w:pPr>
                    <w:spacing w:before="39"/>
                    <w:ind w:left="292"/>
                    <w:rPr>
                      <w:rFonts w:ascii="Calibri"/>
                      <w:sz w:val="20"/>
                    </w:rPr>
                  </w:pPr>
                  <w:r>
                    <w:rPr>
                      <w:rFonts w:ascii="Calibri"/>
                      <w:spacing w:val="-1"/>
                      <w:w w:val="99"/>
                      <w:sz w:val="20"/>
                    </w:rPr>
                    <w:t>95</w:t>
                  </w:r>
                </w:p>
                <w:p w:rsidR="008C4866" w:rsidRDefault="008C4866">
                  <w:pPr>
                    <w:spacing w:before="38"/>
                    <w:ind w:left="342"/>
                    <w:rPr>
                      <w:rFonts w:ascii="Calibri"/>
                      <w:sz w:val="20"/>
                    </w:rPr>
                  </w:pPr>
                  <w:r>
                    <w:rPr>
                      <w:rFonts w:ascii="Calibri"/>
                      <w:spacing w:val="-1"/>
                      <w:w w:val="99"/>
                      <w:sz w:val="20"/>
                    </w:rPr>
                    <w:t>100</w:t>
                  </w:r>
                </w:p>
                <w:p w:rsidR="008C4866" w:rsidRDefault="008C4866">
                  <w:pPr>
                    <w:spacing w:before="39"/>
                    <w:ind w:left="508"/>
                    <w:rPr>
                      <w:rFonts w:ascii="Calibri"/>
                      <w:sz w:val="20"/>
                    </w:rPr>
                  </w:pPr>
                  <w:r>
                    <w:rPr>
                      <w:rFonts w:ascii="Calibri"/>
                      <w:w w:val="99"/>
                      <w:sz w:val="20"/>
                    </w:rPr>
                    <w:t>1</w:t>
                  </w:r>
                  <w:r>
                    <w:rPr>
                      <w:rFonts w:ascii="Calibri"/>
                      <w:spacing w:val="-1"/>
                      <w:w w:val="99"/>
                      <w:sz w:val="20"/>
                    </w:rPr>
                    <w:t>1</w:t>
                  </w:r>
                  <w:r>
                    <w:rPr>
                      <w:rFonts w:ascii="Calibri"/>
                      <w:w w:val="99"/>
                      <w:sz w:val="20"/>
                    </w:rPr>
                    <w:t>6.</w:t>
                  </w:r>
                  <w:r>
                    <w:rPr>
                      <w:rFonts w:ascii="Calibri"/>
                      <w:spacing w:val="-1"/>
                      <w:w w:val="99"/>
                      <w:sz w:val="20"/>
                    </w:rPr>
                    <w:t>2</w:t>
                  </w:r>
                  <w:r>
                    <w:rPr>
                      <w:rFonts w:ascii="Calibri"/>
                      <w:w w:val="99"/>
                      <w:sz w:val="20"/>
                    </w:rPr>
                    <w:t>2</w:t>
                  </w:r>
                </w:p>
                <w:p w:rsidR="008C4866" w:rsidRDefault="008C4866">
                  <w:pPr>
                    <w:spacing w:before="38"/>
                    <w:ind w:left="534"/>
                    <w:rPr>
                      <w:rFonts w:ascii="Calibri"/>
                      <w:sz w:val="20"/>
                    </w:rPr>
                  </w:pPr>
                  <w:r>
                    <w:rPr>
                      <w:rFonts w:ascii="Calibri"/>
                      <w:spacing w:val="-1"/>
                      <w:w w:val="99"/>
                      <w:sz w:val="20"/>
                    </w:rPr>
                    <w:t>119</w:t>
                  </w:r>
                </w:p>
                <w:p w:rsidR="008C4866" w:rsidRDefault="008C4866">
                  <w:pPr>
                    <w:spacing w:before="38"/>
                    <w:ind w:left="564"/>
                    <w:rPr>
                      <w:rFonts w:ascii="Calibri"/>
                      <w:sz w:val="20"/>
                    </w:rPr>
                  </w:pPr>
                  <w:r>
                    <w:rPr>
                      <w:rFonts w:ascii="Calibri"/>
                      <w:spacing w:val="-1"/>
                      <w:w w:val="99"/>
                      <w:sz w:val="20"/>
                    </w:rPr>
                    <w:t>122</w:t>
                  </w:r>
                </w:p>
                <w:p w:rsidR="008C4866" w:rsidRDefault="008C4866">
                  <w:pPr>
                    <w:spacing w:before="39"/>
                    <w:ind w:left="2591" w:right="3618"/>
                    <w:jc w:val="center"/>
                    <w:rPr>
                      <w:rFonts w:ascii="Calibri"/>
                      <w:sz w:val="20"/>
                    </w:rPr>
                  </w:pPr>
                  <w:r>
                    <w:rPr>
                      <w:rFonts w:ascii="Calibri"/>
                      <w:spacing w:val="-1"/>
                      <w:w w:val="99"/>
                      <w:sz w:val="20"/>
                    </w:rPr>
                    <w:t>130</w:t>
                  </w:r>
                </w:p>
                <w:p w:rsidR="008C4866" w:rsidRDefault="008C4866">
                  <w:pPr>
                    <w:spacing w:before="38"/>
                    <w:ind w:left="3255" w:right="3489"/>
                    <w:jc w:val="center"/>
                    <w:rPr>
                      <w:rFonts w:ascii="Calibri"/>
                      <w:sz w:val="20"/>
                    </w:rPr>
                  </w:pPr>
                  <w:r>
                    <w:rPr>
                      <w:rFonts w:ascii="Calibri"/>
                      <w:w w:val="99"/>
                      <w:sz w:val="20"/>
                    </w:rPr>
                    <w:t>161.6</w:t>
                  </w:r>
                </w:p>
                <w:p w:rsidR="008C4866" w:rsidRDefault="008C4866">
                  <w:pPr>
                    <w:spacing w:before="39"/>
                    <w:ind w:left="3255" w:right="3576"/>
                    <w:jc w:val="center"/>
                    <w:rPr>
                      <w:rFonts w:ascii="Calibri"/>
                      <w:sz w:val="20"/>
                    </w:rPr>
                  </w:pPr>
                  <w:r>
                    <w:rPr>
                      <w:rFonts w:ascii="Calibri"/>
                      <w:spacing w:val="-1"/>
                      <w:w w:val="99"/>
                      <w:sz w:val="20"/>
                    </w:rPr>
                    <w:t>165</w:t>
                  </w:r>
                </w:p>
                <w:p w:rsidR="008C4866" w:rsidRDefault="008C4866">
                  <w:pPr>
                    <w:spacing w:before="38"/>
                    <w:ind w:left="3255" w:right="3475"/>
                    <w:jc w:val="center"/>
                    <w:rPr>
                      <w:rFonts w:ascii="Calibri"/>
                      <w:sz w:val="20"/>
                    </w:rPr>
                  </w:pPr>
                  <w:r>
                    <w:rPr>
                      <w:rFonts w:ascii="Calibri"/>
                      <w:spacing w:val="-1"/>
                      <w:w w:val="99"/>
                      <w:sz w:val="20"/>
                    </w:rPr>
                    <w:t>170</w:t>
                  </w:r>
                </w:p>
                <w:p w:rsidR="008C4866" w:rsidRDefault="008C4866">
                  <w:pPr>
                    <w:spacing w:before="38"/>
                    <w:ind w:left="3255" w:right="3195"/>
                    <w:jc w:val="center"/>
                    <w:rPr>
                      <w:rFonts w:ascii="Calibri"/>
                      <w:sz w:val="20"/>
                    </w:rPr>
                  </w:pPr>
                  <w:r>
                    <w:rPr>
                      <w:rFonts w:ascii="Calibri"/>
                      <w:w w:val="99"/>
                      <w:sz w:val="20"/>
                    </w:rPr>
                    <w:t>176.3</w:t>
                  </w:r>
                </w:p>
                <w:p w:rsidR="008C4866" w:rsidRDefault="008C4866">
                  <w:pPr>
                    <w:spacing w:before="39"/>
                    <w:ind w:left="3255" w:right="3273"/>
                    <w:jc w:val="center"/>
                    <w:rPr>
                      <w:rFonts w:ascii="Calibri"/>
                      <w:sz w:val="20"/>
                    </w:rPr>
                  </w:pPr>
                  <w:r>
                    <w:rPr>
                      <w:rFonts w:ascii="Calibri"/>
                      <w:spacing w:val="-1"/>
                      <w:w w:val="99"/>
                      <w:sz w:val="20"/>
                    </w:rPr>
                    <w:t>180</w:t>
                  </w:r>
                </w:p>
                <w:p w:rsidR="008C4866" w:rsidRDefault="008C4866">
                  <w:pPr>
                    <w:spacing w:before="38"/>
                    <w:ind w:left="3255" w:right="3273"/>
                    <w:jc w:val="center"/>
                    <w:rPr>
                      <w:rFonts w:ascii="Calibri"/>
                      <w:sz w:val="20"/>
                    </w:rPr>
                  </w:pPr>
                  <w:r>
                    <w:rPr>
                      <w:rFonts w:ascii="Calibri"/>
                      <w:spacing w:val="-1"/>
                      <w:w w:val="99"/>
                      <w:sz w:val="20"/>
                    </w:rPr>
                    <w:t>180</w:t>
                  </w:r>
                </w:p>
                <w:p w:rsidR="008C4866" w:rsidRDefault="008C4866">
                  <w:pPr>
                    <w:spacing w:before="39"/>
                    <w:ind w:left="3255" w:right="3033"/>
                    <w:jc w:val="center"/>
                    <w:rPr>
                      <w:rFonts w:ascii="Calibri"/>
                      <w:sz w:val="20"/>
                    </w:rPr>
                  </w:pPr>
                  <w:r>
                    <w:rPr>
                      <w:rFonts w:ascii="Calibri"/>
                      <w:spacing w:val="-1"/>
                      <w:w w:val="99"/>
                      <w:sz w:val="20"/>
                    </w:rPr>
                    <w:t>192</w:t>
                  </w:r>
                </w:p>
                <w:p w:rsidR="008C4866" w:rsidRDefault="008C4866">
                  <w:pPr>
                    <w:spacing w:before="38"/>
                    <w:ind w:left="3255" w:right="2993"/>
                    <w:jc w:val="center"/>
                    <w:rPr>
                      <w:rFonts w:ascii="Calibri"/>
                      <w:sz w:val="20"/>
                    </w:rPr>
                  </w:pPr>
                  <w:r>
                    <w:rPr>
                      <w:rFonts w:ascii="Calibri"/>
                      <w:spacing w:val="-1"/>
                      <w:w w:val="99"/>
                      <w:sz w:val="20"/>
                    </w:rPr>
                    <w:t>194</w:t>
                  </w:r>
                </w:p>
                <w:p w:rsidR="008C4866" w:rsidRDefault="008C4866">
                  <w:pPr>
                    <w:spacing w:before="39"/>
                    <w:ind w:left="3255" w:right="2973"/>
                    <w:jc w:val="center"/>
                    <w:rPr>
                      <w:rFonts w:ascii="Calibri"/>
                      <w:sz w:val="20"/>
                    </w:rPr>
                  </w:pPr>
                  <w:r>
                    <w:rPr>
                      <w:rFonts w:ascii="Calibri"/>
                      <w:spacing w:val="-1"/>
                      <w:w w:val="99"/>
                      <w:sz w:val="20"/>
                    </w:rPr>
                    <w:t>195</w:t>
                  </w:r>
                </w:p>
                <w:p w:rsidR="008C4866" w:rsidRDefault="008C4866">
                  <w:pPr>
                    <w:spacing w:before="38"/>
                    <w:ind w:left="3255" w:right="2953"/>
                    <w:jc w:val="center"/>
                    <w:rPr>
                      <w:rFonts w:ascii="Calibri"/>
                      <w:sz w:val="20"/>
                    </w:rPr>
                  </w:pPr>
                  <w:r>
                    <w:rPr>
                      <w:rFonts w:ascii="Calibri"/>
                      <w:spacing w:val="-1"/>
                      <w:w w:val="99"/>
                      <w:sz w:val="20"/>
                    </w:rPr>
                    <w:t>196</w:t>
                  </w:r>
                </w:p>
                <w:p w:rsidR="008C4866" w:rsidRDefault="008C4866">
                  <w:pPr>
                    <w:spacing w:before="38"/>
                    <w:ind w:left="1482"/>
                    <w:rPr>
                      <w:rFonts w:ascii="Calibri"/>
                      <w:sz w:val="20"/>
                    </w:rPr>
                  </w:pPr>
                  <w:r>
                    <w:rPr>
                      <w:rFonts w:ascii="Calibri"/>
                      <w:spacing w:val="-1"/>
                      <w:w w:val="99"/>
                      <w:sz w:val="20"/>
                    </w:rPr>
                    <w:t>213</w:t>
                  </w:r>
                </w:p>
                <w:p w:rsidR="008C4866" w:rsidRDefault="008C4866">
                  <w:pPr>
                    <w:spacing w:before="39"/>
                    <w:ind w:left="1563"/>
                    <w:rPr>
                      <w:rFonts w:ascii="Calibri"/>
                      <w:sz w:val="20"/>
                    </w:rPr>
                  </w:pPr>
                  <w:r>
                    <w:rPr>
                      <w:rFonts w:ascii="Calibri"/>
                      <w:spacing w:val="-1"/>
                      <w:w w:val="99"/>
                      <w:sz w:val="20"/>
                    </w:rPr>
                    <w:t>221</w:t>
                  </w:r>
                </w:p>
                <w:p w:rsidR="008C4866" w:rsidRDefault="008C4866">
                  <w:pPr>
                    <w:spacing w:before="38"/>
                    <w:ind w:left="1593"/>
                    <w:rPr>
                      <w:rFonts w:ascii="Calibri"/>
                      <w:sz w:val="20"/>
                    </w:rPr>
                  </w:pPr>
                  <w:r>
                    <w:rPr>
                      <w:rFonts w:ascii="Calibri"/>
                      <w:spacing w:val="-1"/>
                      <w:w w:val="99"/>
                      <w:sz w:val="20"/>
                    </w:rPr>
                    <w:t>224</w:t>
                  </w:r>
                </w:p>
                <w:p w:rsidR="008C4866" w:rsidRDefault="008C4866">
                  <w:pPr>
                    <w:spacing w:before="39"/>
                    <w:ind w:left="1744"/>
                    <w:rPr>
                      <w:rFonts w:ascii="Calibri"/>
                      <w:sz w:val="20"/>
                    </w:rPr>
                  </w:pPr>
                  <w:r>
                    <w:rPr>
                      <w:rFonts w:ascii="Calibri"/>
                      <w:spacing w:val="-1"/>
                      <w:w w:val="99"/>
                      <w:sz w:val="20"/>
                    </w:rPr>
                    <w:t>239</w:t>
                  </w:r>
                </w:p>
                <w:p w:rsidR="008C4866" w:rsidRDefault="008C4866">
                  <w:pPr>
                    <w:spacing w:before="38"/>
                    <w:ind w:right="451"/>
                    <w:jc w:val="right"/>
                    <w:rPr>
                      <w:rFonts w:ascii="Calibri"/>
                      <w:sz w:val="20"/>
                    </w:rPr>
                  </w:pPr>
                  <w:r>
                    <w:rPr>
                      <w:rFonts w:ascii="Calibri"/>
                      <w:spacing w:val="-1"/>
                      <w:w w:val="99"/>
                      <w:sz w:val="20"/>
                    </w:rPr>
                    <w:t>251</w:t>
                  </w:r>
                </w:p>
                <w:p w:rsidR="008C4866" w:rsidRDefault="008C4866">
                  <w:pPr>
                    <w:spacing w:before="38"/>
                    <w:ind w:right="189"/>
                    <w:jc w:val="right"/>
                    <w:rPr>
                      <w:rFonts w:ascii="Calibri"/>
                      <w:sz w:val="20"/>
                    </w:rPr>
                  </w:pPr>
                  <w:r>
                    <w:rPr>
                      <w:rFonts w:ascii="Calibri"/>
                      <w:spacing w:val="-1"/>
                      <w:w w:val="99"/>
                      <w:sz w:val="20"/>
                    </w:rPr>
                    <w:t>277</w:t>
                  </w:r>
                </w:p>
                <w:p w:rsidR="008C4866" w:rsidRDefault="008C4866">
                  <w:pPr>
                    <w:spacing w:before="39"/>
                    <w:ind w:right="58"/>
                    <w:jc w:val="right"/>
                    <w:rPr>
                      <w:rFonts w:ascii="Calibri"/>
                      <w:sz w:val="20"/>
                    </w:rPr>
                  </w:pPr>
                  <w:r>
                    <w:rPr>
                      <w:rFonts w:ascii="Calibri"/>
                      <w:spacing w:val="-1"/>
                      <w:w w:val="99"/>
                      <w:sz w:val="20"/>
                    </w:rPr>
                    <w:t>290</w:t>
                  </w:r>
                </w:p>
                <w:p w:rsidR="008C4866" w:rsidRDefault="008C4866">
                  <w:pPr>
                    <w:spacing w:before="38"/>
                    <w:ind w:right="18"/>
                    <w:jc w:val="right"/>
                    <w:rPr>
                      <w:rFonts w:ascii="Calibri"/>
                      <w:sz w:val="20"/>
                    </w:rPr>
                  </w:pPr>
                  <w:r>
                    <w:rPr>
                      <w:rFonts w:ascii="Calibri"/>
                      <w:spacing w:val="-1"/>
                      <w:w w:val="99"/>
                      <w:sz w:val="20"/>
                    </w:rPr>
                    <w:t>294</w:t>
                  </w:r>
                </w:p>
              </w:txbxContent>
            </v:textbox>
            <w10:wrap anchorx="page"/>
          </v:shape>
        </w:pict>
      </w:r>
      <w:proofErr w:type="gramStart"/>
      <w:r w:rsidR="0089671D">
        <w:t>an</w:t>
      </w:r>
      <w:proofErr w:type="gramEnd"/>
      <w:r w:rsidR="0089671D">
        <w:t xml:space="preserve"> average of 0.15 students per meter square in the same Municipality. However, Pristina does not reflect the national averages as the same averages calculated for the state schools in Vushturi Municipality with an average of 0.21 students per meter square were 823.4 kWh/student, 176.3 kWh/m</w:t>
      </w:r>
      <w:r w:rsidR="0089671D">
        <w:rPr>
          <w:position w:val="11"/>
          <w:sz w:val="16"/>
        </w:rPr>
        <w:t xml:space="preserve">2 </w:t>
      </w:r>
      <w:r w:rsidR="0089671D">
        <w:t>and 48.4 kgCO</w:t>
      </w:r>
      <w:r w:rsidR="0089671D">
        <w:rPr>
          <w:position w:val="-2"/>
          <w:sz w:val="16"/>
        </w:rPr>
        <w:t>2</w:t>
      </w:r>
      <w:r w:rsidR="0089671D">
        <w:t>/m</w:t>
      </w:r>
      <w:r w:rsidR="0089671D">
        <w:rPr>
          <w:position w:val="11"/>
          <w:sz w:val="16"/>
        </w:rPr>
        <w:t>2</w:t>
      </w:r>
      <w:r w:rsidR="0089671D">
        <w:t>, respectively. Comparison of the results with the neighboring and other European countries for annual energy consumption per meter square is given in Figure 14 below.</w:t>
      </w: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pPr>
    </w:p>
    <w:p w:rsidR="00F3177F" w:rsidRDefault="00F3177F">
      <w:pPr>
        <w:pStyle w:val="BodyText"/>
        <w:spacing w:before="6"/>
        <w:rPr>
          <w:sz w:val="20"/>
        </w:rPr>
      </w:pPr>
    </w:p>
    <w:p w:rsidR="00F3177F" w:rsidRDefault="00CA6556">
      <w:pPr>
        <w:pStyle w:val="BodyText"/>
        <w:spacing w:before="1"/>
        <w:ind w:left="584" w:right="677"/>
        <w:jc w:val="both"/>
      </w:pPr>
      <w:r>
        <w:pict>
          <v:shape id="_x0000_s1026" type="#_x0000_t202" style="position:absolute;left:0;text-align:left;margin-left:131.8pt;margin-top:-125.85pt;width:393pt;height:98pt;z-index:1840;mso-position-horizontal-relative:page" filled="f" stroked="f">
            <v:textbox style="layout-flow:vertical;mso-layout-flow-alt:bottom-to-top" inset="0,0,0,0">
              <w:txbxContent>
                <w:p w:rsidR="008C4866" w:rsidRDefault="008C4866">
                  <w:pPr>
                    <w:spacing w:line="203" w:lineRule="exact"/>
                    <w:ind w:left="1299" w:hanging="123"/>
                    <w:rPr>
                      <w:rFonts w:ascii="Calibri"/>
                      <w:sz w:val="18"/>
                    </w:rPr>
                  </w:pPr>
                  <w:r>
                    <w:rPr>
                      <w:rFonts w:ascii="Calibri"/>
                      <w:spacing w:val="-1"/>
                      <w:sz w:val="18"/>
                    </w:rPr>
                    <w:t>G</w:t>
                  </w:r>
                  <w:r>
                    <w:rPr>
                      <w:rFonts w:ascii="Calibri"/>
                      <w:spacing w:val="1"/>
                      <w:sz w:val="18"/>
                    </w:rPr>
                    <w:t>r</w:t>
                  </w:r>
                  <w:r>
                    <w:rPr>
                      <w:rFonts w:ascii="Calibri"/>
                      <w:spacing w:val="-1"/>
                      <w:sz w:val="18"/>
                    </w:rPr>
                    <w:t>ee</w:t>
                  </w:r>
                  <w:r>
                    <w:rPr>
                      <w:rFonts w:ascii="Calibri"/>
                      <w:sz w:val="18"/>
                    </w:rPr>
                    <w:t>ce</w:t>
                  </w:r>
                  <w:r>
                    <w:rPr>
                      <w:rFonts w:ascii="Calibri"/>
                      <w:spacing w:val="-1"/>
                      <w:sz w:val="18"/>
                    </w:rPr>
                    <w:t xml:space="preserve"> </w:t>
                  </w:r>
                  <w:r>
                    <w:rPr>
                      <w:rFonts w:ascii="Calibri"/>
                      <w:sz w:val="18"/>
                    </w:rPr>
                    <w:t>(6)</w:t>
                  </w:r>
                </w:p>
                <w:p w:rsidR="008C4866" w:rsidRDefault="008C4866">
                  <w:pPr>
                    <w:spacing w:before="63" w:line="309" w:lineRule="auto"/>
                    <w:ind w:left="1149" w:right="19" w:firstLine="149"/>
                    <w:jc w:val="right"/>
                    <w:rPr>
                      <w:rFonts w:ascii="Calibri"/>
                      <w:sz w:val="18"/>
                    </w:rPr>
                  </w:pPr>
                  <w:r>
                    <w:rPr>
                      <w:rFonts w:ascii="Calibri"/>
                      <w:sz w:val="18"/>
                    </w:rPr>
                    <w:t>Pri</w:t>
                  </w:r>
                  <w:r>
                    <w:rPr>
                      <w:rFonts w:ascii="Calibri"/>
                      <w:spacing w:val="-2"/>
                      <w:sz w:val="18"/>
                    </w:rPr>
                    <w:t>s</w:t>
                  </w:r>
                  <w:r>
                    <w:rPr>
                      <w:rFonts w:ascii="Calibri"/>
                      <w:spacing w:val="2"/>
                      <w:sz w:val="18"/>
                    </w:rPr>
                    <w:t>t</w:t>
                  </w:r>
                  <w:r>
                    <w:rPr>
                      <w:rFonts w:ascii="Calibri"/>
                      <w:spacing w:val="-1"/>
                      <w:sz w:val="18"/>
                    </w:rPr>
                    <w:t>in</w:t>
                  </w:r>
                  <w:r>
                    <w:rPr>
                      <w:rFonts w:ascii="Calibri"/>
                      <w:sz w:val="18"/>
                    </w:rPr>
                    <w:t xml:space="preserve">a* </w:t>
                  </w:r>
                  <w:r>
                    <w:rPr>
                      <w:rFonts w:ascii="Calibri"/>
                      <w:spacing w:val="-1"/>
                      <w:sz w:val="18"/>
                    </w:rPr>
                    <w:t>A</w:t>
                  </w:r>
                  <w:r>
                    <w:rPr>
                      <w:rFonts w:ascii="Calibri"/>
                      <w:spacing w:val="1"/>
                      <w:sz w:val="18"/>
                    </w:rPr>
                    <w:t>l</w:t>
                  </w:r>
                  <w:r>
                    <w:rPr>
                      <w:rFonts w:ascii="Calibri"/>
                      <w:spacing w:val="-1"/>
                      <w:sz w:val="18"/>
                    </w:rPr>
                    <w:t>b</w:t>
                  </w:r>
                  <w:r>
                    <w:rPr>
                      <w:rFonts w:ascii="Calibri"/>
                      <w:sz w:val="18"/>
                    </w:rPr>
                    <w:t>a</w:t>
                  </w:r>
                  <w:r>
                    <w:rPr>
                      <w:rFonts w:ascii="Calibri"/>
                      <w:spacing w:val="-1"/>
                      <w:sz w:val="18"/>
                    </w:rPr>
                    <w:t>n</w:t>
                  </w:r>
                  <w:r>
                    <w:rPr>
                      <w:rFonts w:ascii="Calibri"/>
                      <w:spacing w:val="1"/>
                      <w:sz w:val="18"/>
                    </w:rPr>
                    <w:t>i</w:t>
                  </w:r>
                  <w:r>
                    <w:rPr>
                      <w:rFonts w:ascii="Calibri"/>
                      <w:sz w:val="18"/>
                    </w:rPr>
                    <w:t>a</w:t>
                  </w:r>
                  <w:r>
                    <w:rPr>
                      <w:rFonts w:ascii="Calibri"/>
                      <w:spacing w:val="-3"/>
                      <w:sz w:val="18"/>
                    </w:rPr>
                    <w:t xml:space="preserve"> </w:t>
                  </w:r>
                  <w:r>
                    <w:rPr>
                      <w:rFonts w:ascii="Calibri"/>
                      <w:sz w:val="18"/>
                    </w:rPr>
                    <w:t>(1)</w:t>
                  </w:r>
                </w:p>
                <w:p w:rsidR="008C4866" w:rsidRDefault="008C4866">
                  <w:pPr>
                    <w:spacing w:line="219" w:lineRule="exact"/>
                    <w:ind w:right="18"/>
                    <w:jc w:val="right"/>
                    <w:rPr>
                      <w:rFonts w:ascii="Calibri"/>
                      <w:sz w:val="18"/>
                    </w:rPr>
                  </w:pPr>
                  <w:r>
                    <w:rPr>
                      <w:rFonts w:ascii="Calibri"/>
                      <w:spacing w:val="1"/>
                      <w:sz w:val="18"/>
                    </w:rPr>
                    <w:t>L</w:t>
                  </w:r>
                  <w:r>
                    <w:rPr>
                      <w:rFonts w:ascii="Calibri"/>
                      <w:spacing w:val="-1"/>
                      <w:sz w:val="18"/>
                    </w:rPr>
                    <w:t>u</w:t>
                  </w:r>
                  <w:r>
                    <w:rPr>
                      <w:rFonts w:ascii="Calibri"/>
                      <w:spacing w:val="-2"/>
                      <w:sz w:val="18"/>
                    </w:rPr>
                    <w:t>x</w:t>
                  </w:r>
                  <w:r>
                    <w:rPr>
                      <w:rFonts w:ascii="Calibri"/>
                      <w:spacing w:val="1"/>
                      <w:sz w:val="18"/>
                    </w:rPr>
                    <w:t>e</w:t>
                  </w:r>
                  <w:r>
                    <w:rPr>
                      <w:rFonts w:ascii="Calibri"/>
                      <w:sz w:val="18"/>
                    </w:rPr>
                    <w:t>m</w:t>
                  </w:r>
                  <w:r>
                    <w:rPr>
                      <w:rFonts w:ascii="Calibri"/>
                      <w:spacing w:val="-1"/>
                      <w:sz w:val="18"/>
                    </w:rPr>
                    <w:t>b</w:t>
                  </w:r>
                  <w:r>
                    <w:rPr>
                      <w:rFonts w:ascii="Calibri"/>
                      <w:spacing w:val="1"/>
                      <w:sz w:val="18"/>
                    </w:rPr>
                    <w:t>u</w:t>
                  </w:r>
                  <w:r>
                    <w:rPr>
                      <w:rFonts w:ascii="Calibri"/>
                      <w:sz w:val="18"/>
                    </w:rPr>
                    <w:t>rg</w:t>
                  </w:r>
                  <w:r>
                    <w:rPr>
                      <w:rFonts w:ascii="Calibri"/>
                      <w:spacing w:val="-2"/>
                      <w:sz w:val="18"/>
                    </w:rPr>
                    <w:t xml:space="preserve"> </w:t>
                  </w:r>
                  <w:r>
                    <w:rPr>
                      <w:rFonts w:ascii="Calibri"/>
                      <w:sz w:val="18"/>
                    </w:rPr>
                    <w:t>(17)</w:t>
                  </w:r>
                </w:p>
                <w:p w:rsidR="008C4866" w:rsidRDefault="008C4866">
                  <w:pPr>
                    <w:spacing w:before="63"/>
                    <w:ind w:left="3867" w:right="2951"/>
                    <w:jc w:val="center"/>
                    <w:rPr>
                      <w:rFonts w:ascii="Calibri"/>
                      <w:sz w:val="18"/>
                    </w:rPr>
                  </w:pPr>
                  <w:r>
                    <w:rPr>
                      <w:rFonts w:ascii="Calibri"/>
                      <w:spacing w:val="-1"/>
                      <w:sz w:val="18"/>
                    </w:rPr>
                    <w:t>De</w:t>
                  </w:r>
                  <w:r>
                    <w:rPr>
                      <w:rFonts w:ascii="Calibri"/>
                      <w:spacing w:val="1"/>
                      <w:sz w:val="18"/>
                    </w:rPr>
                    <w:t>n</w:t>
                  </w:r>
                  <w:r>
                    <w:rPr>
                      <w:rFonts w:ascii="Calibri"/>
                      <w:sz w:val="18"/>
                    </w:rPr>
                    <w:t>mark</w:t>
                  </w:r>
                  <w:r>
                    <w:rPr>
                      <w:rFonts w:ascii="Calibri"/>
                      <w:spacing w:val="-1"/>
                      <w:sz w:val="18"/>
                    </w:rPr>
                    <w:t xml:space="preserve"> (10)</w:t>
                  </w:r>
                </w:p>
                <w:p w:rsidR="008C4866" w:rsidRDefault="008C4866">
                  <w:pPr>
                    <w:spacing w:before="63"/>
                    <w:ind w:right="18"/>
                    <w:jc w:val="right"/>
                    <w:rPr>
                      <w:rFonts w:ascii="Calibri"/>
                      <w:sz w:val="18"/>
                    </w:rPr>
                  </w:pPr>
                  <w:r>
                    <w:rPr>
                      <w:rFonts w:ascii="Calibri"/>
                      <w:spacing w:val="-1"/>
                      <w:sz w:val="18"/>
                    </w:rPr>
                    <w:t>M</w:t>
                  </w:r>
                  <w:r>
                    <w:rPr>
                      <w:rFonts w:ascii="Calibri"/>
                      <w:sz w:val="18"/>
                    </w:rPr>
                    <w:t>o</w:t>
                  </w:r>
                  <w:r>
                    <w:rPr>
                      <w:rFonts w:ascii="Calibri"/>
                      <w:spacing w:val="-2"/>
                      <w:sz w:val="18"/>
                    </w:rPr>
                    <w:t>n</w:t>
                  </w:r>
                  <w:r>
                    <w:rPr>
                      <w:rFonts w:ascii="Calibri"/>
                      <w:sz w:val="18"/>
                    </w:rPr>
                    <w:t>te</w:t>
                  </w:r>
                  <w:r>
                    <w:rPr>
                      <w:rFonts w:ascii="Calibri"/>
                      <w:spacing w:val="-2"/>
                      <w:sz w:val="18"/>
                    </w:rPr>
                    <w:t>n</w:t>
                  </w:r>
                  <w:r>
                    <w:rPr>
                      <w:rFonts w:ascii="Calibri"/>
                      <w:spacing w:val="-1"/>
                      <w:sz w:val="18"/>
                    </w:rPr>
                    <w:t>e</w:t>
                  </w:r>
                  <w:r>
                    <w:rPr>
                      <w:rFonts w:ascii="Calibri"/>
                      <w:spacing w:val="1"/>
                      <w:sz w:val="18"/>
                    </w:rPr>
                    <w:t>g</w:t>
                  </w:r>
                  <w:r>
                    <w:rPr>
                      <w:rFonts w:ascii="Calibri"/>
                      <w:spacing w:val="-1"/>
                      <w:sz w:val="18"/>
                    </w:rPr>
                    <w:t>r</w:t>
                  </w:r>
                  <w:r>
                    <w:rPr>
                      <w:rFonts w:ascii="Calibri"/>
                      <w:sz w:val="18"/>
                    </w:rPr>
                    <w:t>o</w:t>
                  </w:r>
                  <w:r>
                    <w:rPr>
                      <w:rFonts w:ascii="Calibri"/>
                      <w:spacing w:val="-2"/>
                      <w:sz w:val="18"/>
                    </w:rPr>
                    <w:t xml:space="preserve"> </w:t>
                  </w:r>
                  <w:r>
                    <w:rPr>
                      <w:rFonts w:ascii="Calibri"/>
                      <w:spacing w:val="-1"/>
                      <w:sz w:val="18"/>
                    </w:rPr>
                    <w:t>(15)</w:t>
                  </w:r>
                </w:p>
                <w:p w:rsidR="008C4866" w:rsidRDefault="008C4866">
                  <w:pPr>
                    <w:spacing w:before="63"/>
                    <w:ind w:left="3870" w:right="2784"/>
                    <w:jc w:val="center"/>
                    <w:rPr>
                      <w:rFonts w:ascii="Calibri"/>
                      <w:sz w:val="18"/>
                    </w:rPr>
                  </w:pPr>
                  <w:r>
                    <w:rPr>
                      <w:rFonts w:ascii="Calibri"/>
                      <w:spacing w:val="-1"/>
                      <w:sz w:val="18"/>
                    </w:rPr>
                    <w:t>Cyp</w:t>
                  </w:r>
                  <w:r>
                    <w:rPr>
                      <w:rFonts w:ascii="Calibri"/>
                      <w:spacing w:val="1"/>
                      <w:sz w:val="18"/>
                    </w:rPr>
                    <w:t>r</w:t>
                  </w:r>
                  <w:r>
                    <w:rPr>
                      <w:rFonts w:ascii="Calibri"/>
                      <w:spacing w:val="-1"/>
                      <w:sz w:val="18"/>
                    </w:rPr>
                    <w:t>u</w:t>
                  </w:r>
                  <w:r>
                    <w:rPr>
                      <w:rFonts w:ascii="Calibri"/>
                      <w:sz w:val="18"/>
                    </w:rPr>
                    <w:t>s</w:t>
                  </w:r>
                  <w:r>
                    <w:rPr>
                      <w:rFonts w:ascii="Calibri"/>
                      <w:spacing w:val="-1"/>
                      <w:sz w:val="18"/>
                    </w:rPr>
                    <w:t xml:space="preserve"> </w:t>
                  </w:r>
                  <w:r>
                    <w:rPr>
                      <w:rFonts w:ascii="Calibri"/>
                      <w:sz w:val="18"/>
                    </w:rPr>
                    <w:t>(11)</w:t>
                  </w:r>
                </w:p>
                <w:p w:rsidR="008C4866" w:rsidRDefault="008C4866">
                  <w:pPr>
                    <w:spacing w:before="63"/>
                    <w:ind w:right="18"/>
                    <w:jc w:val="right"/>
                    <w:rPr>
                      <w:rFonts w:ascii="Calibri"/>
                      <w:sz w:val="18"/>
                    </w:rPr>
                  </w:pPr>
                  <w:r>
                    <w:rPr>
                      <w:rFonts w:ascii="Calibri"/>
                      <w:spacing w:val="-1"/>
                      <w:sz w:val="18"/>
                    </w:rPr>
                    <w:t>N</w:t>
                  </w:r>
                  <w:r>
                    <w:rPr>
                      <w:rFonts w:ascii="Calibri"/>
                      <w:sz w:val="18"/>
                    </w:rPr>
                    <w:t>or</w:t>
                  </w:r>
                  <w:r>
                    <w:rPr>
                      <w:rFonts w:ascii="Calibri"/>
                      <w:spacing w:val="-1"/>
                      <w:sz w:val="18"/>
                    </w:rPr>
                    <w:t>t</w:t>
                  </w:r>
                  <w:r>
                    <w:rPr>
                      <w:rFonts w:ascii="Calibri"/>
                      <w:spacing w:val="1"/>
                      <w:sz w:val="18"/>
                    </w:rPr>
                    <w:t>h</w:t>
                  </w:r>
                  <w:r>
                    <w:rPr>
                      <w:rFonts w:ascii="Calibri"/>
                      <w:spacing w:val="-1"/>
                      <w:sz w:val="18"/>
                    </w:rPr>
                    <w:t>e</w:t>
                  </w:r>
                  <w:r>
                    <w:rPr>
                      <w:rFonts w:ascii="Calibri"/>
                      <w:sz w:val="18"/>
                    </w:rPr>
                    <w:t xml:space="preserve">rn </w:t>
                  </w:r>
                  <w:r>
                    <w:rPr>
                      <w:rFonts w:ascii="Calibri"/>
                      <w:spacing w:val="-2"/>
                      <w:sz w:val="18"/>
                    </w:rPr>
                    <w:t>I</w:t>
                  </w:r>
                  <w:r>
                    <w:rPr>
                      <w:rFonts w:ascii="Calibri"/>
                      <w:spacing w:val="1"/>
                      <w:sz w:val="18"/>
                    </w:rPr>
                    <w:t>r</w:t>
                  </w:r>
                  <w:r>
                    <w:rPr>
                      <w:rFonts w:ascii="Calibri"/>
                      <w:spacing w:val="-1"/>
                      <w:sz w:val="18"/>
                    </w:rPr>
                    <w:t>el</w:t>
                  </w:r>
                  <w:r>
                    <w:rPr>
                      <w:rFonts w:ascii="Calibri"/>
                      <w:sz w:val="18"/>
                    </w:rPr>
                    <w:t>a</w:t>
                  </w:r>
                  <w:r>
                    <w:rPr>
                      <w:rFonts w:ascii="Calibri"/>
                      <w:spacing w:val="1"/>
                      <w:sz w:val="18"/>
                    </w:rPr>
                    <w:t>n</w:t>
                  </w:r>
                  <w:r>
                    <w:rPr>
                      <w:rFonts w:ascii="Calibri"/>
                      <w:sz w:val="18"/>
                    </w:rPr>
                    <w:t>d</w:t>
                  </w:r>
                  <w:r>
                    <w:rPr>
                      <w:rFonts w:ascii="Calibri"/>
                      <w:spacing w:val="-1"/>
                      <w:sz w:val="18"/>
                    </w:rPr>
                    <w:t xml:space="preserve"> </w:t>
                  </w:r>
                  <w:r>
                    <w:rPr>
                      <w:rFonts w:ascii="Calibri"/>
                      <w:sz w:val="18"/>
                    </w:rPr>
                    <w:t>(18)</w:t>
                  </w:r>
                </w:p>
                <w:p w:rsidR="008C4866" w:rsidRDefault="008C4866">
                  <w:pPr>
                    <w:spacing w:before="63"/>
                    <w:ind w:left="3870" w:right="2594"/>
                    <w:jc w:val="center"/>
                    <w:rPr>
                      <w:rFonts w:ascii="Calibri"/>
                      <w:sz w:val="18"/>
                    </w:rPr>
                  </w:pPr>
                  <w:r>
                    <w:rPr>
                      <w:rFonts w:ascii="Calibri"/>
                      <w:spacing w:val="-2"/>
                      <w:sz w:val="18"/>
                    </w:rPr>
                    <w:t>S</w:t>
                  </w:r>
                  <w:r>
                    <w:rPr>
                      <w:rFonts w:ascii="Calibri"/>
                      <w:spacing w:val="1"/>
                      <w:sz w:val="18"/>
                    </w:rPr>
                    <w:t>p</w:t>
                  </w:r>
                  <w:r>
                    <w:rPr>
                      <w:rFonts w:ascii="Calibri"/>
                      <w:sz w:val="18"/>
                    </w:rPr>
                    <w:t>ain</w:t>
                  </w:r>
                  <w:r>
                    <w:rPr>
                      <w:rFonts w:ascii="Calibri"/>
                      <w:spacing w:val="-2"/>
                      <w:sz w:val="18"/>
                    </w:rPr>
                    <w:t xml:space="preserve"> </w:t>
                  </w:r>
                  <w:r>
                    <w:rPr>
                      <w:rFonts w:ascii="Calibri"/>
                      <w:sz w:val="18"/>
                    </w:rPr>
                    <w:t>(3)</w:t>
                  </w:r>
                </w:p>
                <w:p w:rsidR="008C4866" w:rsidRDefault="008C4866">
                  <w:pPr>
                    <w:spacing w:before="63"/>
                    <w:ind w:left="3870" w:right="2788"/>
                    <w:jc w:val="center"/>
                    <w:rPr>
                      <w:rFonts w:ascii="Calibri"/>
                      <w:sz w:val="18"/>
                    </w:rPr>
                  </w:pPr>
                  <w:r>
                    <w:rPr>
                      <w:rFonts w:ascii="Calibri"/>
                      <w:sz w:val="18"/>
                    </w:rPr>
                    <w:t>Bu</w:t>
                  </w:r>
                  <w:r>
                    <w:rPr>
                      <w:rFonts w:ascii="Calibri"/>
                      <w:spacing w:val="-2"/>
                      <w:sz w:val="18"/>
                    </w:rPr>
                    <w:t>l</w:t>
                  </w:r>
                  <w:r>
                    <w:rPr>
                      <w:rFonts w:ascii="Calibri"/>
                      <w:spacing w:val="1"/>
                      <w:sz w:val="18"/>
                    </w:rPr>
                    <w:t>g</w:t>
                  </w:r>
                  <w:r>
                    <w:rPr>
                      <w:rFonts w:ascii="Calibri"/>
                      <w:sz w:val="18"/>
                    </w:rPr>
                    <w:t>ar</w:t>
                  </w:r>
                  <w:r>
                    <w:rPr>
                      <w:rFonts w:ascii="Calibri"/>
                      <w:spacing w:val="-1"/>
                      <w:sz w:val="18"/>
                    </w:rPr>
                    <w:t>i</w:t>
                  </w:r>
                  <w:r>
                    <w:rPr>
                      <w:rFonts w:ascii="Calibri"/>
                      <w:sz w:val="18"/>
                    </w:rPr>
                    <w:t>a (5)</w:t>
                  </w:r>
                </w:p>
                <w:p w:rsidR="008C4866" w:rsidRDefault="008C4866">
                  <w:pPr>
                    <w:spacing w:before="63"/>
                    <w:ind w:left="3870" w:right="2814"/>
                    <w:jc w:val="center"/>
                    <w:rPr>
                      <w:rFonts w:ascii="Calibri"/>
                      <w:sz w:val="18"/>
                    </w:rPr>
                  </w:pPr>
                  <w:r>
                    <w:rPr>
                      <w:rFonts w:ascii="Calibri"/>
                      <w:sz w:val="18"/>
                    </w:rPr>
                    <w:t>Ko</w:t>
                  </w:r>
                  <w:r>
                    <w:rPr>
                      <w:rFonts w:ascii="Calibri"/>
                      <w:spacing w:val="-1"/>
                      <w:sz w:val="18"/>
                    </w:rPr>
                    <w:t>s</w:t>
                  </w:r>
                  <w:r>
                    <w:rPr>
                      <w:rFonts w:ascii="Calibri"/>
                      <w:spacing w:val="-2"/>
                      <w:sz w:val="18"/>
                    </w:rPr>
                    <w:t>o</w:t>
                  </w:r>
                  <w:r>
                    <w:rPr>
                      <w:rFonts w:ascii="Calibri"/>
                      <w:sz w:val="18"/>
                    </w:rPr>
                    <w:t>vo</w:t>
                  </w:r>
                  <w:r>
                    <w:rPr>
                      <w:rFonts w:ascii="Calibri"/>
                      <w:spacing w:val="1"/>
                      <w:sz w:val="18"/>
                    </w:rPr>
                    <w:t xml:space="preserve"> </w:t>
                  </w:r>
                  <w:r>
                    <w:rPr>
                      <w:rFonts w:ascii="Calibri"/>
                      <w:sz w:val="18"/>
                    </w:rPr>
                    <w:t>(13)</w:t>
                  </w:r>
                </w:p>
                <w:p w:rsidR="008C4866" w:rsidRDefault="008C4866">
                  <w:pPr>
                    <w:spacing w:before="63"/>
                    <w:ind w:left="3870" w:right="2775"/>
                    <w:jc w:val="center"/>
                    <w:rPr>
                      <w:rFonts w:ascii="Calibri"/>
                      <w:sz w:val="18"/>
                    </w:rPr>
                  </w:pPr>
                  <w:r>
                    <w:rPr>
                      <w:rFonts w:ascii="Calibri"/>
                      <w:spacing w:val="-2"/>
                      <w:sz w:val="18"/>
                    </w:rPr>
                    <w:t>S</w:t>
                  </w:r>
                  <w:r>
                    <w:rPr>
                      <w:rFonts w:ascii="Calibri"/>
                      <w:sz w:val="18"/>
                    </w:rPr>
                    <w:t>w</w:t>
                  </w:r>
                  <w:r>
                    <w:rPr>
                      <w:rFonts w:ascii="Calibri"/>
                      <w:spacing w:val="-1"/>
                      <w:sz w:val="18"/>
                    </w:rPr>
                    <w:t>e</w:t>
                  </w:r>
                  <w:r>
                    <w:rPr>
                      <w:rFonts w:ascii="Calibri"/>
                      <w:spacing w:val="1"/>
                      <w:sz w:val="18"/>
                    </w:rPr>
                    <w:t>d</w:t>
                  </w:r>
                  <w:r>
                    <w:rPr>
                      <w:rFonts w:ascii="Calibri"/>
                      <w:spacing w:val="-1"/>
                      <w:sz w:val="18"/>
                    </w:rPr>
                    <w:t>e</w:t>
                  </w:r>
                  <w:r>
                    <w:rPr>
                      <w:rFonts w:ascii="Calibri"/>
                      <w:sz w:val="18"/>
                    </w:rPr>
                    <w:t>n</w:t>
                  </w:r>
                  <w:r>
                    <w:rPr>
                      <w:rFonts w:ascii="Calibri"/>
                      <w:spacing w:val="1"/>
                      <w:sz w:val="18"/>
                    </w:rPr>
                    <w:t xml:space="preserve"> </w:t>
                  </w:r>
                  <w:r>
                    <w:rPr>
                      <w:rFonts w:ascii="Calibri"/>
                      <w:spacing w:val="-2"/>
                      <w:sz w:val="18"/>
                    </w:rPr>
                    <w:t>(</w:t>
                  </w:r>
                  <w:r>
                    <w:rPr>
                      <w:rFonts w:ascii="Calibri"/>
                      <w:sz w:val="18"/>
                    </w:rPr>
                    <w:t>5)</w:t>
                  </w:r>
                </w:p>
                <w:p w:rsidR="008C4866" w:rsidRDefault="008C4866">
                  <w:pPr>
                    <w:spacing w:before="63" w:line="309" w:lineRule="auto"/>
                    <w:ind w:left="264" w:right="18" w:firstLine="897"/>
                    <w:jc w:val="right"/>
                    <w:rPr>
                      <w:rFonts w:ascii="Calibri"/>
                      <w:sz w:val="18"/>
                    </w:rPr>
                  </w:pPr>
                  <w:r>
                    <w:rPr>
                      <w:rFonts w:ascii="Calibri"/>
                      <w:spacing w:val="-2"/>
                      <w:sz w:val="18"/>
                    </w:rPr>
                    <w:t>F</w:t>
                  </w:r>
                  <w:r>
                    <w:rPr>
                      <w:rFonts w:ascii="Calibri"/>
                      <w:spacing w:val="1"/>
                      <w:sz w:val="18"/>
                    </w:rPr>
                    <w:t>i</w:t>
                  </w:r>
                  <w:r>
                    <w:rPr>
                      <w:rFonts w:ascii="Calibri"/>
                      <w:spacing w:val="-1"/>
                      <w:sz w:val="18"/>
                    </w:rPr>
                    <w:t>nl</w:t>
                  </w:r>
                  <w:r>
                    <w:rPr>
                      <w:rFonts w:ascii="Calibri"/>
                      <w:sz w:val="18"/>
                    </w:rPr>
                    <w:t>a</w:t>
                  </w:r>
                  <w:r>
                    <w:rPr>
                      <w:rFonts w:ascii="Calibri"/>
                      <w:spacing w:val="1"/>
                      <w:sz w:val="18"/>
                    </w:rPr>
                    <w:t>n</w:t>
                  </w:r>
                  <w:r>
                    <w:rPr>
                      <w:rFonts w:ascii="Calibri"/>
                      <w:sz w:val="18"/>
                    </w:rPr>
                    <w:t>d</w:t>
                  </w:r>
                  <w:r>
                    <w:rPr>
                      <w:rFonts w:ascii="Calibri"/>
                      <w:spacing w:val="-1"/>
                      <w:sz w:val="18"/>
                    </w:rPr>
                    <w:t xml:space="preserve"> </w:t>
                  </w:r>
                  <w:r>
                    <w:rPr>
                      <w:rFonts w:ascii="Calibri"/>
                      <w:sz w:val="18"/>
                    </w:rPr>
                    <w:t>(9) Ko</w:t>
                  </w:r>
                  <w:r>
                    <w:rPr>
                      <w:rFonts w:ascii="Calibri"/>
                      <w:spacing w:val="-1"/>
                      <w:sz w:val="18"/>
                    </w:rPr>
                    <w:t>s</w:t>
                  </w:r>
                  <w:r>
                    <w:rPr>
                      <w:rFonts w:ascii="Calibri"/>
                      <w:spacing w:val="-2"/>
                      <w:sz w:val="18"/>
                    </w:rPr>
                    <w:t>o</w:t>
                  </w:r>
                  <w:r>
                    <w:rPr>
                      <w:rFonts w:ascii="Calibri"/>
                      <w:sz w:val="18"/>
                    </w:rPr>
                    <w:t>vo</w:t>
                  </w:r>
                  <w:r>
                    <w:rPr>
                      <w:rFonts w:ascii="Calibri"/>
                      <w:spacing w:val="1"/>
                      <w:sz w:val="18"/>
                    </w:rPr>
                    <w:t xml:space="preserve"> </w:t>
                  </w:r>
                  <w:r>
                    <w:rPr>
                      <w:rFonts w:ascii="Calibri"/>
                      <w:sz w:val="18"/>
                    </w:rPr>
                    <w:t>(</w:t>
                  </w:r>
                  <w:r>
                    <w:rPr>
                      <w:rFonts w:ascii="Calibri"/>
                      <w:spacing w:val="-2"/>
                      <w:sz w:val="18"/>
                    </w:rPr>
                    <w:t>V</w:t>
                  </w:r>
                  <w:r>
                    <w:rPr>
                      <w:rFonts w:ascii="Calibri"/>
                      <w:spacing w:val="-1"/>
                      <w:sz w:val="18"/>
                    </w:rPr>
                    <w:t>u</w:t>
                  </w:r>
                  <w:r>
                    <w:rPr>
                      <w:rFonts w:ascii="Calibri"/>
                      <w:spacing w:val="1"/>
                      <w:sz w:val="18"/>
                    </w:rPr>
                    <w:t>s</w:t>
                  </w:r>
                  <w:r>
                    <w:rPr>
                      <w:rFonts w:ascii="Calibri"/>
                      <w:spacing w:val="-1"/>
                      <w:sz w:val="18"/>
                    </w:rPr>
                    <w:t>h</w:t>
                  </w:r>
                  <w:r>
                    <w:rPr>
                      <w:rFonts w:ascii="Calibri"/>
                      <w:sz w:val="18"/>
                    </w:rPr>
                    <w:t>t</w:t>
                  </w:r>
                  <w:r>
                    <w:rPr>
                      <w:rFonts w:ascii="Calibri"/>
                      <w:spacing w:val="1"/>
                      <w:sz w:val="18"/>
                    </w:rPr>
                    <w:t>u</w:t>
                  </w:r>
                  <w:r>
                    <w:rPr>
                      <w:rFonts w:ascii="Calibri"/>
                      <w:sz w:val="18"/>
                    </w:rPr>
                    <w:t>r</w:t>
                  </w:r>
                  <w:r>
                    <w:rPr>
                      <w:rFonts w:ascii="Calibri"/>
                      <w:spacing w:val="-1"/>
                      <w:sz w:val="18"/>
                    </w:rPr>
                    <w:t>i</w:t>
                  </w:r>
                  <w:r>
                    <w:rPr>
                      <w:rFonts w:ascii="Calibri"/>
                      <w:sz w:val="18"/>
                    </w:rPr>
                    <w:t>)* Ko</w:t>
                  </w:r>
                  <w:r>
                    <w:rPr>
                      <w:rFonts w:ascii="Calibri"/>
                      <w:spacing w:val="-1"/>
                      <w:sz w:val="18"/>
                    </w:rPr>
                    <w:t>s</w:t>
                  </w:r>
                  <w:r>
                    <w:rPr>
                      <w:rFonts w:ascii="Calibri"/>
                      <w:spacing w:val="-2"/>
                      <w:sz w:val="18"/>
                    </w:rPr>
                    <w:t>o</w:t>
                  </w:r>
                  <w:r>
                    <w:rPr>
                      <w:rFonts w:ascii="Calibri"/>
                      <w:sz w:val="18"/>
                    </w:rPr>
                    <w:t>vo</w:t>
                  </w:r>
                  <w:r>
                    <w:rPr>
                      <w:rFonts w:ascii="Calibri"/>
                      <w:spacing w:val="1"/>
                      <w:sz w:val="18"/>
                    </w:rPr>
                    <w:t xml:space="preserve"> </w:t>
                  </w:r>
                  <w:r>
                    <w:rPr>
                      <w:rFonts w:ascii="Calibri"/>
                      <w:sz w:val="18"/>
                    </w:rPr>
                    <w:t>(</w:t>
                  </w:r>
                  <w:r>
                    <w:rPr>
                      <w:rFonts w:ascii="Calibri"/>
                      <w:spacing w:val="-2"/>
                      <w:sz w:val="18"/>
                    </w:rPr>
                    <w:t>S</w:t>
                  </w:r>
                  <w:r>
                    <w:rPr>
                      <w:rFonts w:ascii="Calibri"/>
                      <w:sz w:val="18"/>
                    </w:rPr>
                    <w:t>ta</w:t>
                  </w:r>
                  <w:r>
                    <w:rPr>
                      <w:rFonts w:ascii="Calibri"/>
                      <w:spacing w:val="-2"/>
                      <w:sz w:val="18"/>
                    </w:rPr>
                    <w:t>n</w:t>
                  </w:r>
                  <w:r>
                    <w:rPr>
                      <w:rFonts w:ascii="Calibri"/>
                      <w:spacing w:val="1"/>
                      <w:sz w:val="18"/>
                    </w:rPr>
                    <w:t>d</w:t>
                  </w:r>
                  <w:r>
                    <w:rPr>
                      <w:rFonts w:ascii="Calibri"/>
                      <w:sz w:val="18"/>
                    </w:rPr>
                    <w:t>ar</w:t>
                  </w:r>
                  <w:r>
                    <w:rPr>
                      <w:rFonts w:ascii="Calibri"/>
                      <w:spacing w:val="-2"/>
                      <w:sz w:val="18"/>
                    </w:rPr>
                    <w:t>d</w:t>
                  </w:r>
                  <w:r>
                    <w:rPr>
                      <w:rFonts w:ascii="Calibri"/>
                      <w:sz w:val="18"/>
                    </w:rPr>
                    <w:t>) (12)</w:t>
                  </w:r>
                </w:p>
                <w:p w:rsidR="008C4866" w:rsidRDefault="008C4866">
                  <w:pPr>
                    <w:spacing w:line="219" w:lineRule="exact"/>
                    <w:ind w:right="18"/>
                    <w:jc w:val="right"/>
                    <w:rPr>
                      <w:rFonts w:ascii="Calibri"/>
                      <w:sz w:val="18"/>
                    </w:rPr>
                  </w:pPr>
                  <w:r>
                    <w:rPr>
                      <w:rFonts w:ascii="Calibri"/>
                      <w:sz w:val="18"/>
                    </w:rPr>
                    <w:t xml:space="preserve">Italy </w:t>
                  </w:r>
                  <w:r>
                    <w:rPr>
                      <w:rFonts w:ascii="Calibri"/>
                      <w:spacing w:val="-1"/>
                      <w:sz w:val="18"/>
                    </w:rPr>
                    <w:t>(2)</w:t>
                  </w:r>
                </w:p>
                <w:p w:rsidR="008C4866" w:rsidRDefault="008C4866">
                  <w:pPr>
                    <w:spacing w:before="63"/>
                    <w:ind w:left="1086"/>
                    <w:rPr>
                      <w:rFonts w:ascii="Calibri"/>
                      <w:sz w:val="18"/>
                    </w:rPr>
                  </w:pPr>
                  <w:r>
                    <w:rPr>
                      <w:rFonts w:ascii="Calibri"/>
                      <w:spacing w:val="-2"/>
                      <w:sz w:val="18"/>
                    </w:rPr>
                    <w:t>S</w:t>
                  </w:r>
                  <w:r>
                    <w:rPr>
                      <w:rFonts w:ascii="Calibri"/>
                      <w:spacing w:val="1"/>
                      <w:sz w:val="18"/>
                    </w:rPr>
                    <w:t>l</w:t>
                  </w:r>
                  <w:r>
                    <w:rPr>
                      <w:rFonts w:ascii="Calibri"/>
                      <w:spacing w:val="-2"/>
                      <w:sz w:val="18"/>
                    </w:rPr>
                    <w:t>o</w:t>
                  </w:r>
                  <w:r>
                    <w:rPr>
                      <w:rFonts w:ascii="Calibri"/>
                      <w:sz w:val="18"/>
                    </w:rPr>
                    <w:t>v</w:t>
                  </w:r>
                  <w:r>
                    <w:rPr>
                      <w:rFonts w:ascii="Calibri"/>
                      <w:spacing w:val="-1"/>
                      <w:sz w:val="18"/>
                    </w:rPr>
                    <w:t>e</w:t>
                  </w:r>
                  <w:r>
                    <w:rPr>
                      <w:rFonts w:ascii="Calibri"/>
                      <w:spacing w:val="1"/>
                      <w:sz w:val="18"/>
                    </w:rPr>
                    <w:t>n</w:t>
                  </w:r>
                  <w:r>
                    <w:rPr>
                      <w:rFonts w:ascii="Calibri"/>
                      <w:spacing w:val="-1"/>
                      <w:sz w:val="18"/>
                    </w:rPr>
                    <w:t>i</w:t>
                  </w:r>
                  <w:r>
                    <w:rPr>
                      <w:rFonts w:ascii="Calibri"/>
                      <w:sz w:val="18"/>
                    </w:rPr>
                    <w:t>a (4)</w:t>
                  </w:r>
                </w:p>
                <w:p w:rsidR="008C4866" w:rsidRDefault="008C4866">
                  <w:pPr>
                    <w:spacing w:before="63"/>
                    <w:ind w:left="3870" w:right="2865"/>
                    <w:jc w:val="center"/>
                    <w:rPr>
                      <w:rFonts w:ascii="Calibri"/>
                      <w:sz w:val="18"/>
                    </w:rPr>
                  </w:pPr>
                  <w:r>
                    <w:rPr>
                      <w:rFonts w:ascii="Calibri"/>
                      <w:spacing w:val="-2"/>
                      <w:sz w:val="18"/>
                    </w:rPr>
                    <w:t>G</w:t>
                  </w:r>
                  <w:r>
                    <w:rPr>
                      <w:rFonts w:ascii="Calibri"/>
                      <w:spacing w:val="1"/>
                      <w:sz w:val="18"/>
                    </w:rPr>
                    <w:t>e</w:t>
                  </w:r>
                  <w:r>
                    <w:rPr>
                      <w:rFonts w:ascii="Calibri"/>
                      <w:spacing w:val="-1"/>
                      <w:sz w:val="18"/>
                    </w:rPr>
                    <w:t>r</w:t>
                  </w:r>
                  <w:r>
                    <w:rPr>
                      <w:rFonts w:ascii="Calibri"/>
                      <w:sz w:val="18"/>
                    </w:rPr>
                    <w:t>ma</w:t>
                  </w:r>
                  <w:r>
                    <w:rPr>
                      <w:rFonts w:ascii="Calibri"/>
                      <w:spacing w:val="-2"/>
                      <w:sz w:val="18"/>
                    </w:rPr>
                    <w:t>n</w:t>
                  </w:r>
                  <w:r>
                    <w:rPr>
                      <w:rFonts w:ascii="Calibri"/>
                      <w:sz w:val="18"/>
                    </w:rPr>
                    <w:t xml:space="preserve">y </w:t>
                  </w:r>
                  <w:r>
                    <w:rPr>
                      <w:rFonts w:ascii="Calibri"/>
                      <w:spacing w:val="-1"/>
                      <w:sz w:val="18"/>
                    </w:rPr>
                    <w:t>(5)</w:t>
                  </w:r>
                </w:p>
                <w:p w:rsidR="008C4866" w:rsidRDefault="008C4866">
                  <w:pPr>
                    <w:spacing w:before="63"/>
                    <w:ind w:left="3870" w:right="2709"/>
                    <w:jc w:val="center"/>
                    <w:rPr>
                      <w:rFonts w:ascii="Calibri"/>
                      <w:sz w:val="18"/>
                    </w:rPr>
                  </w:pPr>
                  <w:r>
                    <w:rPr>
                      <w:rFonts w:ascii="Calibri"/>
                      <w:sz w:val="18"/>
                    </w:rPr>
                    <w:t>Ir</w:t>
                  </w:r>
                  <w:r>
                    <w:rPr>
                      <w:rFonts w:ascii="Calibri"/>
                      <w:spacing w:val="-1"/>
                      <w:sz w:val="18"/>
                    </w:rPr>
                    <w:t>e</w:t>
                  </w:r>
                  <w:r>
                    <w:rPr>
                      <w:rFonts w:ascii="Calibri"/>
                      <w:spacing w:val="1"/>
                      <w:sz w:val="18"/>
                    </w:rPr>
                    <w:t>l</w:t>
                  </w:r>
                  <w:r>
                    <w:rPr>
                      <w:rFonts w:ascii="Calibri"/>
                      <w:sz w:val="18"/>
                    </w:rPr>
                    <w:t>a</w:t>
                  </w:r>
                  <w:r>
                    <w:rPr>
                      <w:rFonts w:ascii="Calibri"/>
                      <w:spacing w:val="-1"/>
                      <w:sz w:val="18"/>
                    </w:rPr>
                    <w:t>n</w:t>
                  </w:r>
                  <w:r>
                    <w:rPr>
                      <w:rFonts w:ascii="Calibri"/>
                      <w:sz w:val="18"/>
                    </w:rPr>
                    <w:t>d</w:t>
                  </w:r>
                  <w:r>
                    <w:rPr>
                      <w:rFonts w:ascii="Calibri"/>
                      <w:spacing w:val="-1"/>
                      <w:sz w:val="18"/>
                    </w:rPr>
                    <w:t xml:space="preserve"> </w:t>
                  </w:r>
                  <w:r>
                    <w:rPr>
                      <w:rFonts w:ascii="Calibri"/>
                      <w:sz w:val="18"/>
                    </w:rPr>
                    <w:t>(5)</w:t>
                  </w:r>
                </w:p>
                <w:p w:rsidR="008C4866" w:rsidRDefault="008C4866">
                  <w:pPr>
                    <w:spacing w:before="63"/>
                    <w:ind w:left="3870" w:right="2786"/>
                    <w:jc w:val="center"/>
                    <w:rPr>
                      <w:rFonts w:ascii="Calibri"/>
                      <w:sz w:val="18"/>
                    </w:rPr>
                  </w:pPr>
                  <w:r>
                    <w:rPr>
                      <w:rFonts w:ascii="Calibri"/>
                      <w:sz w:val="18"/>
                    </w:rPr>
                    <w:t>Be</w:t>
                  </w:r>
                  <w:r>
                    <w:rPr>
                      <w:rFonts w:ascii="Calibri"/>
                      <w:spacing w:val="-1"/>
                      <w:sz w:val="18"/>
                    </w:rPr>
                    <w:t>l</w:t>
                  </w:r>
                  <w:r>
                    <w:rPr>
                      <w:rFonts w:ascii="Calibri"/>
                      <w:spacing w:val="1"/>
                      <w:sz w:val="18"/>
                    </w:rPr>
                    <w:t>g</w:t>
                  </w:r>
                  <w:r>
                    <w:rPr>
                      <w:rFonts w:ascii="Calibri"/>
                      <w:spacing w:val="-1"/>
                      <w:sz w:val="18"/>
                    </w:rPr>
                    <w:t>iu</w:t>
                  </w:r>
                  <w:r>
                    <w:rPr>
                      <w:rFonts w:ascii="Calibri"/>
                      <w:sz w:val="18"/>
                    </w:rPr>
                    <w:t>m (5)</w:t>
                  </w:r>
                </w:p>
                <w:p w:rsidR="008C4866" w:rsidRDefault="008C4866">
                  <w:pPr>
                    <w:spacing w:before="63"/>
                    <w:ind w:right="18"/>
                    <w:jc w:val="right"/>
                    <w:rPr>
                      <w:rFonts w:ascii="Calibri"/>
                      <w:sz w:val="18"/>
                    </w:rPr>
                  </w:pPr>
                  <w:r>
                    <w:rPr>
                      <w:rFonts w:ascii="Calibri"/>
                      <w:spacing w:val="-1"/>
                      <w:sz w:val="18"/>
                    </w:rPr>
                    <w:t>N</w:t>
                  </w:r>
                  <w:r>
                    <w:rPr>
                      <w:rFonts w:ascii="Calibri"/>
                      <w:spacing w:val="1"/>
                      <w:sz w:val="18"/>
                    </w:rPr>
                    <w:t>e</w:t>
                  </w:r>
                  <w:r>
                    <w:rPr>
                      <w:rFonts w:ascii="Calibri"/>
                      <w:sz w:val="18"/>
                    </w:rPr>
                    <w:t>t</w:t>
                  </w:r>
                  <w:r>
                    <w:rPr>
                      <w:rFonts w:ascii="Calibri"/>
                      <w:spacing w:val="-2"/>
                      <w:sz w:val="18"/>
                    </w:rPr>
                    <w:t>h</w:t>
                  </w:r>
                  <w:r>
                    <w:rPr>
                      <w:rFonts w:ascii="Calibri"/>
                      <w:spacing w:val="1"/>
                      <w:sz w:val="18"/>
                    </w:rPr>
                    <w:t>e</w:t>
                  </w:r>
                  <w:r>
                    <w:rPr>
                      <w:rFonts w:ascii="Calibri"/>
                      <w:sz w:val="18"/>
                    </w:rPr>
                    <w:t>r</w:t>
                  </w:r>
                  <w:r>
                    <w:rPr>
                      <w:rFonts w:ascii="Calibri"/>
                      <w:spacing w:val="-1"/>
                      <w:sz w:val="18"/>
                    </w:rPr>
                    <w:t>l</w:t>
                  </w:r>
                  <w:r>
                    <w:rPr>
                      <w:rFonts w:ascii="Calibri"/>
                      <w:sz w:val="18"/>
                    </w:rPr>
                    <w:t>a</w:t>
                  </w:r>
                  <w:r>
                    <w:rPr>
                      <w:rFonts w:ascii="Calibri"/>
                      <w:spacing w:val="-1"/>
                      <w:sz w:val="18"/>
                    </w:rPr>
                    <w:t>n</w:t>
                  </w:r>
                  <w:r>
                    <w:rPr>
                      <w:rFonts w:ascii="Calibri"/>
                      <w:spacing w:val="1"/>
                      <w:sz w:val="18"/>
                    </w:rPr>
                    <w:t>d</w:t>
                  </w:r>
                  <w:r>
                    <w:rPr>
                      <w:rFonts w:ascii="Calibri"/>
                      <w:sz w:val="18"/>
                    </w:rPr>
                    <w:t>s</w:t>
                  </w:r>
                  <w:r>
                    <w:rPr>
                      <w:rFonts w:ascii="Calibri"/>
                      <w:spacing w:val="-1"/>
                      <w:sz w:val="18"/>
                    </w:rPr>
                    <w:t xml:space="preserve"> </w:t>
                  </w:r>
                  <w:r>
                    <w:rPr>
                      <w:rFonts w:ascii="Calibri"/>
                      <w:sz w:val="18"/>
                    </w:rPr>
                    <w:t>(5)</w:t>
                  </w:r>
                </w:p>
                <w:p w:rsidR="008C4866" w:rsidRDefault="008C4866">
                  <w:pPr>
                    <w:spacing w:before="63"/>
                    <w:ind w:right="18"/>
                    <w:jc w:val="right"/>
                    <w:rPr>
                      <w:rFonts w:ascii="Calibri"/>
                      <w:sz w:val="18"/>
                    </w:rPr>
                  </w:pPr>
                  <w:r>
                    <w:rPr>
                      <w:rFonts w:ascii="Calibri"/>
                      <w:sz w:val="18"/>
                    </w:rPr>
                    <w:t xml:space="preserve">UK </w:t>
                  </w:r>
                  <w:r>
                    <w:rPr>
                      <w:rFonts w:ascii="Calibri"/>
                      <w:spacing w:val="-1"/>
                      <w:sz w:val="18"/>
                    </w:rPr>
                    <w:t>(4)</w:t>
                  </w:r>
                </w:p>
                <w:p w:rsidR="008C4866" w:rsidRDefault="008C4866">
                  <w:pPr>
                    <w:spacing w:before="63"/>
                    <w:ind w:right="18"/>
                    <w:jc w:val="right"/>
                    <w:rPr>
                      <w:rFonts w:ascii="Calibri"/>
                      <w:sz w:val="18"/>
                    </w:rPr>
                  </w:pPr>
                  <w:r>
                    <w:rPr>
                      <w:rFonts w:ascii="Calibri"/>
                      <w:spacing w:val="-2"/>
                      <w:sz w:val="18"/>
                    </w:rPr>
                    <w:t>F</w:t>
                  </w:r>
                  <w:r>
                    <w:rPr>
                      <w:rFonts w:ascii="Calibri"/>
                      <w:spacing w:val="1"/>
                      <w:sz w:val="18"/>
                    </w:rPr>
                    <w:t>r</w:t>
                  </w:r>
                  <w:r>
                    <w:rPr>
                      <w:rFonts w:ascii="Calibri"/>
                      <w:sz w:val="18"/>
                    </w:rPr>
                    <w:t>a</w:t>
                  </w:r>
                  <w:r>
                    <w:rPr>
                      <w:rFonts w:ascii="Calibri"/>
                      <w:spacing w:val="-1"/>
                      <w:sz w:val="18"/>
                    </w:rPr>
                    <w:t>n</w:t>
                  </w:r>
                  <w:r>
                    <w:rPr>
                      <w:rFonts w:ascii="Calibri"/>
                      <w:sz w:val="18"/>
                    </w:rPr>
                    <w:t>ce</w:t>
                  </w:r>
                  <w:r>
                    <w:rPr>
                      <w:rFonts w:ascii="Calibri"/>
                      <w:spacing w:val="-1"/>
                      <w:sz w:val="18"/>
                    </w:rPr>
                    <w:t xml:space="preserve"> </w:t>
                  </w:r>
                  <w:r>
                    <w:rPr>
                      <w:rFonts w:ascii="Calibri"/>
                      <w:sz w:val="18"/>
                    </w:rPr>
                    <w:t>(</w:t>
                  </w:r>
                  <w:r>
                    <w:rPr>
                      <w:rFonts w:ascii="Calibri"/>
                      <w:spacing w:val="-2"/>
                      <w:sz w:val="18"/>
                    </w:rPr>
                    <w:t>P</w:t>
                  </w:r>
                  <w:r>
                    <w:rPr>
                      <w:rFonts w:ascii="Calibri"/>
                      <w:sz w:val="18"/>
                    </w:rPr>
                    <w:t>a</w:t>
                  </w:r>
                  <w:r>
                    <w:rPr>
                      <w:rFonts w:ascii="Calibri"/>
                      <w:spacing w:val="2"/>
                      <w:sz w:val="18"/>
                    </w:rPr>
                    <w:t>r</w:t>
                  </w:r>
                  <w:r>
                    <w:rPr>
                      <w:rFonts w:ascii="Calibri"/>
                      <w:spacing w:val="-1"/>
                      <w:sz w:val="18"/>
                    </w:rPr>
                    <w:t>is</w:t>
                  </w:r>
                  <w:r>
                    <w:rPr>
                      <w:rFonts w:ascii="Calibri"/>
                      <w:sz w:val="18"/>
                    </w:rPr>
                    <w:t>) (7)</w:t>
                  </w:r>
                </w:p>
                <w:p w:rsidR="008C4866" w:rsidRDefault="008C4866">
                  <w:pPr>
                    <w:spacing w:before="63"/>
                    <w:ind w:left="3870" w:right="2790"/>
                    <w:jc w:val="center"/>
                    <w:rPr>
                      <w:rFonts w:ascii="Calibri"/>
                      <w:sz w:val="18"/>
                    </w:rPr>
                  </w:pPr>
                  <w:r>
                    <w:rPr>
                      <w:rFonts w:ascii="Calibri"/>
                      <w:spacing w:val="-2"/>
                      <w:sz w:val="18"/>
                    </w:rPr>
                    <w:t>S</w:t>
                  </w:r>
                  <w:r>
                    <w:rPr>
                      <w:rFonts w:ascii="Calibri"/>
                      <w:spacing w:val="1"/>
                      <w:sz w:val="18"/>
                    </w:rPr>
                    <w:t>l</w:t>
                  </w:r>
                  <w:r>
                    <w:rPr>
                      <w:rFonts w:ascii="Calibri"/>
                      <w:spacing w:val="-2"/>
                      <w:sz w:val="18"/>
                    </w:rPr>
                    <w:t>o</w:t>
                  </w:r>
                  <w:r>
                    <w:rPr>
                      <w:rFonts w:ascii="Calibri"/>
                      <w:sz w:val="18"/>
                    </w:rPr>
                    <w:t>vakia</w:t>
                  </w:r>
                  <w:r>
                    <w:rPr>
                      <w:rFonts w:ascii="Calibri"/>
                      <w:spacing w:val="-1"/>
                      <w:sz w:val="18"/>
                    </w:rPr>
                    <w:t xml:space="preserve"> (8)</w:t>
                  </w:r>
                </w:p>
                <w:p w:rsidR="008C4866" w:rsidRDefault="008C4866">
                  <w:pPr>
                    <w:spacing w:before="63"/>
                    <w:ind w:left="3870" w:right="2714"/>
                    <w:jc w:val="center"/>
                    <w:rPr>
                      <w:rFonts w:ascii="Calibri"/>
                      <w:sz w:val="18"/>
                    </w:rPr>
                  </w:pPr>
                  <w:r>
                    <w:rPr>
                      <w:rFonts w:ascii="Calibri"/>
                      <w:spacing w:val="-1"/>
                      <w:sz w:val="18"/>
                    </w:rPr>
                    <w:t>A</w:t>
                  </w:r>
                  <w:r>
                    <w:rPr>
                      <w:rFonts w:ascii="Calibri"/>
                      <w:spacing w:val="1"/>
                      <w:sz w:val="18"/>
                    </w:rPr>
                    <w:t>u</w:t>
                  </w:r>
                  <w:r>
                    <w:rPr>
                      <w:rFonts w:ascii="Calibri"/>
                      <w:spacing w:val="-1"/>
                      <w:sz w:val="18"/>
                    </w:rPr>
                    <w:t>s</w:t>
                  </w:r>
                  <w:r>
                    <w:rPr>
                      <w:rFonts w:ascii="Calibri"/>
                      <w:sz w:val="18"/>
                    </w:rPr>
                    <w:t>t</w:t>
                  </w:r>
                  <w:r>
                    <w:rPr>
                      <w:rFonts w:ascii="Calibri"/>
                      <w:spacing w:val="-1"/>
                      <w:sz w:val="18"/>
                    </w:rPr>
                    <w:t>r</w:t>
                  </w:r>
                  <w:r>
                    <w:rPr>
                      <w:rFonts w:ascii="Calibri"/>
                      <w:spacing w:val="1"/>
                      <w:sz w:val="18"/>
                    </w:rPr>
                    <w:t>i</w:t>
                  </w:r>
                  <w:r>
                    <w:rPr>
                      <w:rFonts w:ascii="Calibri"/>
                      <w:sz w:val="18"/>
                    </w:rPr>
                    <w:t xml:space="preserve">a </w:t>
                  </w:r>
                  <w:r>
                    <w:rPr>
                      <w:rFonts w:ascii="Calibri"/>
                      <w:spacing w:val="-2"/>
                      <w:sz w:val="18"/>
                    </w:rPr>
                    <w:t>(</w:t>
                  </w:r>
                  <w:r>
                    <w:rPr>
                      <w:rFonts w:ascii="Calibri"/>
                      <w:sz w:val="18"/>
                    </w:rPr>
                    <w:t>5)</w:t>
                  </w:r>
                </w:p>
                <w:p w:rsidR="008C4866" w:rsidRDefault="008C4866">
                  <w:pPr>
                    <w:spacing w:before="63"/>
                    <w:ind w:right="18"/>
                    <w:jc w:val="right"/>
                    <w:rPr>
                      <w:rFonts w:ascii="Calibri"/>
                      <w:sz w:val="18"/>
                    </w:rPr>
                  </w:pPr>
                  <w:r>
                    <w:rPr>
                      <w:rFonts w:ascii="Calibri"/>
                      <w:sz w:val="18"/>
                    </w:rPr>
                    <w:t>Mace</w:t>
                  </w:r>
                  <w:r>
                    <w:rPr>
                      <w:rFonts w:ascii="Calibri"/>
                      <w:spacing w:val="1"/>
                      <w:sz w:val="18"/>
                    </w:rPr>
                    <w:t>d</w:t>
                  </w:r>
                  <w:r>
                    <w:rPr>
                      <w:rFonts w:ascii="Calibri"/>
                      <w:spacing w:val="-2"/>
                      <w:sz w:val="18"/>
                    </w:rPr>
                    <w:t>o</w:t>
                  </w:r>
                  <w:r>
                    <w:rPr>
                      <w:rFonts w:ascii="Calibri"/>
                      <w:spacing w:val="-1"/>
                      <w:sz w:val="18"/>
                    </w:rPr>
                    <w:t>n</w:t>
                  </w:r>
                  <w:r>
                    <w:rPr>
                      <w:rFonts w:ascii="Calibri"/>
                      <w:spacing w:val="1"/>
                      <w:sz w:val="18"/>
                    </w:rPr>
                    <w:t>i</w:t>
                  </w:r>
                  <w:r>
                    <w:rPr>
                      <w:rFonts w:ascii="Calibri"/>
                      <w:sz w:val="18"/>
                    </w:rPr>
                    <w:t xml:space="preserve">a </w:t>
                  </w:r>
                  <w:r>
                    <w:rPr>
                      <w:rFonts w:ascii="Calibri"/>
                      <w:spacing w:val="-2"/>
                      <w:sz w:val="18"/>
                    </w:rPr>
                    <w:t>(</w:t>
                  </w:r>
                  <w:r>
                    <w:rPr>
                      <w:rFonts w:ascii="Calibri"/>
                      <w:sz w:val="18"/>
                    </w:rPr>
                    <w:t>Pec</w:t>
                  </w:r>
                  <w:r>
                    <w:rPr>
                      <w:rFonts w:ascii="Calibri"/>
                      <w:spacing w:val="1"/>
                      <w:sz w:val="18"/>
                    </w:rPr>
                    <w:t>h</w:t>
                  </w:r>
                  <w:r>
                    <w:rPr>
                      <w:rFonts w:ascii="Calibri"/>
                      <w:spacing w:val="-1"/>
                      <w:sz w:val="18"/>
                    </w:rPr>
                    <w:t>e</w:t>
                  </w:r>
                  <w:r>
                    <w:rPr>
                      <w:rFonts w:ascii="Calibri"/>
                      <w:sz w:val="18"/>
                    </w:rPr>
                    <w:t>v</w:t>
                  </w:r>
                  <w:r>
                    <w:rPr>
                      <w:rFonts w:ascii="Calibri"/>
                      <w:spacing w:val="-2"/>
                      <w:sz w:val="18"/>
                    </w:rPr>
                    <w:t>o</w:t>
                  </w:r>
                  <w:r>
                    <w:rPr>
                      <w:rFonts w:ascii="Calibri"/>
                      <w:sz w:val="18"/>
                    </w:rPr>
                    <w:t>) (16)</w:t>
                  </w:r>
                </w:p>
                <w:p w:rsidR="008C4866" w:rsidRDefault="008C4866">
                  <w:pPr>
                    <w:spacing w:before="63"/>
                    <w:ind w:left="3870" w:right="2742"/>
                    <w:jc w:val="center"/>
                    <w:rPr>
                      <w:rFonts w:ascii="Calibri"/>
                      <w:sz w:val="18"/>
                    </w:rPr>
                  </w:pPr>
                  <w:r>
                    <w:rPr>
                      <w:rFonts w:ascii="Calibri"/>
                      <w:spacing w:val="-2"/>
                      <w:sz w:val="18"/>
                    </w:rPr>
                    <w:t>S</w:t>
                  </w:r>
                  <w:r>
                    <w:rPr>
                      <w:rFonts w:ascii="Calibri"/>
                      <w:spacing w:val="1"/>
                      <w:sz w:val="18"/>
                    </w:rPr>
                    <w:t>e</w:t>
                  </w:r>
                  <w:r>
                    <w:rPr>
                      <w:rFonts w:ascii="Calibri"/>
                      <w:sz w:val="18"/>
                    </w:rPr>
                    <w:t>r</w:t>
                  </w:r>
                  <w:r>
                    <w:rPr>
                      <w:rFonts w:ascii="Calibri"/>
                      <w:spacing w:val="-2"/>
                      <w:sz w:val="18"/>
                    </w:rPr>
                    <w:t>b</w:t>
                  </w:r>
                  <w:r>
                    <w:rPr>
                      <w:rFonts w:ascii="Calibri"/>
                      <w:spacing w:val="1"/>
                      <w:sz w:val="18"/>
                    </w:rPr>
                    <w:t>i</w:t>
                  </w:r>
                  <w:r>
                    <w:rPr>
                      <w:rFonts w:ascii="Calibri"/>
                      <w:sz w:val="18"/>
                    </w:rPr>
                    <w:t>a</w:t>
                  </w:r>
                  <w:r>
                    <w:rPr>
                      <w:rFonts w:ascii="Calibri"/>
                      <w:spacing w:val="-3"/>
                      <w:sz w:val="18"/>
                    </w:rPr>
                    <w:t xml:space="preserve"> </w:t>
                  </w:r>
                  <w:r>
                    <w:rPr>
                      <w:rFonts w:ascii="Calibri"/>
                      <w:sz w:val="18"/>
                    </w:rPr>
                    <w:t>(14)</w:t>
                  </w:r>
                </w:p>
                <w:p w:rsidR="008C4866" w:rsidRDefault="008C4866">
                  <w:pPr>
                    <w:spacing w:before="63"/>
                    <w:ind w:left="1086"/>
                    <w:rPr>
                      <w:rFonts w:ascii="Calibri"/>
                      <w:sz w:val="18"/>
                    </w:rPr>
                  </w:pPr>
                  <w:r>
                    <w:rPr>
                      <w:rFonts w:ascii="Calibri"/>
                      <w:spacing w:val="-1"/>
                      <w:sz w:val="18"/>
                    </w:rPr>
                    <w:t>C</w:t>
                  </w:r>
                  <w:r>
                    <w:rPr>
                      <w:rFonts w:ascii="Calibri"/>
                      <w:sz w:val="18"/>
                    </w:rPr>
                    <w:t>z</w:t>
                  </w:r>
                  <w:r>
                    <w:rPr>
                      <w:rFonts w:ascii="Calibri"/>
                      <w:spacing w:val="-1"/>
                      <w:sz w:val="18"/>
                    </w:rPr>
                    <w:t>e</w:t>
                  </w:r>
                  <w:r>
                    <w:rPr>
                      <w:rFonts w:ascii="Calibri"/>
                      <w:sz w:val="18"/>
                    </w:rPr>
                    <w:t>ch</w:t>
                  </w:r>
                  <w:r>
                    <w:rPr>
                      <w:rFonts w:ascii="Calibri"/>
                      <w:spacing w:val="-1"/>
                      <w:sz w:val="18"/>
                    </w:rPr>
                    <w:t xml:space="preserve"> </w:t>
                  </w:r>
                  <w:r>
                    <w:rPr>
                      <w:rFonts w:ascii="Calibri"/>
                      <w:sz w:val="18"/>
                    </w:rPr>
                    <w:t>R.</w:t>
                  </w:r>
                  <w:r>
                    <w:rPr>
                      <w:rFonts w:ascii="Calibri"/>
                      <w:spacing w:val="-1"/>
                      <w:sz w:val="18"/>
                    </w:rPr>
                    <w:t xml:space="preserve"> </w:t>
                  </w:r>
                  <w:r>
                    <w:rPr>
                      <w:rFonts w:ascii="Calibri"/>
                      <w:spacing w:val="-2"/>
                      <w:sz w:val="18"/>
                    </w:rPr>
                    <w:t>(</w:t>
                  </w:r>
                  <w:r>
                    <w:rPr>
                      <w:rFonts w:ascii="Calibri"/>
                      <w:sz w:val="18"/>
                    </w:rPr>
                    <w:t>5)</w:t>
                  </w:r>
                </w:p>
              </w:txbxContent>
            </v:textbox>
            <w10:wrap anchorx="page"/>
          </v:shape>
        </w:pict>
      </w:r>
      <w:r w:rsidR="0089671D">
        <w:t>Figure 14: Comparison of the annual average energy consumption of state primary and secondary schools in PCM with the school averages of the neighboring and the other European countries</w:t>
      </w:r>
    </w:p>
    <w:p w:rsidR="00F3177F" w:rsidRDefault="0089671D">
      <w:pPr>
        <w:pStyle w:val="BodyText"/>
        <w:spacing w:line="276" w:lineRule="exact"/>
        <w:ind w:left="584"/>
        <w:jc w:val="both"/>
      </w:pPr>
      <w:r>
        <w:t xml:space="preserve">(Sources: </w:t>
      </w:r>
      <w:proofErr w:type="gramStart"/>
      <w:r>
        <w:rPr>
          <w:position w:val="11"/>
          <w:sz w:val="16"/>
        </w:rPr>
        <w:t xml:space="preserve">*  </w:t>
      </w:r>
      <w:r>
        <w:t>The</w:t>
      </w:r>
      <w:proofErr w:type="gramEnd"/>
      <w:r>
        <w:t xml:space="preserve"> author’s research results, 1 (AAIE, 2015), 2 (Zinzi et al., 2015), 3</w:t>
      </w:r>
    </w:p>
    <w:p w:rsidR="00F3177F" w:rsidRDefault="0089671D">
      <w:pPr>
        <w:pStyle w:val="BodyText"/>
        <w:ind w:left="584"/>
        <w:jc w:val="both"/>
      </w:pPr>
      <w:r>
        <w:t xml:space="preserve">(Gaitani </w:t>
      </w:r>
      <w:proofErr w:type="gramStart"/>
      <w:r>
        <w:t>et  al</w:t>
      </w:r>
      <w:proofErr w:type="gramEnd"/>
      <w:r>
        <w:t>., 2015), 4  (Airaksinen,  2011), 5  (Birchall  et  al., 2014),  6 (Vourdoubas,</w:t>
      </w:r>
    </w:p>
    <w:p w:rsidR="00F3177F" w:rsidRDefault="0089671D">
      <w:pPr>
        <w:pStyle w:val="BodyText"/>
        <w:ind w:left="584"/>
        <w:jc w:val="both"/>
      </w:pPr>
      <w:r>
        <w:t>2016), 7 (Mairie de Paris</w:t>
      </w:r>
      <w:proofErr w:type="gramStart"/>
      <w:r>
        <w:t>,  2012</w:t>
      </w:r>
      <w:proofErr w:type="gramEnd"/>
      <w:r>
        <w:t>), 8 (Maldonado, 2013),         9 (Pereira et  al.,  2014) 10</w:t>
      </w:r>
    </w:p>
    <w:p w:rsidR="00F3177F" w:rsidRDefault="0089671D">
      <w:pPr>
        <w:pStyle w:val="BodyText"/>
        <w:ind w:left="584"/>
        <w:jc w:val="both"/>
      </w:pPr>
      <w:r>
        <w:t>(Maldonado, 2012), 11 (Katafygiotou &amp; Serghides, 2014), 12 (IEA, 2015), 13 (World</w:t>
      </w:r>
    </w:p>
    <w:p w:rsidR="00F3177F" w:rsidRDefault="0089671D">
      <w:pPr>
        <w:pStyle w:val="BodyText"/>
        <w:ind w:left="584"/>
        <w:jc w:val="both"/>
      </w:pPr>
      <w:r>
        <w:t xml:space="preserve">Bank, 2013), 14 (Todorovic, 2015), 15 (UNECE, n.d.), 16 (USAID, 2015), </w:t>
      </w:r>
      <w:proofErr w:type="gramStart"/>
      <w:r>
        <w:t>17  (</w:t>
      </w:r>
      <w:proofErr w:type="gramEnd"/>
      <w:r>
        <w:t>Thewes</w:t>
      </w:r>
    </w:p>
    <w:p w:rsidR="00F3177F" w:rsidRDefault="0089671D">
      <w:pPr>
        <w:pStyle w:val="BodyText"/>
        <w:ind w:left="584"/>
        <w:jc w:val="both"/>
      </w:pPr>
      <w:proofErr w:type="gramStart"/>
      <w:r>
        <w:t>et</w:t>
      </w:r>
      <w:proofErr w:type="gramEnd"/>
      <w:r>
        <w:t xml:space="preserve"> al,. 2014), 18 (Jones et al., 2000)</w:t>
      </w:r>
    </w:p>
    <w:p w:rsidR="00F3177F" w:rsidRDefault="00F3177F">
      <w:pPr>
        <w:jc w:val="both"/>
        <w:sectPr w:rsidR="00F3177F">
          <w:pgSz w:w="12240" w:h="15840"/>
          <w:pgMar w:top="1380" w:right="760" w:bottom="2320" w:left="1720" w:header="0" w:footer="2072" w:gutter="0"/>
          <w:cols w:space="720"/>
        </w:sectPr>
      </w:pPr>
    </w:p>
    <w:p w:rsidR="00F3177F" w:rsidRDefault="0089671D">
      <w:pPr>
        <w:pStyle w:val="BodyText"/>
        <w:spacing w:before="59" w:line="360" w:lineRule="auto"/>
        <w:ind w:left="584" w:right="116"/>
        <w:jc w:val="both"/>
      </w:pPr>
      <w:r>
        <w:lastRenderedPageBreak/>
        <w:t>The average annual school energy consumptions (kWh/m</w:t>
      </w:r>
      <w:r>
        <w:rPr>
          <w:position w:val="11"/>
          <w:sz w:val="16"/>
        </w:rPr>
        <w:t>2</w:t>
      </w:r>
      <w:r>
        <w:t xml:space="preserve">/yr) in Europa range between 68 in Greece and 294 in Czech Republic. </w:t>
      </w:r>
      <w:r>
        <w:rPr>
          <w:spacing w:val="-3"/>
        </w:rPr>
        <w:t xml:space="preserve">In </w:t>
      </w:r>
      <w:r>
        <w:t xml:space="preserve">neighboring countries, it changes  </w:t>
      </w:r>
      <w:r>
        <w:rPr>
          <w:spacing w:val="58"/>
        </w:rPr>
        <w:t xml:space="preserve"> </w:t>
      </w:r>
      <w:r>
        <w:t>between</w:t>
      </w:r>
    </w:p>
    <w:p w:rsidR="00F3177F" w:rsidRDefault="0089671D">
      <w:pPr>
        <w:pStyle w:val="ListParagraph"/>
        <w:numPr>
          <w:ilvl w:val="1"/>
          <w:numId w:val="12"/>
        </w:numPr>
        <w:tabs>
          <w:tab w:val="left" w:pos="1096"/>
        </w:tabs>
        <w:spacing w:before="6" w:line="360" w:lineRule="auto"/>
        <w:ind w:right="116" w:firstLine="0"/>
        <w:jc w:val="both"/>
        <w:rPr>
          <w:sz w:val="24"/>
        </w:rPr>
      </w:pPr>
      <w:proofErr w:type="gramStart"/>
      <w:r>
        <w:rPr>
          <w:sz w:val="24"/>
        </w:rPr>
        <w:t>in</w:t>
      </w:r>
      <w:proofErr w:type="gramEnd"/>
      <w:r>
        <w:rPr>
          <w:sz w:val="24"/>
        </w:rPr>
        <w:t xml:space="preserve"> secondary schools and 72.6 in high schools in Albania to 290 in Serbia. The annual average energy consumption of Central Pristina state primary and secondary schools appears to be the second lowest value in all Europa according to literature. However, the average of state schools in Vushturi and all Kosovo are more like in the middle.</w:t>
      </w:r>
    </w:p>
    <w:p w:rsidR="00F3177F" w:rsidRDefault="00F3177F">
      <w:pPr>
        <w:pStyle w:val="BodyText"/>
      </w:pPr>
    </w:p>
    <w:p w:rsidR="00F3177F" w:rsidRDefault="0089671D">
      <w:pPr>
        <w:pStyle w:val="BodyText"/>
        <w:spacing w:before="143" w:line="360" w:lineRule="auto"/>
        <w:ind w:left="584" w:right="117"/>
        <w:jc w:val="both"/>
      </w:pPr>
      <w:r>
        <w:t>When it comes to the school level, the research results can serve city administrators, planners/designers, school administrators and researchers for the design of school buildings that are going to be built and that already exist. The results of the first stage of the thesis research as energy saving school features for annual energy consumption “for unit area” and their energy saving percentages according to the averages can be summarized as given below:</w:t>
      </w:r>
    </w:p>
    <w:p w:rsidR="00F3177F" w:rsidRDefault="0089671D">
      <w:pPr>
        <w:pStyle w:val="ListParagraph"/>
        <w:numPr>
          <w:ilvl w:val="2"/>
          <w:numId w:val="12"/>
        </w:numPr>
        <w:tabs>
          <w:tab w:val="left" w:pos="1304"/>
          <w:tab w:val="left" w:pos="1305"/>
        </w:tabs>
        <w:spacing w:before="6"/>
        <w:rPr>
          <w:sz w:val="24"/>
        </w:rPr>
      </w:pPr>
      <w:r>
        <w:rPr>
          <w:sz w:val="24"/>
        </w:rPr>
        <w:t>Double shifts (morning and afternoon) –</w:t>
      </w:r>
      <w:r>
        <w:rPr>
          <w:spacing w:val="-3"/>
          <w:sz w:val="24"/>
        </w:rPr>
        <w:t xml:space="preserve"> </w:t>
      </w:r>
      <w:r>
        <w:rPr>
          <w:sz w:val="24"/>
        </w:rPr>
        <w:t>40.3%</w:t>
      </w:r>
    </w:p>
    <w:p w:rsidR="00F3177F" w:rsidRDefault="0089671D">
      <w:pPr>
        <w:pStyle w:val="ListParagraph"/>
        <w:numPr>
          <w:ilvl w:val="2"/>
          <w:numId w:val="12"/>
        </w:numPr>
        <w:tabs>
          <w:tab w:val="left" w:pos="1304"/>
          <w:tab w:val="left" w:pos="1305"/>
        </w:tabs>
        <w:spacing w:before="135"/>
        <w:rPr>
          <w:sz w:val="24"/>
        </w:rPr>
      </w:pPr>
      <w:r>
        <w:rPr>
          <w:sz w:val="24"/>
        </w:rPr>
        <w:t>Built in 2000 or later –</w:t>
      </w:r>
      <w:r>
        <w:rPr>
          <w:spacing w:val="-2"/>
          <w:sz w:val="24"/>
        </w:rPr>
        <w:t xml:space="preserve"> </w:t>
      </w:r>
      <w:r>
        <w:rPr>
          <w:sz w:val="24"/>
        </w:rPr>
        <w:t>28.3%</w:t>
      </w:r>
    </w:p>
    <w:p w:rsidR="00F3177F" w:rsidRDefault="0089671D">
      <w:pPr>
        <w:pStyle w:val="ListParagraph"/>
        <w:numPr>
          <w:ilvl w:val="2"/>
          <w:numId w:val="12"/>
        </w:numPr>
        <w:tabs>
          <w:tab w:val="left" w:pos="1304"/>
          <w:tab w:val="left" w:pos="1305"/>
        </w:tabs>
        <w:rPr>
          <w:sz w:val="24"/>
        </w:rPr>
      </w:pPr>
      <w:r>
        <w:rPr>
          <w:sz w:val="24"/>
        </w:rPr>
        <w:t>One-building –</w:t>
      </w:r>
      <w:r>
        <w:rPr>
          <w:spacing w:val="-4"/>
          <w:sz w:val="24"/>
        </w:rPr>
        <w:t xml:space="preserve"> </w:t>
      </w:r>
      <w:r>
        <w:rPr>
          <w:sz w:val="24"/>
        </w:rPr>
        <w:t>4.2%</w:t>
      </w:r>
    </w:p>
    <w:p w:rsidR="00F3177F" w:rsidRDefault="0089671D">
      <w:pPr>
        <w:pStyle w:val="ListParagraph"/>
        <w:numPr>
          <w:ilvl w:val="2"/>
          <w:numId w:val="12"/>
        </w:numPr>
        <w:tabs>
          <w:tab w:val="left" w:pos="1304"/>
          <w:tab w:val="left" w:pos="1305"/>
        </w:tabs>
        <w:rPr>
          <w:sz w:val="24"/>
        </w:rPr>
      </w:pPr>
      <w:r>
        <w:rPr>
          <w:sz w:val="24"/>
        </w:rPr>
        <w:t>Multi-floor –</w:t>
      </w:r>
      <w:r>
        <w:rPr>
          <w:spacing w:val="-2"/>
          <w:sz w:val="24"/>
        </w:rPr>
        <w:t xml:space="preserve"> </w:t>
      </w:r>
      <w:r>
        <w:rPr>
          <w:sz w:val="24"/>
        </w:rPr>
        <w:t>57.2%</w:t>
      </w:r>
    </w:p>
    <w:p w:rsidR="00F3177F" w:rsidRDefault="0089671D">
      <w:pPr>
        <w:pStyle w:val="ListParagraph"/>
        <w:numPr>
          <w:ilvl w:val="2"/>
          <w:numId w:val="12"/>
        </w:numPr>
        <w:tabs>
          <w:tab w:val="left" w:pos="1304"/>
          <w:tab w:val="left" w:pos="1305"/>
        </w:tabs>
        <w:spacing w:before="135"/>
        <w:rPr>
          <w:sz w:val="24"/>
        </w:rPr>
      </w:pPr>
      <w:r>
        <w:rPr>
          <w:sz w:val="24"/>
        </w:rPr>
        <w:t>More than 1000 students –</w:t>
      </w:r>
      <w:r>
        <w:rPr>
          <w:spacing w:val="-1"/>
          <w:sz w:val="24"/>
        </w:rPr>
        <w:t xml:space="preserve"> </w:t>
      </w:r>
      <w:r>
        <w:rPr>
          <w:sz w:val="24"/>
        </w:rPr>
        <w:t>37.2%</w:t>
      </w:r>
    </w:p>
    <w:p w:rsidR="00F3177F" w:rsidRDefault="0089671D">
      <w:pPr>
        <w:pStyle w:val="ListParagraph"/>
        <w:numPr>
          <w:ilvl w:val="2"/>
          <w:numId w:val="12"/>
        </w:numPr>
        <w:tabs>
          <w:tab w:val="left" w:pos="1304"/>
          <w:tab w:val="left" w:pos="1305"/>
        </w:tabs>
        <w:spacing w:before="120"/>
        <w:rPr>
          <w:sz w:val="24"/>
        </w:rPr>
      </w:pPr>
      <w:r>
        <w:rPr>
          <w:sz w:val="24"/>
        </w:rPr>
        <w:t>Bigger than 1000 m</w:t>
      </w:r>
      <w:r>
        <w:rPr>
          <w:position w:val="11"/>
          <w:sz w:val="16"/>
        </w:rPr>
        <w:t xml:space="preserve">2  </w:t>
      </w:r>
      <w:r>
        <w:rPr>
          <w:sz w:val="24"/>
        </w:rPr>
        <w:t>total building area at least –</w:t>
      </w:r>
      <w:r>
        <w:rPr>
          <w:spacing w:val="-29"/>
          <w:sz w:val="24"/>
        </w:rPr>
        <w:t xml:space="preserve"> </w:t>
      </w:r>
      <w:r>
        <w:rPr>
          <w:sz w:val="24"/>
        </w:rPr>
        <w:t>29.3%</w:t>
      </w:r>
    </w:p>
    <w:p w:rsidR="00F3177F" w:rsidRDefault="0089671D">
      <w:pPr>
        <w:pStyle w:val="ListParagraph"/>
        <w:numPr>
          <w:ilvl w:val="2"/>
          <w:numId w:val="12"/>
        </w:numPr>
        <w:tabs>
          <w:tab w:val="left" w:pos="1304"/>
          <w:tab w:val="left" w:pos="1305"/>
        </w:tabs>
        <w:rPr>
          <w:sz w:val="24"/>
        </w:rPr>
      </w:pPr>
      <w:r>
        <w:rPr>
          <w:sz w:val="24"/>
        </w:rPr>
        <w:t>Without energy source of wood and coal –</w:t>
      </w:r>
      <w:r>
        <w:rPr>
          <w:spacing w:val="-6"/>
          <w:sz w:val="24"/>
        </w:rPr>
        <w:t xml:space="preserve"> </w:t>
      </w:r>
      <w:r>
        <w:rPr>
          <w:sz w:val="24"/>
        </w:rPr>
        <w:t>16.4%</w:t>
      </w:r>
    </w:p>
    <w:p w:rsidR="00F3177F" w:rsidRDefault="0089671D">
      <w:pPr>
        <w:pStyle w:val="ListParagraph"/>
        <w:numPr>
          <w:ilvl w:val="2"/>
          <w:numId w:val="12"/>
        </w:numPr>
        <w:tabs>
          <w:tab w:val="left" w:pos="1304"/>
          <w:tab w:val="left" w:pos="1305"/>
        </w:tabs>
        <w:spacing w:before="117"/>
        <w:rPr>
          <w:sz w:val="24"/>
        </w:rPr>
      </w:pPr>
      <w:r>
        <w:rPr>
          <w:sz w:val="24"/>
        </w:rPr>
        <w:t>With less than 0.2 st/m</w:t>
      </w:r>
      <w:r>
        <w:rPr>
          <w:position w:val="11"/>
          <w:sz w:val="16"/>
        </w:rPr>
        <w:t xml:space="preserve">2  </w:t>
      </w:r>
      <w:r>
        <w:rPr>
          <w:sz w:val="24"/>
        </w:rPr>
        <w:t>student density –</w:t>
      </w:r>
      <w:r>
        <w:rPr>
          <w:spacing w:val="-28"/>
          <w:sz w:val="24"/>
        </w:rPr>
        <w:t xml:space="preserve"> </w:t>
      </w:r>
      <w:r>
        <w:rPr>
          <w:sz w:val="24"/>
        </w:rPr>
        <w:t>22.8%</w:t>
      </w:r>
    </w:p>
    <w:p w:rsidR="00F3177F" w:rsidRDefault="00F3177F">
      <w:pPr>
        <w:pStyle w:val="BodyText"/>
        <w:rPr>
          <w:sz w:val="28"/>
        </w:rPr>
      </w:pPr>
    </w:p>
    <w:p w:rsidR="00F3177F" w:rsidRDefault="0089671D">
      <w:pPr>
        <w:pStyle w:val="BodyText"/>
        <w:spacing w:before="231"/>
        <w:ind w:left="584"/>
        <w:jc w:val="both"/>
      </w:pPr>
      <w:r>
        <w:t>The only school in PCM that fits the above-mentioned features, Sami Frasheri 2, spends</w:t>
      </w:r>
    </w:p>
    <w:p w:rsidR="00F3177F" w:rsidRDefault="0089671D">
      <w:pPr>
        <w:pStyle w:val="BodyText"/>
        <w:spacing w:before="102" w:line="350" w:lineRule="auto"/>
        <w:ind w:left="584" w:right="113"/>
        <w:jc w:val="both"/>
      </w:pPr>
      <w:r>
        <w:t>19.3 kWh/m</w:t>
      </w:r>
      <w:r>
        <w:rPr>
          <w:position w:val="11"/>
          <w:sz w:val="16"/>
        </w:rPr>
        <w:t>2</w:t>
      </w:r>
      <w:r>
        <w:t>/yr of energy and it saves 72.2% energy in comparison with the Municipality average, 69.4 kWh/m</w:t>
      </w:r>
      <w:r>
        <w:rPr>
          <w:position w:val="11"/>
          <w:sz w:val="16"/>
        </w:rPr>
        <w:t>2</w:t>
      </w:r>
      <w:r>
        <w:t>/yr. It is clear that it will also save great amount of the Municipality budget and will pay back earlier than World Bank Groups’ calculation of 5.6 years with 53% of energy consumption saving.</w:t>
      </w:r>
    </w:p>
    <w:p w:rsidR="00F3177F" w:rsidRDefault="00F3177F">
      <w:pPr>
        <w:spacing w:line="350" w:lineRule="auto"/>
        <w:jc w:val="both"/>
        <w:sectPr w:rsidR="00F3177F">
          <w:pgSz w:w="12240" w:h="15840"/>
          <w:pgMar w:top="1340" w:right="1320" w:bottom="2320" w:left="1720" w:header="0" w:footer="2072" w:gutter="0"/>
          <w:cols w:space="720"/>
        </w:sectPr>
      </w:pPr>
    </w:p>
    <w:p w:rsidR="00F3177F" w:rsidRDefault="0089671D">
      <w:pPr>
        <w:pStyle w:val="BodyText"/>
        <w:spacing w:before="54" w:line="338" w:lineRule="auto"/>
        <w:ind w:left="584" w:right="111"/>
        <w:jc w:val="both"/>
      </w:pPr>
      <w:r>
        <w:lastRenderedPageBreak/>
        <w:t>From the point of the research hypotheses, study shift as morning and morning + afternoon, number of school building floors and student density (student/m</w:t>
      </w:r>
      <w:r>
        <w:rPr>
          <w:position w:val="11"/>
          <w:sz w:val="16"/>
        </w:rPr>
        <w:t>2</w:t>
      </w:r>
      <w:r>
        <w:t>) claiming that they are statistically significant predictors for annual school energy consumption  per</w:t>
      </w:r>
      <w:r>
        <w:rPr>
          <w:spacing w:val="19"/>
        </w:rPr>
        <w:t xml:space="preserve"> </w:t>
      </w:r>
      <w:r>
        <w:t>student</w:t>
      </w:r>
      <w:r>
        <w:rPr>
          <w:spacing w:val="20"/>
        </w:rPr>
        <w:t xml:space="preserve"> </w:t>
      </w:r>
      <w:r>
        <w:t>(kWh/st/yr)</w:t>
      </w:r>
      <w:r>
        <w:rPr>
          <w:spacing w:val="24"/>
        </w:rPr>
        <w:t xml:space="preserve"> </w:t>
      </w:r>
      <w:r>
        <w:t>and</w:t>
      </w:r>
      <w:r>
        <w:rPr>
          <w:spacing w:val="20"/>
        </w:rPr>
        <w:t xml:space="preserve"> </w:t>
      </w:r>
      <w:r>
        <w:t>unit</w:t>
      </w:r>
      <w:r>
        <w:rPr>
          <w:spacing w:val="21"/>
        </w:rPr>
        <w:t xml:space="preserve"> </w:t>
      </w:r>
      <w:r>
        <w:t>area</w:t>
      </w:r>
      <w:r>
        <w:rPr>
          <w:spacing w:val="19"/>
        </w:rPr>
        <w:t xml:space="preserve"> </w:t>
      </w:r>
      <w:r>
        <w:t>(kWh/m</w:t>
      </w:r>
      <w:r>
        <w:rPr>
          <w:position w:val="11"/>
          <w:sz w:val="16"/>
        </w:rPr>
        <w:t>2</w:t>
      </w:r>
      <w:r>
        <w:t>/yr),</w:t>
      </w:r>
      <w:r>
        <w:rPr>
          <w:spacing w:val="20"/>
        </w:rPr>
        <w:t xml:space="preserve"> </w:t>
      </w:r>
      <w:r>
        <w:t>annual</w:t>
      </w:r>
      <w:r>
        <w:rPr>
          <w:spacing w:val="20"/>
        </w:rPr>
        <w:t xml:space="preserve"> </w:t>
      </w:r>
      <w:r>
        <w:t>CO</w:t>
      </w:r>
      <w:r>
        <w:rPr>
          <w:position w:val="-2"/>
          <w:sz w:val="16"/>
        </w:rPr>
        <w:t xml:space="preserve">2 </w:t>
      </w:r>
      <w:r>
        <w:rPr>
          <w:spacing w:val="1"/>
          <w:position w:val="-2"/>
          <w:sz w:val="16"/>
        </w:rPr>
        <w:t xml:space="preserve"> </w:t>
      </w:r>
      <w:r>
        <w:t>emission</w:t>
      </w:r>
      <w:r>
        <w:rPr>
          <w:spacing w:val="20"/>
        </w:rPr>
        <w:t xml:space="preserve"> </w:t>
      </w:r>
      <w:r>
        <w:t>per</w:t>
      </w:r>
      <w:r>
        <w:rPr>
          <w:spacing w:val="19"/>
        </w:rPr>
        <w:t xml:space="preserve"> </w:t>
      </w:r>
      <w:r>
        <w:t>unit</w:t>
      </w:r>
      <w:r>
        <w:rPr>
          <w:spacing w:val="21"/>
        </w:rPr>
        <w:t xml:space="preserve"> </w:t>
      </w:r>
      <w:r>
        <w:t>area</w:t>
      </w:r>
    </w:p>
    <w:p w:rsidR="00F3177F" w:rsidRDefault="0089671D">
      <w:pPr>
        <w:pStyle w:val="BodyText"/>
        <w:spacing w:line="285" w:lineRule="exact"/>
        <w:ind w:left="584"/>
        <w:jc w:val="both"/>
      </w:pPr>
      <w:r>
        <w:t>(</w:t>
      </w:r>
      <w:proofErr w:type="gramStart"/>
      <w:r>
        <w:t>kg</w:t>
      </w:r>
      <w:proofErr w:type="gramEnd"/>
      <w:r>
        <w:t xml:space="preserve"> CO</w:t>
      </w:r>
      <w:r>
        <w:rPr>
          <w:position w:val="-2"/>
          <w:sz w:val="16"/>
        </w:rPr>
        <w:t>2</w:t>
      </w:r>
      <w:r>
        <w:t>/m</w:t>
      </w:r>
      <w:r>
        <w:rPr>
          <w:position w:val="11"/>
          <w:sz w:val="16"/>
        </w:rPr>
        <w:t>2</w:t>
      </w:r>
      <w:r>
        <w:t xml:space="preserve">/yr)  are proven to be statistically significant. According </w:t>
      </w:r>
      <w:proofErr w:type="gramStart"/>
      <w:r>
        <w:t>to  the</w:t>
      </w:r>
      <w:proofErr w:type="gramEnd"/>
      <w:r>
        <w:t xml:space="preserve"> results    and</w:t>
      </w:r>
    </w:p>
    <w:p w:rsidR="00F3177F" w:rsidRDefault="0089671D">
      <w:pPr>
        <w:pStyle w:val="BodyText"/>
        <w:spacing w:before="124" w:line="350" w:lineRule="auto"/>
        <w:ind w:left="584" w:right="114"/>
        <w:jc w:val="both"/>
      </w:pPr>
      <w:r>
        <w:t>analyses of the research Hypothesis 1, student density and study shift, separately and combined together, statistically significant factors on annual school energy consumption per student (kWh/st/yr), annual school energy consumption per unit area (kWh/m</w:t>
      </w:r>
      <w:r>
        <w:rPr>
          <w:position w:val="11"/>
          <w:sz w:val="16"/>
        </w:rPr>
        <w:t>2</w:t>
      </w:r>
      <w:r>
        <w:t>/yr) and annual CO</w:t>
      </w:r>
      <w:r>
        <w:rPr>
          <w:position w:val="-2"/>
          <w:sz w:val="16"/>
        </w:rPr>
        <w:t xml:space="preserve">2 </w:t>
      </w:r>
      <w:r>
        <w:t>emission per unit area (kg CO</w:t>
      </w:r>
      <w:r>
        <w:rPr>
          <w:position w:val="-2"/>
          <w:sz w:val="16"/>
        </w:rPr>
        <w:t>2</w:t>
      </w:r>
      <w:r>
        <w:t>/m</w:t>
      </w:r>
      <w:r>
        <w:rPr>
          <w:position w:val="11"/>
          <w:sz w:val="16"/>
        </w:rPr>
        <w:t>2</w:t>
      </w:r>
      <w:r>
        <w:t>/yr). In addition, number of school building floors significantly affects annual energy consumption per unit area while mean scores for annual energy consumption per student statistically significantly different between 1 and 2 building floors but not between 2 and 3 building floors. It is clear that annual school energy consumption per student and student density are directly related</w:t>
      </w:r>
      <w:r>
        <w:rPr>
          <w:spacing w:val="27"/>
        </w:rPr>
        <w:t xml:space="preserve"> </w:t>
      </w:r>
      <w:r>
        <w:t>issues,</w:t>
      </w:r>
      <w:r>
        <w:rPr>
          <w:spacing w:val="29"/>
        </w:rPr>
        <w:t xml:space="preserve"> </w:t>
      </w:r>
      <w:r>
        <w:t>at</w:t>
      </w:r>
      <w:r>
        <w:rPr>
          <w:spacing w:val="28"/>
        </w:rPr>
        <w:t xml:space="preserve"> </w:t>
      </w:r>
      <w:r>
        <w:t>least</w:t>
      </w:r>
      <w:r>
        <w:rPr>
          <w:spacing w:val="30"/>
        </w:rPr>
        <w:t xml:space="preserve"> </w:t>
      </w:r>
      <w:r>
        <w:t>as</w:t>
      </w:r>
      <w:r>
        <w:rPr>
          <w:spacing w:val="27"/>
        </w:rPr>
        <w:t xml:space="preserve"> </w:t>
      </w:r>
      <w:r>
        <w:t>a</w:t>
      </w:r>
      <w:r>
        <w:rPr>
          <w:spacing w:val="26"/>
        </w:rPr>
        <w:t xml:space="preserve"> </w:t>
      </w:r>
      <w:r>
        <w:t>matter</w:t>
      </w:r>
      <w:r>
        <w:rPr>
          <w:spacing w:val="28"/>
        </w:rPr>
        <w:t xml:space="preserve"> </w:t>
      </w:r>
      <w:r>
        <w:t>of</w:t>
      </w:r>
      <w:r>
        <w:rPr>
          <w:spacing w:val="26"/>
        </w:rPr>
        <w:t xml:space="preserve"> </w:t>
      </w:r>
      <w:r>
        <w:t>calculation.</w:t>
      </w:r>
      <w:r>
        <w:rPr>
          <w:spacing w:val="27"/>
        </w:rPr>
        <w:t xml:space="preserve"> </w:t>
      </w:r>
      <w:r>
        <w:t>Also,</w:t>
      </w:r>
      <w:r>
        <w:rPr>
          <w:spacing w:val="27"/>
        </w:rPr>
        <w:t xml:space="preserve"> </w:t>
      </w:r>
      <w:r>
        <w:t>study</w:t>
      </w:r>
      <w:r>
        <w:rPr>
          <w:spacing w:val="22"/>
        </w:rPr>
        <w:t xml:space="preserve"> </w:t>
      </w:r>
      <w:r>
        <w:t>shift</w:t>
      </w:r>
      <w:r>
        <w:rPr>
          <w:spacing w:val="28"/>
        </w:rPr>
        <w:t xml:space="preserve"> </w:t>
      </w:r>
      <w:r>
        <w:t>may</w:t>
      </w:r>
      <w:r>
        <w:rPr>
          <w:spacing w:val="25"/>
        </w:rPr>
        <w:t xml:space="preserve"> </w:t>
      </w:r>
      <w:r>
        <w:t>affect</w:t>
      </w:r>
      <w:r>
        <w:rPr>
          <w:spacing w:val="28"/>
        </w:rPr>
        <w:t xml:space="preserve"> </w:t>
      </w:r>
      <w:r>
        <w:t>student</w:t>
      </w:r>
    </w:p>
    <w:p w:rsidR="00F3177F" w:rsidRDefault="0089671D">
      <w:pPr>
        <w:pStyle w:val="BodyText"/>
        <w:spacing w:before="17" w:line="360" w:lineRule="auto"/>
        <w:ind w:left="584" w:right="118"/>
        <w:jc w:val="both"/>
      </w:pPr>
      <w:proofErr w:type="gramStart"/>
      <w:r>
        <w:t>density</w:t>
      </w:r>
      <w:proofErr w:type="gramEnd"/>
      <w:r>
        <w:t xml:space="preserve"> as students are separated into different shifts and prolong school buildings’ functioning hours. There might be several reasons to explain </w:t>
      </w:r>
      <w:proofErr w:type="gramStart"/>
      <w:r>
        <w:t>the  relation</w:t>
      </w:r>
      <w:proofErr w:type="gramEnd"/>
      <w:r>
        <w:t xml:space="preserve">  between umber of school building floors and annual energy consumption per unit area. Energy exchange between floors may help each other to warm up. Thus, these findings align with previous findings of other researchers.</w:t>
      </w:r>
    </w:p>
    <w:p w:rsidR="00F3177F" w:rsidRDefault="00F3177F">
      <w:pPr>
        <w:pStyle w:val="BodyText"/>
      </w:pPr>
    </w:p>
    <w:p w:rsidR="00F3177F" w:rsidRDefault="0089671D" w:rsidP="00AE3749">
      <w:pPr>
        <w:pStyle w:val="BodyText"/>
        <w:spacing w:before="143" w:line="352" w:lineRule="auto"/>
        <w:ind w:left="584" w:right="115"/>
        <w:jc w:val="both"/>
      </w:pPr>
      <w:r>
        <w:t>It can be derived from the above-mentioned results that student density can be a very crucial factor from the point of school building energy consumption as there are sharp differences between the annual energy consumptions with less and more than 0.2 st/m</w:t>
      </w:r>
      <w:r>
        <w:rPr>
          <w:position w:val="11"/>
          <w:sz w:val="16"/>
        </w:rPr>
        <w:t xml:space="preserve">2 </w:t>
      </w:r>
      <w:r>
        <w:t>student densities of state schools both in Pristina and Vushturi. Bigger schools have lower energy consumption figures per unit area as the nature of calculation. However, it is debatable that bigger sizes make a school more energy efficient. Hence, when the</w:t>
      </w:r>
      <w:r w:rsidR="00AE3749">
        <w:t xml:space="preserve"> </w:t>
      </w:r>
      <w:r>
        <w:t>energy efficiency standards are set for buildings, specifically school buildings, the standards should also provide figures concerning annual energy consumption per student and a balance among them should be built. Furthermore, different indicators</w:t>
      </w:r>
      <w:r>
        <w:rPr>
          <w:spacing w:val="15"/>
        </w:rPr>
        <w:t xml:space="preserve"> </w:t>
      </w:r>
      <w:r>
        <w:t>can</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6"/>
        <w:jc w:val="both"/>
      </w:pPr>
      <w:proofErr w:type="gramStart"/>
      <w:r>
        <w:lastRenderedPageBreak/>
        <w:t>be</w:t>
      </w:r>
      <w:proofErr w:type="gramEnd"/>
      <w:r>
        <w:t xml:space="preserve"> used for different purposes. For instance, when students’ comfort is the main concern, using annual energy consumptions per student can provide more realistic solutions. Thus, further and more-in-depth researches concerning the relations between building energy consumption and people’s comfort from the point of student </w:t>
      </w:r>
      <w:proofErr w:type="gramStart"/>
      <w:r>
        <w:t>density  can</w:t>
      </w:r>
      <w:proofErr w:type="gramEnd"/>
      <w:r>
        <w:t xml:space="preserve"> be carried out. In the case of the state primary and secondary schools in PCM, according</w:t>
      </w:r>
      <w:r>
        <w:rPr>
          <w:spacing w:val="20"/>
        </w:rPr>
        <w:t xml:space="preserve"> </w:t>
      </w:r>
      <w:r>
        <w:t>to</w:t>
      </w:r>
      <w:r>
        <w:rPr>
          <w:spacing w:val="23"/>
        </w:rPr>
        <w:t xml:space="preserve"> </w:t>
      </w:r>
      <w:r>
        <w:t>the</w:t>
      </w:r>
      <w:r>
        <w:rPr>
          <w:spacing w:val="22"/>
        </w:rPr>
        <w:t xml:space="preserve"> </w:t>
      </w:r>
      <w:r>
        <w:t>calculations</w:t>
      </w:r>
      <w:r>
        <w:rPr>
          <w:spacing w:val="23"/>
        </w:rPr>
        <w:t xml:space="preserve"> </w:t>
      </w:r>
      <w:r>
        <w:t>of</w:t>
      </w:r>
      <w:r>
        <w:rPr>
          <w:spacing w:val="22"/>
        </w:rPr>
        <w:t xml:space="preserve"> </w:t>
      </w:r>
      <w:r>
        <w:t>the</w:t>
      </w:r>
      <w:r>
        <w:rPr>
          <w:spacing w:val="22"/>
        </w:rPr>
        <w:t xml:space="preserve"> </w:t>
      </w:r>
      <w:r>
        <w:t>first</w:t>
      </w:r>
      <w:r>
        <w:rPr>
          <w:spacing w:val="23"/>
        </w:rPr>
        <w:t xml:space="preserve"> </w:t>
      </w:r>
      <w:r>
        <w:t>stage,</w:t>
      </w:r>
      <w:r>
        <w:rPr>
          <w:spacing w:val="26"/>
        </w:rPr>
        <w:t xml:space="preserve"> </w:t>
      </w:r>
      <w:r>
        <w:t>the</w:t>
      </w:r>
      <w:r>
        <w:rPr>
          <w:spacing w:val="22"/>
        </w:rPr>
        <w:t xml:space="preserve"> </w:t>
      </w:r>
      <w:r>
        <w:t>student</w:t>
      </w:r>
      <w:r>
        <w:rPr>
          <w:spacing w:val="23"/>
        </w:rPr>
        <w:t xml:space="preserve"> </w:t>
      </w:r>
      <w:r>
        <w:t>densities</w:t>
      </w:r>
      <w:r>
        <w:rPr>
          <w:spacing w:val="22"/>
        </w:rPr>
        <w:t xml:space="preserve"> </w:t>
      </w:r>
      <w:r>
        <w:t>vary</w:t>
      </w:r>
      <w:r>
        <w:rPr>
          <w:spacing w:val="20"/>
        </w:rPr>
        <w:t xml:space="preserve"> </w:t>
      </w:r>
      <w:r>
        <w:t>from</w:t>
      </w:r>
      <w:r>
        <w:rPr>
          <w:spacing w:val="23"/>
        </w:rPr>
        <w:t xml:space="preserve"> </w:t>
      </w:r>
      <w:r>
        <w:t>0.01</w:t>
      </w:r>
      <w:r>
        <w:rPr>
          <w:spacing w:val="22"/>
        </w:rPr>
        <w:t xml:space="preserve"> </w:t>
      </w:r>
      <w:r>
        <w:t>to</w:t>
      </w:r>
    </w:p>
    <w:p w:rsidR="00F3177F" w:rsidRDefault="0089671D">
      <w:pPr>
        <w:pStyle w:val="ListParagraph"/>
        <w:numPr>
          <w:ilvl w:val="1"/>
          <w:numId w:val="11"/>
        </w:numPr>
        <w:tabs>
          <w:tab w:val="left" w:pos="1091"/>
        </w:tabs>
        <w:spacing w:before="6" w:line="360" w:lineRule="auto"/>
        <w:ind w:right="116" w:firstLine="0"/>
        <w:jc w:val="both"/>
        <w:rPr>
          <w:sz w:val="24"/>
        </w:rPr>
      </w:pPr>
      <w:proofErr w:type="gramStart"/>
      <w:r>
        <w:rPr>
          <w:sz w:val="24"/>
        </w:rPr>
        <w:t>and</w:t>
      </w:r>
      <w:proofErr w:type="gramEnd"/>
      <w:r>
        <w:rPr>
          <w:sz w:val="24"/>
        </w:rPr>
        <w:t xml:space="preserve"> it is a very big gap for a city, let alone a small one. While it is a long-term procedure to replace old schools with new and more energy efficient ones, student density can be adjusted/balanced to some extent for the benefits of energy consumption and student comfort. However, it is worth noting that although large schools with a population of more than average can consume less energy per meter square and student, overcrowded and huge schools may have negative impacts on students’ psychology specifically on younger</w:t>
      </w:r>
      <w:r>
        <w:rPr>
          <w:spacing w:val="-6"/>
          <w:sz w:val="24"/>
        </w:rPr>
        <w:t xml:space="preserve"> </w:t>
      </w:r>
      <w:r>
        <w:rPr>
          <w:sz w:val="24"/>
        </w:rPr>
        <w:t>ones.</w:t>
      </w:r>
    </w:p>
    <w:p w:rsidR="00F3177F" w:rsidRDefault="00F3177F">
      <w:pPr>
        <w:pStyle w:val="BodyText"/>
      </w:pPr>
    </w:p>
    <w:p w:rsidR="00F3177F" w:rsidRDefault="0089671D">
      <w:pPr>
        <w:pStyle w:val="BodyText"/>
        <w:spacing w:before="143" w:line="360" w:lineRule="auto"/>
        <w:ind w:left="584" w:right="114"/>
        <w:jc w:val="both"/>
      </w:pPr>
      <w:r>
        <w:t>Schools with a priority of renovation can be determined and start renovations according to that priority, students’ complaint level, student density and energy consumption figures. Finally, Kosovo is a country with a population of 1861000 in 2016, with a sharply decreasing annual population growth percentage and its population will be around 2223000 in 2050 (bluemarblecitizen, n.d.). Apparently, the population will not change much in the following years and there will not be much need to build new school buildings in near future. However, old school buildings are gradually replaced with newer ones. The research results can be used to find out what makes some schools consume less energy than the others.</w:t>
      </w:r>
    </w:p>
    <w:p w:rsidR="00F3177F" w:rsidRDefault="00F3177F">
      <w:pPr>
        <w:pStyle w:val="BodyText"/>
      </w:pPr>
    </w:p>
    <w:p w:rsidR="00F3177F" w:rsidRDefault="0089671D" w:rsidP="00AE3749">
      <w:pPr>
        <w:pStyle w:val="BodyText"/>
        <w:spacing w:before="143" w:line="355" w:lineRule="auto"/>
        <w:ind w:left="584" w:right="114"/>
        <w:jc w:val="both"/>
      </w:pPr>
      <w:r>
        <w:t>Furthermore, annual school energy consumption per student, annual school energy consumption per meter square and annual CO</w:t>
      </w:r>
      <w:r>
        <w:rPr>
          <w:position w:val="-2"/>
          <w:sz w:val="16"/>
        </w:rPr>
        <w:t xml:space="preserve">2 </w:t>
      </w:r>
      <w:r>
        <w:t>emission per meter square are not statistically significant predictors for each other. The findings fit the results of previous studies as fuel type, quality and efficiency play more significant roles on CO</w:t>
      </w:r>
      <w:r>
        <w:rPr>
          <w:position w:val="-2"/>
          <w:sz w:val="16"/>
        </w:rPr>
        <w:t xml:space="preserve">2 </w:t>
      </w:r>
      <w:r>
        <w:t>emission, and student  density or/and number of students  is  not  taken into account  for heating</w:t>
      </w:r>
      <w:r w:rsidR="00AE3749">
        <w:t xml:space="preserve"> </w:t>
      </w:r>
      <w:r>
        <w:lastRenderedPageBreak/>
        <w:t>purposes. However, a study can be carried out to find at least a balance among these three indicators and finding the right fuel type can be crucial in this process. For instance, according to the research results of this thesis, schools that use oil as an energy source in PCM consume less annual energy per the unit area than schools that use</w:t>
      </w:r>
      <w:r w:rsidR="005F45DC">
        <w:t xml:space="preserve"> </w:t>
      </w:r>
      <w:r>
        <w:t>wood. However, again according to the research results, schools that use oil fuel produce much more CO</w:t>
      </w:r>
      <w:r>
        <w:rPr>
          <w:position w:val="-2"/>
          <w:sz w:val="16"/>
        </w:rPr>
        <w:t xml:space="preserve">2 </w:t>
      </w:r>
      <w:r>
        <w:t>emission than the ones that use wood. The same goes for the state schools in Vushturi. CO</w:t>
      </w:r>
      <w:r>
        <w:rPr>
          <w:position w:val="-2"/>
          <w:sz w:val="16"/>
        </w:rPr>
        <w:t xml:space="preserve">2 </w:t>
      </w:r>
      <w:r>
        <w:t xml:space="preserve">emission is directly related to environment, students’ health and environmental comfort. A balance between energy sources can be built and maintained with the help of EMSs to keeping a track of energy consumption per unit area and student, and </w:t>
      </w:r>
      <w:proofErr w:type="gramStart"/>
      <w:r>
        <w:t>CO</w:t>
      </w:r>
      <w:r>
        <w:rPr>
          <w:position w:val="-2"/>
          <w:sz w:val="16"/>
        </w:rPr>
        <w:t xml:space="preserve">2  </w:t>
      </w:r>
      <w:r>
        <w:t>emission</w:t>
      </w:r>
      <w:proofErr w:type="gramEnd"/>
      <w:r>
        <w:t>. The right fuel type should also be assessed from</w:t>
      </w:r>
      <w:r w:rsidR="005F45DC">
        <w:t xml:space="preserve"> </w:t>
      </w:r>
      <w:r>
        <w:t>the point of students’ comfort. (Nearly) zero energy buildings can also throw lights into the</w:t>
      </w:r>
      <w:r>
        <w:rPr>
          <w:spacing w:val="-1"/>
        </w:rPr>
        <w:t xml:space="preserve"> </w:t>
      </w:r>
      <w:r>
        <w:t>issue.</w:t>
      </w:r>
    </w:p>
    <w:p w:rsidR="00F3177F" w:rsidRDefault="00F3177F">
      <w:pPr>
        <w:pStyle w:val="BodyText"/>
      </w:pPr>
    </w:p>
    <w:p w:rsidR="00F3177F" w:rsidRDefault="0089671D">
      <w:pPr>
        <w:pStyle w:val="BodyText"/>
        <w:spacing w:before="146" w:line="360" w:lineRule="auto"/>
        <w:ind w:left="584" w:right="114"/>
        <w:jc w:val="both"/>
      </w:pPr>
      <w:r>
        <w:t>Naturally, there are innumerous factors that affect school energy consumption and CO</w:t>
      </w:r>
      <w:r>
        <w:rPr>
          <w:position w:val="-2"/>
          <w:sz w:val="16"/>
        </w:rPr>
        <w:t xml:space="preserve">2 </w:t>
      </w:r>
      <w:r>
        <w:t>emission and the research of this thesis takes a few of them into consideration as it is impossible to take all at once. Some factors and their effects on energy consumption can be simple and straightforward such as students’ shift while some others such as building age can be a more complicated issue because material and school design used in a particular period may have their own peculiarities, number of school buildings due to transparency and compactness effects, or school shape and design, neighboring environment and shadowing at different times of the day. Moreover, there are several school building groups and types that may affect the results. For instance, universities and boarding schools present totally different energy consumption patterns and they can be less predictable. Furthermore, state and private schools can present differences as private schools in general are better equipped as they are a part of business. The study of this research was limited to the state primary and secondary schools in PCM. Finally, a comparison between overall energy efficiency of schools with a central and separate heating systems can help city administrations to make better</w:t>
      </w:r>
      <w:r>
        <w:rPr>
          <w:spacing w:val="-15"/>
        </w:rPr>
        <w:t xml:space="preserve"> </w:t>
      </w:r>
      <w:r>
        <w:t>decisions.</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584" w:right="114"/>
        <w:jc w:val="both"/>
      </w:pPr>
      <w:r>
        <w:lastRenderedPageBreak/>
        <w:t>Although practices based on natural applications can be preferable in most cases, it is almost impossible to have a healthy and well-balanced environment under unfavorable conditions such as cold and hot seasons, and for all students such as students sitting near the wall or windows and at the back or in front of their classrooms. Justice in education requires at least favorable environmental conditions for all. Thus, the second stage of  the thesis research basically aims to find out the differences in comfort levels  of students who study in schools with low energy consumption, building transparencies and compactness (MINECSs) and students who study in schools with high energy consumption, building transparencies and compactness (MAXECSs) since energy consumption averages are meaningless without occupants’ comfort. The research also compares students’ comfort levels under several subcategories between these two groups of state primary and secondary schools in the Pristina Central Municipality to find out the effects of school energy consumptions on students’ health, well-being and distraction. The research hypotheses suppose that there are differences between students’ health and distraction levels in MINECSs and MAXECSs along with claim that higher degrees of differences appear between students’ comfort levels in MINECSs and MAXECSs when the attended number of lessons</w:t>
      </w:r>
      <w:r>
        <w:rPr>
          <w:spacing w:val="-11"/>
        </w:rPr>
        <w:t xml:space="preserve"> </w:t>
      </w:r>
      <w:r>
        <w:t>increases.</w:t>
      </w:r>
    </w:p>
    <w:p w:rsidR="00F3177F" w:rsidRDefault="00F3177F">
      <w:pPr>
        <w:pStyle w:val="BodyText"/>
      </w:pPr>
    </w:p>
    <w:p w:rsidR="00F3177F" w:rsidRDefault="0089671D">
      <w:pPr>
        <w:pStyle w:val="BodyText"/>
        <w:spacing w:before="143" w:line="360" w:lineRule="auto"/>
        <w:ind w:left="584" w:right="123"/>
        <w:jc w:val="both"/>
      </w:pPr>
      <w:r>
        <w:t>From the point of the research hypotheses, in comparison with the students in MAXECSs, the students in MINECSs;</w:t>
      </w:r>
    </w:p>
    <w:p w:rsidR="00F3177F" w:rsidRDefault="0089671D" w:rsidP="005F45DC">
      <w:pPr>
        <w:pStyle w:val="ListParagraph"/>
        <w:numPr>
          <w:ilvl w:val="2"/>
          <w:numId w:val="11"/>
        </w:numPr>
        <w:tabs>
          <w:tab w:val="left" w:pos="1304"/>
          <w:tab w:val="left" w:pos="1305"/>
        </w:tabs>
        <w:spacing w:before="6" w:line="350" w:lineRule="auto"/>
        <w:ind w:right="116"/>
        <w:jc w:val="both"/>
        <w:rPr>
          <w:sz w:val="24"/>
        </w:rPr>
      </w:pPr>
      <w:r>
        <w:rPr>
          <w:sz w:val="24"/>
        </w:rPr>
        <w:t>Experience 3.73% higher levels of differences in their well-beings when the attended number of lessons</w:t>
      </w:r>
      <w:r>
        <w:rPr>
          <w:spacing w:val="-9"/>
          <w:sz w:val="24"/>
        </w:rPr>
        <w:t xml:space="preserve"> </w:t>
      </w:r>
      <w:r>
        <w:rPr>
          <w:sz w:val="24"/>
        </w:rPr>
        <w:t>increase,</w:t>
      </w:r>
    </w:p>
    <w:p w:rsidR="00F3177F" w:rsidRDefault="0089671D">
      <w:pPr>
        <w:pStyle w:val="ListParagraph"/>
        <w:numPr>
          <w:ilvl w:val="2"/>
          <w:numId w:val="11"/>
        </w:numPr>
        <w:tabs>
          <w:tab w:val="left" w:pos="1304"/>
          <w:tab w:val="left" w:pos="1305"/>
        </w:tabs>
        <w:spacing w:before="16"/>
        <w:rPr>
          <w:sz w:val="24"/>
        </w:rPr>
      </w:pPr>
      <w:r>
        <w:rPr>
          <w:sz w:val="24"/>
        </w:rPr>
        <w:t>Have 5.7% more problems concerning their</w:t>
      </w:r>
      <w:r>
        <w:rPr>
          <w:spacing w:val="-6"/>
          <w:sz w:val="24"/>
        </w:rPr>
        <w:t xml:space="preserve"> </w:t>
      </w:r>
      <w:r>
        <w:rPr>
          <w:sz w:val="24"/>
        </w:rPr>
        <w:t>health,</w:t>
      </w:r>
    </w:p>
    <w:p w:rsidR="00F3177F" w:rsidRDefault="0089671D">
      <w:pPr>
        <w:pStyle w:val="ListParagraph"/>
        <w:numPr>
          <w:ilvl w:val="2"/>
          <w:numId w:val="11"/>
        </w:numPr>
        <w:tabs>
          <w:tab w:val="left" w:pos="1304"/>
          <w:tab w:val="left" w:pos="1305"/>
        </w:tabs>
        <w:rPr>
          <w:sz w:val="24"/>
        </w:rPr>
      </w:pPr>
      <w:r>
        <w:rPr>
          <w:sz w:val="24"/>
        </w:rPr>
        <w:t>Feel 8.1% more</w:t>
      </w:r>
      <w:r>
        <w:rPr>
          <w:spacing w:val="-5"/>
          <w:sz w:val="24"/>
        </w:rPr>
        <w:t xml:space="preserve"> </w:t>
      </w:r>
      <w:r>
        <w:rPr>
          <w:sz w:val="24"/>
        </w:rPr>
        <w:t>distracted.</w:t>
      </w:r>
    </w:p>
    <w:p w:rsidR="00F3177F" w:rsidRDefault="00F3177F">
      <w:pPr>
        <w:pStyle w:val="BodyText"/>
      </w:pPr>
    </w:p>
    <w:p w:rsidR="00F3177F" w:rsidRDefault="00F3177F">
      <w:pPr>
        <w:pStyle w:val="BodyText"/>
        <w:spacing w:before="11"/>
        <w:rPr>
          <w:sz w:val="23"/>
        </w:rPr>
      </w:pPr>
    </w:p>
    <w:p w:rsidR="00F3177F" w:rsidRDefault="0089671D">
      <w:pPr>
        <w:pStyle w:val="BodyText"/>
        <w:spacing w:line="360" w:lineRule="auto"/>
        <w:ind w:left="584" w:right="120"/>
        <w:jc w:val="both"/>
      </w:pPr>
      <w:r>
        <w:t>As a matter of nature, energy consumption is not the only factor that affects students’ health, well-being and distraction and there are several other factors such individual and regional facts. However, the analyses applied for this research verify the research hypotheses that support previous studies.</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F3177F">
      <w:pPr>
        <w:pStyle w:val="BodyText"/>
        <w:spacing w:before="2"/>
      </w:pPr>
    </w:p>
    <w:p w:rsidR="00F3177F" w:rsidRDefault="0089671D">
      <w:pPr>
        <w:pStyle w:val="BodyText"/>
        <w:spacing w:before="69" w:line="360" w:lineRule="auto"/>
        <w:ind w:left="584" w:right="116"/>
        <w:jc w:val="both"/>
      </w:pPr>
      <w:r>
        <w:t>Based on the research results, students in the researched schools mostly complain about indoor temperature and air quality. For instance, students in low energy consuming schools complain about both dry and hot air in spring time (45.5%) and cold classrooms in winter (75%) along with poor air (65.9%) and unpleasant smell (52.3%). Thus, energy renovation of school buildings can be carried out according to high percentages in students’ complaint</w:t>
      </w:r>
      <w:r>
        <w:rPr>
          <w:spacing w:val="-5"/>
        </w:rPr>
        <w:t xml:space="preserve"> </w:t>
      </w:r>
      <w:r>
        <w:t>levels.</w:t>
      </w:r>
    </w:p>
    <w:p w:rsidR="00F3177F" w:rsidRDefault="00F3177F">
      <w:pPr>
        <w:pStyle w:val="BodyText"/>
      </w:pPr>
    </w:p>
    <w:p w:rsidR="00F3177F" w:rsidRDefault="0089671D">
      <w:pPr>
        <w:pStyle w:val="BodyText"/>
        <w:spacing w:before="143" w:line="360" w:lineRule="auto"/>
        <w:ind w:left="584" w:right="119"/>
        <w:jc w:val="both"/>
      </w:pPr>
      <w:r>
        <w:t>Again, according to the research results of the second stage, the highest complaint differences between the students of MINECSs and MAXECSs appear in classroom temperatures in winter, air quality as poor and unpleasant odor, and disturbance from outside as noise and sun heat. Furthermore, students affected at the highest levels by the energy consumption differences are the ones sitting near:</w:t>
      </w:r>
    </w:p>
    <w:p w:rsidR="00F3177F" w:rsidRDefault="0089671D">
      <w:pPr>
        <w:pStyle w:val="ListParagraph"/>
        <w:numPr>
          <w:ilvl w:val="2"/>
          <w:numId w:val="11"/>
        </w:numPr>
        <w:tabs>
          <w:tab w:val="left" w:pos="1304"/>
          <w:tab w:val="left" w:pos="1305"/>
        </w:tabs>
        <w:spacing w:before="3"/>
        <w:rPr>
          <w:sz w:val="24"/>
        </w:rPr>
      </w:pPr>
      <w:r>
        <w:rPr>
          <w:sz w:val="24"/>
        </w:rPr>
        <w:t>Windows at the back of their classrooms at the first three</w:t>
      </w:r>
      <w:r>
        <w:rPr>
          <w:spacing w:val="-8"/>
          <w:sz w:val="24"/>
        </w:rPr>
        <w:t xml:space="preserve"> </w:t>
      </w:r>
      <w:r>
        <w:rPr>
          <w:sz w:val="24"/>
        </w:rPr>
        <w:t>lessons</w:t>
      </w:r>
    </w:p>
    <w:p w:rsidR="00F3177F" w:rsidRDefault="0089671D">
      <w:pPr>
        <w:pStyle w:val="ListParagraph"/>
        <w:numPr>
          <w:ilvl w:val="2"/>
          <w:numId w:val="11"/>
        </w:numPr>
        <w:tabs>
          <w:tab w:val="left" w:pos="1304"/>
          <w:tab w:val="left" w:pos="1305"/>
        </w:tabs>
        <w:rPr>
          <w:sz w:val="24"/>
        </w:rPr>
      </w:pPr>
      <w:r>
        <w:rPr>
          <w:sz w:val="24"/>
        </w:rPr>
        <w:t>The wall in front of their classrooms at the first three</w:t>
      </w:r>
      <w:r>
        <w:rPr>
          <w:spacing w:val="-12"/>
          <w:sz w:val="24"/>
        </w:rPr>
        <w:t xml:space="preserve"> </w:t>
      </w:r>
      <w:r>
        <w:rPr>
          <w:sz w:val="24"/>
        </w:rPr>
        <w:t>lessons</w:t>
      </w:r>
    </w:p>
    <w:p w:rsidR="00F3177F" w:rsidRDefault="0089671D">
      <w:pPr>
        <w:pStyle w:val="ListParagraph"/>
        <w:numPr>
          <w:ilvl w:val="2"/>
          <w:numId w:val="11"/>
        </w:numPr>
        <w:tabs>
          <w:tab w:val="left" w:pos="1304"/>
          <w:tab w:val="left" w:pos="1305"/>
        </w:tabs>
        <w:rPr>
          <w:sz w:val="24"/>
        </w:rPr>
      </w:pPr>
      <w:r>
        <w:rPr>
          <w:sz w:val="24"/>
        </w:rPr>
        <w:t>Windows in front of their classrooms at the last three</w:t>
      </w:r>
      <w:r>
        <w:rPr>
          <w:spacing w:val="-7"/>
          <w:sz w:val="24"/>
        </w:rPr>
        <w:t xml:space="preserve"> </w:t>
      </w:r>
      <w:r>
        <w:rPr>
          <w:sz w:val="24"/>
        </w:rPr>
        <w:t>lessons.</w:t>
      </w:r>
    </w:p>
    <w:p w:rsidR="00F3177F" w:rsidRDefault="00F3177F">
      <w:pPr>
        <w:pStyle w:val="BodyText"/>
      </w:pPr>
    </w:p>
    <w:p w:rsidR="00F3177F" w:rsidRDefault="00F3177F">
      <w:pPr>
        <w:pStyle w:val="BodyText"/>
        <w:spacing w:before="11"/>
        <w:rPr>
          <w:sz w:val="23"/>
        </w:rPr>
      </w:pPr>
    </w:p>
    <w:p w:rsidR="00F3177F" w:rsidRDefault="0089671D" w:rsidP="005F45DC">
      <w:pPr>
        <w:pStyle w:val="BodyText"/>
        <w:spacing w:line="360" w:lineRule="auto"/>
        <w:ind w:left="584" w:right="116"/>
        <w:jc w:val="both"/>
      </w:pPr>
      <w:r>
        <w:t>On the other side, students near the wall at the back of their classrooms are the ones that are affected at the lowest levels by the differences in energy consumptions. As the school buildings already exist, the gap between the groups of schools and the complaint levels of their students can be closed by the measures of insulation that directly alter building energy consumption and by the well-positioned installation of thermal air quality appliances, specifically air conditioners, and lighting appliances. It is understandable from the results of the sub-categories that most disturbed students sit at the corners of their classrooms. Thus, appliances to improve school indoor environment should be distributed across the classroom instead of one appliance located in one place. For instance, instead of one light bulb several light bulbs or florescent lamps, or an air condition system that distributes fresh air with holes in different parts of the classroom. That the items with the highest complaint levels are related to classroom temperature,</w:t>
      </w:r>
      <w:r w:rsidR="005F45DC">
        <w:t xml:space="preserve"> </w:t>
      </w:r>
      <w:r>
        <w:lastRenderedPageBreak/>
        <w:t xml:space="preserve">odor and disturbance from outside heat shows that air conditioning is the first </w:t>
      </w:r>
      <w:proofErr w:type="gramStart"/>
      <w:r>
        <w:t>concern  to</w:t>
      </w:r>
      <w:proofErr w:type="gramEnd"/>
      <w:r>
        <w:t xml:space="preserve"> enhance students’ indoor comfort. Furthermore, the comfort level differences in sub- categories show that average school energy consumption figures are not significant or sufficient to estimate each student’s indoor</w:t>
      </w:r>
      <w:r>
        <w:rPr>
          <w:spacing w:val="-6"/>
        </w:rPr>
        <w:t xml:space="preserve"> </w:t>
      </w:r>
      <w:r>
        <w:t>comfort.</w:t>
      </w:r>
    </w:p>
    <w:p w:rsidR="00F3177F" w:rsidRDefault="00F3177F">
      <w:pPr>
        <w:pStyle w:val="BodyText"/>
      </w:pPr>
    </w:p>
    <w:p w:rsidR="00F3177F" w:rsidRDefault="0089671D">
      <w:pPr>
        <w:pStyle w:val="BodyText"/>
        <w:spacing w:before="143" w:line="360" w:lineRule="auto"/>
        <w:ind w:left="584" w:right="119"/>
        <w:jc w:val="both"/>
      </w:pPr>
      <w:r>
        <w:t>Students specifically in MINECSs often complain about disturbance from outside noise and sunlight. Basically, the solution is related to the structure and direction of the school. The issue can also be related to the size of school yard. A study concerning correlation between school yards, school energy consumption and students’ comfort could provide valuable</w:t>
      </w:r>
      <w:r>
        <w:rPr>
          <w:spacing w:val="-4"/>
        </w:rPr>
        <w:t xml:space="preserve"> </w:t>
      </w:r>
      <w:r>
        <w:t>information.</w:t>
      </w:r>
    </w:p>
    <w:p w:rsidR="00F3177F" w:rsidRDefault="00F3177F">
      <w:pPr>
        <w:pStyle w:val="BodyText"/>
      </w:pPr>
    </w:p>
    <w:p w:rsidR="00F3177F" w:rsidRDefault="0089671D">
      <w:pPr>
        <w:pStyle w:val="BodyText"/>
        <w:spacing w:before="143" w:line="360" w:lineRule="auto"/>
        <w:ind w:left="584" w:right="116"/>
        <w:jc w:val="both"/>
      </w:pPr>
      <w:r>
        <w:t xml:space="preserve">Moreover, students’ health and well-being should not be considered as only physical health and well-being. Therefore, questionnaires on students’ health and well-being should combine physical, mental and psychological aspects. A questionnaire with various aspects could provide better insight of energy consumption practices on students’ health and well-being. Likewise, this thesis deals with two aspects of energy consumption in schools as energy saving school features and students’ comfort. However, a study including aspects of students’ and administration’s energy behavior as the third stage could make the research more </w:t>
      </w:r>
      <w:proofErr w:type="gramStart"/>
      <w:r>
        <w:t>inclusive.</w:t>
      </w:r>
      <w:proofErr w:type="gramEnd"/>
      <w:r>
        <w:t xml:space="preserve"> Besides, a study concerning the optimum ratio between building transparency and compactness </w:t>
      </w:r>
      <w:proofErr w:type="gramStart"/>
      <w:r>
        <w:t xml:space="preserve">on </w:t>
      </w:r>
      <w:r w:rsidR="005F45DC">
        <w:t xml:space="preserve"> </w:t>
      </w:r>
      <w:r>
        <w:t>school</w:t>
      </w:r>
      <w:proofErr w:type="gramEnd"/>
      <w:r>
        <w:t xml:space="preserve"> environmental quality and students comfort, specifically visual one could open new doors on building design. Finally, a research on students’ comfort levels according to annual energy consumption per unit area, per student and student density could be carried out to compare the results.</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Heading2"/>
        <w:spacing w:before="39"/>
        <w:ind w:left="584" w:right="65" w:firstLine="0"/>
        <w:jc w:val="left"/>
      </w:pPr>
      <w:r>
        <w:lastRenderedPageBreak/>
        <w:t>REFERENCES</w:t>
      </w:r>
    </w:p>
    <w:p w:rsidR="00F3177F" w:rsidRDefault="00F3177F">
      <w:pPr>
        <w:pStyle w:val="BodyText"/>
        <w:rPr>
          <w:b/>
        </w:rPr>
      </w:pPr>
    </w:p>
    <w:p w:rsidR="00F3177F" w:rsidRDefault="00F3177F">
      <w:pPr>
        <w:pStyle w:val="BodyText"/>
        <w:spacing w:before="7"/>
        <w:rPr>
          <w:b/>
          <w:sz w:val="23"/>
        </w:rPr>
      </w:pPr>
    </w:p>
    <w:p w:rsidR="00F3177F" w:rsidRDefault="0089671D">
      <w:pPr>
        <w:pStyle w:val="BodyText"/>
        <w:spacing w:line="360" w:lineRule="auto"/>
        <w:ind w:left="1124" w:right="115" w:hanging="540"/>
        <w:jc w:val="both"/>
      </w:pPr>
      <w:r>
        <w:t xml:space="preserve">Airaksinen, M. (2011). Energy Use in Day Care Centers and Schools. </w:t>
      </w:r>
      <w:r>
        <w:rPr>
          <w:i/>
        </w:rPr>
        <w:t>Energies</w:t>
      </w:r>
      <w:r>
        <w:t xml:space="preserve">, </w:t>
      </w:r>
      <w:r>
        <w:rPr>
          <w:i/>
        </w:rPr>
        <w:t>4</w:t>
      </w:r>
      <w:r>
        <w:t xml:space="preserve">, 998- 1009. </w:t>
      </w:r>
      <w:proofErr w:type="gramStart"/>
      <w:r>
        <w:t>doi:</w:t>
      </w:r>
      <w:proofErr w:type="gramEnd"/>
      <w:r>
        <w:t>10.3390/en4070998</w:t>
      </w:r>
    </w:p>
    <w:p w:rsidR="00F3177F" w:rsidRDefault="00F3177F">
      <w:pPr>
        <w:pStyle w:val="BodyText"/>
      </w:pPr>
    </w:p>
    <w:p w:rsidR="00F3177F" w:rsidRDefault="0089671D">
      <w:pPr>
        <w:pStyle w:val="BodyText"/>
        <w:spacing w:before="143" w:line="360" w:lineRule="auto"/>
        <w:ind w:left="1124" w:right="117" w:hanging="540"/>
        <w:jc w:val="both"/>
      </w:pPr>
      <w:r>
        <w:t>Andersson, K. (1993). The MM-questionnaires: a tool when solving indoor climate problems. Hallsberg, Sweden: Narke-Tryck</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Anderson, S.T., </w:t>
      </w:r>
      <w:r>
        <w:t xml:space="preserve">&amp; Newell, R.G. </w:t>
      </w:r>
      <w:r>
        <w:rPr>
          <w:spacing w:val="-3"/>
        </w:rPr>
        <w:t xml:space="preserve">(2004). Information programs </w:t>
      </w:r>
      <w:r>
        <w:t xml:space="preserve">for technology </w:t>
      </w:r>
      <w:r>
        <w:rPr>
          <w:spacing w:val="-3"/>
        </w:rPr>
        <w:t xml:space="preserve">adoption. </w:t>
      </w:r>
      <w:proofErr w:type="gramStart"/>
      <w:r>
        <w:t>the</w:t>
      </w:r>
      <w:proofErr w:type="gramEnd"/>
      <w:r>
        <w:t xml:space="preserve"> case of energy-efficiency audits. </w:t>
      </w:r>
      <w:r>
        <w:rPr>
          <w:i/>
          <w:spacing w:val="-3"/>
        </w:rPr>
        <w:t xml:space="preserve">Resource </w:t>
      </w:r>
      <w:r>
        <w:rPr>
          <w:i/>
        </w:rPr>
        <w:t xml:space="preserve">and </w:t>
      </w:r>
      <w:r>
        <w:rPr>
          <w:i/>
          <w:spacing w:val="-3"/>
        </w:rPr>
        <w:t xml:space="preserve">Energy Economics, </w:t>
      </w:r>
      <w:r>
        <w:rPr>
          <w:i/>
        </w:rPr>
        <w:t>1</w:t>
      </w:r>
      <w:r>
        <w:t xml:space="preserve">, </w:t>
      </w:r>
      <w:r>
        <w:rPr>
          <w:spacing w:val="-3"/>
        </w:rPr>
        <w:t xml:space="preserve">(26),  </w:t>
      </w:r>
      <w:r>
        <w:t xml:space="preserve"> 27-</w:t>
      </w:r>
    </w:p>
    <w:p w:rsidR="00F3177F" w:rsidRDefault="0089671D">
      <w:pPr>
        <w:pStyle w:val="BodyText"/>
        <w:spacing w:before="6" w:line="360" w:lineRule="auto"/>
        <w:ind w:left="1124" w:right="65"/>
      </w:pPr>
      <w:r>
        <w:t>50. (</w:t>
      </w:r>
      <w:proofErr w:type="gramStart"/>
      <w:r>
        <w:t>as</w:t>
      </w:r>
      <w:proofErr w:type="gramEnd"/>
      <w:r>
        <w:t xml:space="preserve"> in "Hsu, D. 2014. How much information disclosure of building energy performance is necessary</w:t>
      </w:r>
      <w:proofErr w:type="gramStart"/>
      <w:r>
        <w:t>?,</w:t>
      </w:r>
      <w:proofErr w:type="gramEnd"/>
      <w:r>
        <w:t xml:space="preserve"> </w:t>
      </w:r>
      <w:r>
        <w:rPr>
          <w:i/>
        </w:rPr>
        <w:t>Energy Policy, 64</w:t>
      </w:r>
      <w:r>
        <w:t>, 263-272.”)</w:t>
      </w:r>
    </w:p>
    <w:p w:rsidR="00F3177F" w:rsidRDefault="00F3177F">
      <w:pPr>
        <w:pStyle w:val="BodyText"/>
      </w:pPr>
    </w:p>
    <w:p w:rsidR="00F3177F" w:rsidRDefault="0089671D">
      <w:pPr>
        <w:pStyle w:val="BodyText"/>
        <w:spacing w:before="143" w:line="360" w:lineRule="auto"/>
        <w:ind w:left="1124" w:right="116" w:hanging="540"/>
        <w:jc w:val="both"/>
      </w:pPr>
      <w:r>
        <w:t>ANSI/ASHRAE. (2013). Standard 55-2013. Thermal Environmental Conditions for Human Occupancy.</w:t>
      </w:r>
    </w:p>
    <w:p w:rsidR="00F3177F" w:rsidRDefault="00F3177F">
      <w:pPr>
        <w:pStyle w:val="BodyText"/>
      </w:pPr>
    </w:p>
    <w:p w:rsidR="00F3177F" w:rsidRDefault="0089671D">
      <w:pPr>
        <w:pStyle w:val="BodyText"/>
        <w:spacing w:before="143" w:line="360" w:lineRule="auto"/>
        <w:ind w:left="1124" w:right="115" w:hanging="540"/>
        <w:jc w:val="both"/>
      </w:pPr>
      <w:r>
        <w:t>Antonini, E., Boscolo, M., Cappelletti, F., &amp; Romagnoni, P. (2009). Schools refurbishment: results of an energy monitoring campaign (pp. 139-</w:t>
      </w:r>
      <w:proofErr w:type="gramStart"/>
      <w:r>
        <w:t>143 )</w:t>
      </w:r>
      <w:proofErr w:type="gramEnd"/>
      <w:r>
        <w:t>. Bressanone: The 4th Energy Forum. (</w:t>
      </w:r>
      <w:proofErr w:type="gramStart"/>
      <w:r>
        <w:t>as</w:t>
      </w:r>
      <w:proofErr w:type="gramEnd"/>
      <w:r>
        <w:t xml:space="preserve"> in “Lara, R.A., Pernigotto, G., Cappelletti, F., Romagnoni, P., &amp; Gasparella, A, (2015). Energy audit of schools by means of cluster analysis. </w:t>
      </w:r>
      <w:r>
        <w:rPr>
          <w:i/>
        </w:rPr>
        <w:t xml:space="preserve">Energy and Buildings, 95, </w:t>
      </w:r>
      <w:r>
        <w:t>160-171”)</w:t>
      </w:r>
    </w:p>
    <w:p w:rsidR="00F3177F" w:rsidRDefault="00F3177F">
      <w:pPr>
        <w:pStyle w:val="BodyText"/>
      </w:pPr>
    </w:p>
    <w:p w:rsidR="00F3177F" w:rsidRDefault="0089671D">
      <w:pPr>
        <w:pStyle w:val="BodyText"/>
        <w:spacing w:before="143" w:line="360" w:lineRule="auto"/>
        <w:ind w:left="1124" w:right="116" w:hanging="540"/>
        <w:jc w:val="both"/>
      </w:pPr>
      <w:r>
        <w:rPr>
          <w:spacing w:val="-3"/>
        </w:rPr>
        <w:t xml:space="preserve">ASHRAE. (2008). Advanced </w:t>
      </w:r>
      <w:r>
        <w:t xml:space="preserve">Energy Design Guide </w:t>
      </w:r>
      <w:r>
        <w:rPr>
          <w:spacing w:val="-3"/>
        </w:rPr>
        <w:t xml:space="preserve">for </w:t>
      </w:r>
      <w:r>
        <w:t xml:space="preserve">K-12 </w:t>
      </w:r>
      <w:r>
        <w:rPr>
          <w:spacing w:val="-2"/>
        </w:rPr>
        <w:t xml:space="preserve">School </w:t>
      </w:r>
      <w:r>
        <w:rPr>
          <w:spacing w:val="-3"/>
        </w:rPr>
        <w:t xml:space="preserve">Buildings. Retrieved 2015, </w:t>
      </w:r>
      <w:r>
        <w:t xml:space="preserve">February 23, from, ASHRAE, </w:t>
      </w:r>
      <w:r>
        <w:rPr>
          <w:spacing w:val="-3"/>
        </w:rPr>
        <w:t xml:space="preserve">Advanced </w:t>
      </w:r>
      <w:r>
        <w:t xml:space="preserve">Energy Design </w:t>
      </w:r>
      <w:r>
        <w:rPr>
          <w:spacing w:val="-3"/>
        </w:rPr>
        <w:t xml:space="preserve">Guides: </w:t>
      </w:r>
      <w:hyperlink r:id="rId65">
        <w:r>
          <w:rPr>
            <w:spacing w:val="-3"/>
          </w:rPr>
          <w:t>http://www.ashrae.org/aedg</w:t>
        </w:r>
      </w:hyperlink>
      <w:r>
        <w:rPr>
          <w:spacing w:val="-3"/>
        </w:rPr>
        <w:t xml:space="preserve">, last visited </w:t>
      </w:r>
      <w:r>
        <w:t>on February 2015.)</w:t>
      </w:r>
    </w:p>
    <w:p w:rsidR="00F3177F" w:rsidRDefault="00F3177F">
      <w:pPr>
        <w:pStyle w:val="BodyText"/>
      </w:pPr>
    </w:p>
    <w:p w:rsidR="00F3177F" w:rsidRDefault="0089671D">
      <w:pPr>
        <w:pStyle w:val="BodyText"/>
        <w:spacing w:before="143" w:line="360" w:lineRule="auto"/>
        <w:ind w:left="1124" w:right="119" w:hanging="540"/>
        <w:jc w:val="both"/>
      </w:pPr>
      <w:r>
        <w:rPr>
          <w:spacing w:val="-3"/>
        </w:rPr>
        <w:t xml:space="preserve">Ayres, </w:t>
      </w:r>
      <w:r>
        <w:t xml:space="preserve">R., &amp; </w:t>
      </w:r>
      <w:r>
        <w:rPr>
          <w:spacing w:val="-3"/>
        </w:rPr>
        <w:t xml:space="preserve">Vlasios, </w:t>
      </w:r>
      <w:r>
        <w:t xml:space="preserve">V. </w:t>
      </w:r>
      <w:r>
        <w:rPr>
          <w:spacing w:val="-3"/>
        </w:rPr>
        <w:t xml:space="preserve">(2014). </w:t>
      </w:r>
      <w:r>
        <w:t xml:space="preserve">The economic growth </w:t>
      </w:r>
      <w:r>
        <w:rPr>
          <w:spacing w:val="-3"/>
        </w:rPr>
        <w:t xml:space="preserve">enigma: capital, </w:t>
      </w:r>
      <w:r>
        <w:t xml:space="preserve">labour </w:t>
      </w:r>
      <w:r>
        <w:rPr>
          <w:spacing w:val="-3"/>
        </w:rPr>
        <w:t xml:space="preserve">and useful energy? </w:t>
      </w:r>
      <w:r>
        <w:rPr>
          <w:i/>
        </w:rPr>
        <w:t xml:space="preserve">Energy </w:t>
      </w:r>
      <w:r>
        <w:rPr>
          <w:i/>
          <w:spacing w:val="-3"/>
        </w:rPr>
        <w:t xml:space="preserve">Policy, </w:t>
      </w:r>
      <w:r>
        <w:rPr>
          <w:i/>
        </w:rPr>
        <w:t>64</w:t>
      </w:r>
      <w:r>
        <w:t xml:space="preserve">, </w:t>
      </w:r>
      <w:r>
        <w:rPr>
          <w:spacing w:val="-3"/>
        </w:rPr>
        <w:t>16-28.</w:t>
      </w:r>
    </w:p>
    <w:p w:rsidR="00F3177F" w:rsidRDefault="00F3177F">
      <w:pPr>
        <w:spacing w:line="360" w:lineRule="auto"/>
        <w:jc w:val="both"/>
        <w:sectPr w:rsidR="00F3177F">
          <w:pgSz w:w="12240" w:h="15840"/>
          <w:pgMar w:top="1400" w:right="1320" w:bottom="2320" w:left="1720" w:header="0" w:footer="2072" w:gutter="0"/>
          <w:cols w:space="720"/>
        </w:sectPr>
      </w:pPr>
    </w:p>
    <w:p w:rsidR="00F3177F" w:rsidRDefault="0089671D">
      <w:pPr>
        <w:spacing w:before="54" w:line="360" w:lineRule="auto"/>
        <w:ind w:left="1124" w:right="123" w:hanging="540"/>
        <w:jc w:val="both"/>
        <w:rPr>
          <w:sz w:val="24"/>
        </w:rPr>
      </w:pPr>
      <w:r>
        <w:rPr>
          <w:sz w:val="24"/>
        </w:rPr>
        <w:lastRenderedPageBreak/>
        <w:t xml:space="preserve">Baker, E., &amp; Solak, S. (2011). Climate change and optimal energy technology R&amp;D policy. </w:t>
      </w:r>
      <w:r>
        <w:rPr>
          <w:i/>
          <w:sz w:val="24"/>
        </w:rPr>
        <w:t>European Journal of Operational Research</w:t>
      </w:r>
      <w:r>
        <w:rPr>
          <w:sz w:val="24"/>
        </w:rPr>
        <w:t xml:space="preserve">, </w:t>
      </w:r>
      <w:r>
        <w:rPr>
          <w:i/>
          <w:sz w:val="24"/>
        </w:rPr>
        <w:t xml:space="preserve">213 </w:t>
      </w:r>
      <w:r>
        <w:rPr>
          <w:sz w:val="24"/>
        </w:rPr>
        <w:t>(2), 442-454.</w:t>
      </w:r>
    </w:p>
    <w:p w:rsidR="00F3177F" w:rsidRDefault="00F3177F">
      <w:pPr>
        <w:pStyle w:val="BodyText"/>
      </w:pPr>
    </w:p>
    <w:p w:rsidR="00F3177F" w:rsidRDefault="0089671D">
      <w:pPr>
        <w:pStyle w:val="BodyText"/>
        <w:spacing w:before="143" w:line="360" w:lineRule="auto"/>
        <w:ind w:left="1124" w:right="111" w:hanging="540"/>
        <w:jc w:val="both"/>
      </w:pPr>
      <w:r>
        <w:t xml:space="preserve">Bakó-Biró, Z., Clements-Croome, D.J., Kochhar, N., Awbi, H.B., &amp; Williams, M.J., (2012). Ventilation rates in schools and pupils’ performance. </w:t>
      </w:r>
      <w:r>
        <w:rPr>
          <w:i/>
        </w:rPr>
        <w:t xml:space="preserve">Building and Environment, 48, </w:t>
      </w:r>
      <w:r>
        <w:t>215-223.</w:t>
      </w:r>
    </w:p>
    <w:p w:rsidR="00F3177F" w:rsidRDefault="00F3177F">
      <w:pPr>
        <w:pStyle w:val="BodyText"/>
      </w:pPr>
    </w:p>
    <w:p w:rsidR="00F3177F" w:rsidRDefault="0089671D">
      <w:pPr>
        <w:pStyle w:val="BodyText"/>
        <w:spacing w:before="143" w:line="360" w:lineRule="auto"/>
        <w:ind w:left="1124" w:right="118" w:hanging="540"/>
        <w:jc w:val="both"/>
      </w:pPr>
      <w:r>
        <w:t xml:space="preserve">Balaras, C.A, Dascalaki, E., &amp; Gaglia, A. (2007). HVAC and indoor thermal conditions in hospital operating rooms. </w:t>
      </w:r>
      <w:r>
        <w:rPr>
          <w:i/>
        </w:rPr>
        <w:t xml:space="preserve">Energy and Buildings, 39 </w:t>
      </w:r>
      <w:r>
        <w:t>(4), 454.</w:t>
      </w:r>
    </w:p>
    <w:p w:rsidR="00F3177F" w:rsidRDefault="00F3177F">
      <w:pPr>
        <w:pStyle w:val="BodyText"/>
      </w:pPr>
    </w:p>
    <w:p w:rsidR="00F3177F" w:rsidRDefault="0089671D">
      <w:pPr>
        <w:pStyle w:val="BodyText"/>
        <w:spacing w:before="143" w:line="360" w:lineRule="auto"/>
        <w:ind w:left="1124" w:right="112" w:hanging="540"/>
        <w:jc w:val="both"/>
      </w:pPr>
      <w:r>
        <w:rPr>
          <w:spacing w:val="-3"/>
        </w:rPr>
        <w:t xml:space="preserve">Berner, </w:t>
      </w:r>
      <w:r>
        <w:t xml:space="preserve">M. (1993). Building </w:t>
      </w:r>
      <w:r>
        <w:rPr>
          <w:spacing w:val="-3"/>
        </w:rPr>
        <w:t xml:space="preserve">conditions, parental involvement, and student achievement </w:t>
      </w:r>
      <w:r>
        <w:t xml:space="preserve">in the </w:t>
      </w:r>
      <w:r>
        <w:rPr>
          <w:spacing w:val="-3"/>
        </w:rPr>
        <w:t xml:space="preserve">District </w:t>
      </w:r>
      <w:r>
        <w:t xml:space="preserve">of Columbia </w:t>
      </w:r>
      <w:r>
        <w:rPr>
          <w:spacing w:val="-3"/>
        </w:rPr>
        <w:t xml:space="preserve">public school </w:t>
      </w:r>
      <w:r>
        <w:t xml:space="preserve">system. </w:t>
      </w:r>
      <w:r>
        <w:rPr>
          <w:i/>
        </w:rPr>
        <w:t xml:space="preserve">Urban </w:t>
      </w:r>
      <w:r>
        <w:rPr>
          <w:i/>
          <w:spacing w:val="-3"/>
        </w:rPr>
        <w:t xml:space="preserve">Education, </w:t>
      </w:r>
      <w:r>
        <w:rPr>
          <w:i/>
        </w:rPr>
        <w:t xml:space="preserve">28 </w:t>
      </w:r>
      <w:r>
        <w:rPr>
          <w:spacing w:val="-3"/>
        </w:rPr>
        <w:t>(1), 6-29.</w:t>
      </w:r>
    </w:p>
    <w:p w:rsidR="00F3177F" w:rsidRDefault="00F3177F">
      <w:pPr>
        <w:pStyle w:val="BodyText"/>
      </w:pPr>
    </w:p>
    <w:p w:rsidR="00F3177F" w:rsidRDefault="0089671D">
      <w:pPr>
        <w:spacing w:before="143" w:line="360" w:lineRule="auto"/>
        <w:ind w:left="1124" w:right="112" w:hanging="540"/>
        <w:jc w:val="both"/>
        <w:rPr>
          <w:sz w:val="24"/>
        </w:rPr>
      </w:pPr>
      <w:r>
        <w:rPr>
          <w:sz w:val="24"/>
        </w:rPr>
        <w:t xml:space="preserve">Birchall, S., Wallis, I., Churcher, D., Pezzutto, S., Fedrizzi, R., &amp; Causse, E. (2014). </w:t>
      </w:r>
      <w:r>
        <w:rPr>
          <w:i/>
          <w:sz w:val="24"/>
        </w:rPr>
        <w:t>Survey on the Energy Needs and Architectural Features of the EU Building Stock, iNSPiRe Project</w:t>
      </w:r>
      <w:r>
        <w:rPr>
          <w:sz w:val="24"/>
        </w:rPr>
        <w:t xml:space="preserve">. Retrieved may 25, 2015 from Inspire: </w:t>
      </w:r>
      <w:hyperlink r:id="rId66">
        <w:r>
          <w:rPr>
            <w:sz w:val="24"/>
          </w:rPr>
          <w:t>http://inspirefp7.eu/wp-</w:t>
        </w:r>
      </w:hyperlink>
      <w:r>
        <w:rPr>
          <w:sz w:val="24"/>
        </w:rPr>
        <w:t xml:space="preserve"> content/uploads/2016/08/WP2_D2.1a_20140523_P18_Survey-on-the-energy-</w:t>
      </w:r>
    </w:p>
    <w:p w:rsidR="00F3177F" w:rsidRDefault="0089671D">
      <w:pPr>
        <w:pStyle w:val="BodyText"/>
        <w:spacing w:before="4"/>
        <w:ind w:left="1124" w:right="65"/>
      </w:pPr>
      <w:proofErr w:type="gramStart"/>
      <w:r>
        <w:t>needs-and-architectural-features.pdf</w:t>
      </w:r>
      <w:proofErr w:type="gramEnd"/>
    </w:p>
    <w:p w:rsidR="00F3177F" w:rsidRDefault="00F3177F">
      <w:pPr>
        <w:pStyle w:val="BodyText"/>
      </w:pPr>
    </w:p>
    <w:p w:rsidR="00F3177F" w:rsidRDefault="00F3177F">
      <w:pPr>
        <w:pStyle w:val="BodyText"/>
      </w:pPr>
    </w:p>
    <w:p w:rsidR="00F3177F" w:rsidRDefault="0089671D">
      <w:pPr>
        <w:pStyle w:val="BodyText"/>
        <w:spacing w:line="360" w:lineRule="auto"/>
        <w:ind w:left="1124" w:right="118" w:hanging="540"/>
        <w:jc w:val="both"/>
      </w:pPr>
      <w:r>
        <w:rPr>
          <w:spacing w:val="-3"/>
        </w:rPr>
        <w:t xml:space="preserve">Weschler, </w:t>
      </w:r>
      <w:r>
        <w:t xml:space="preserve">P.J. </w:t>
      </w:r>
      <w:r>
        <w:rPr>
          <w:spacing w:val="-3"/>
        </w:rPr>
        <w:t xml:space="preserve">(n.d.). Population </w:t>
      </w:r>
      <w:r>
        <w:t xml:space="preserve">Kosovo </w:t>
      </w:r>
      <w:r>
        <w:rPr>
          <w:spacing w:val="-3"/>
        </w:rPr>
        <w:t xml:space="preserve">1950-2050. Retrieved August </w:t>
      </w:r>
      <w:r>
        <w:t xml:space="preserve">17, </w:t>
      </w:r>
      <w:r>
        <w:rPr>
          <w:spacing w:val="-3"/>
        </w:rPr>
        <w:t xml:space="preserve">2016, </w:t>
      </w:r>
      <w:r>
        <w:t xml:space="preserve">from </w:t>
      </w:r>
      <w:r>
        <w:rPr>
          <w:spacing w:val="-3"/>
        </w:rPr>
        <w:t>bluemarblecitizen:</w:t>
      </w:r>
      <w:r>
        <w:rPr>
          <w:spacing w:val="50"/>
        </w:rPr>
        <w:t xml:space="preserve"> </w:t>
      </w:r>
      <w:hyperlink r:id="rId67">
        <w:r>
          <w:rPr>
            <w:spacing w:val="-3"/>
          </w:rPr>
          <w:t>http://www.bluemarblecitizen.com/world-population/Kosovo</w:t>
        </w:r>
      </w:hyperlink>
    </w:p>
    <w:p w:rsidR="00F3177F" w:rsidRDefault="00F3177F">
      <w:pPr>
        <w:pStyle w:val="BodyText"/>
      </w:pPr>
    </w:p>
    <w:p w:rsidR="00F3177F" w:rsidRDefault="0089671D">
      <w:pPr>
        <w:pStyle w:val="BodyText"/>
        <w:spacing w:before="143" w:line="360" w:lineRule="auto"/>
        <w:ind w:left="1124" w:right="113" w:hanging="540"/>
        <w:jc w:val="both"/>
      </w:pPr>
      <w:r>
        <w:rPr>
          <w:spacing w:val="-3"/>
        </w:rPr>
        <w:t xml:space="preserve">Bluyssen, P.M., </w:t>
      </w:r>
      <w:r>
        <w:t xml:space="preserve">Janssen, S., van </w:t>
      </w:r>
      <w:r>
        <w:rPr>
          <w:spacing w:val="-3"/>
        </w:rPr>
        <w:t xml:space="preserve">den Brink, L.H., </w:t>
      </w:r>
      <w:r>
        <w:t xml:space="preserve">&amp; de </w:t>
      </w:r>
      <w:r>
        <w:rPr>
          <w:spacing w:val="-3"/>
        </w:rPr>
        <w:t xml:space="preserve">Kluizenaar, </w:t>
      </w:r>
      <w:r>
        <w:t xml:space="preserve">Y. </w:t>
      </w:r>
      <w:r>
        <w:rPr>
          <w:spacing w:val="-3"/>
        </w:rPr>
        <w:t xml:space="preserve">(2011).  Assessment </w:t>
      </w:r>
      <w:r>
        <w:t xml:space="preserve">of wellbeing in an indoor office </w:t>
      </w:r>
      <w:r>
        <w:rPr>
          <w:spacing w:val="-2"/>
        </w:rPr>
        <w:t xml:space="preserve">environment. </w:t>
      </w:r>
      <w:r>
        <w:rPr>
          <w:i/>
        </w:rPr>
        <w:t xml:space="preserve">Building and </w:t>
      </w:r>
      <w:r>
        <w:rPr>
          <w:i/>
          <w:spacing w:val="-3"/>
        </w:rPr>
        <w:t xml:space="preserve">Environment, </w:t>
      </w:r>
      <w:r>
        <w:rPr>
          <w:i/>
        </w:rPr>
        <w:t>46,</w:t>
      </w:r>
      <w:r>
        <w:rPr>
          <w:i/>
          <w:spacing w:val="6"/>
        </w:rPr>
        <w:t xml:space="preserve"> </w:t>
      </w:r>
      <w:r>
        <w:rPr>
          <w:spacing w:val="-3"/>
        </w:rPr>
        <w:t>2632-2640.</w:t>
      </w:r>
    </w:p>
    <w:p w:rsidR="00F3177F" w:rsidRDefault="00F3177F">
      <w:pPr>
        <w:pStyle w:val="BodyText"/>
      </w:pPr>
    </w:p>
    <w:p w:rsidR="00F3177F" w:rsidRDefault="0089671D">
      <w:pPr>
        <w:pStyle w:val="BodyText"/>
        <w:spacing w:before="143" w:line="360" w:lineRule="auto"/>
        <w:ind w:left="1124" w:right="115" w:hanging="540"/>
        <w:jc w:val="both"/>
      </w:pPr>
      <w:r>
        <w:t xml:space="preserve">Boerstra, A., &amp; Van Dijken, F. (2010). Indoor environment and energy efficiency of schools. </w:t>
      </w:r>
      <w:r>
        <w:rPr>
          <w:i/>
        </w:rPr>
        <w:t xml:space="preserve">REHVA Journal, 47 </w:t>
      </w:r>
      <w:r>
        <w:t>(5), 34-8.</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7" w:hanging="540"/>
        <w:jc w:val="both"/>
      </w:pPr>
      <w:r>
        <w:rPr>
          <w:spacing w:val="-3"/>
        </w:rPr>
        <w:lastRenderedPageBreak/>
        <w:t xml:space="preserve">Borgstein, </w:t>
      </w:r>
      <w:r>
        <w:t xml:space="preserve">E.H., &amp; </w:t>
      </w:r>
      <w:r>
        <w:rPr>
          <w:spacing w:val="-3"/>
        </w:rPr>
        <w:t xml:space="preserve">Lamberts, </w:t>
      </w:r>
      <w:r>
        <w:t xml:space="preserve">R. </w:t>
      </w:r>
      <w:r>
        <w:rPr>
          <w:spacing w:val="-3"/>
        </w:rPr>
        <w:t xml:space="preserve">(2014). Developing </w:t>
      </w:r>
      <w:r>
        <w:t xml:space="preserve">energy </w:t>
      </w:r>
      <w:r>
        <w:rPr>
          <w:spacing w:val="-3"/>
        </w:rPr>
        <w:t xml:space="preserve">consumption benchmarks </w:t>
      </w:r>
      <w:r>
        <w:t xml:space="preserve">for </w:t>
      </w:r>
      <w:r>
        <w:rPr>
          <w:spacing w:val="-3"/>
        </w:rPr>
        <w:t xml:space="preserve">buildings: Bank </w:t>
      </w:r>
      <w:r>
        <w:rPr>
          <w:spacing w:val="-2"/>
        </w:rPr>
        <w:t xml:space="preserve">branches </w:t>
      </w:r>
      <w:r>
        <w:t xml:space="preserve">in </w:t>
      </w:r>
      <w:r>
        <w:rPr>
          <w:spacing w:val="-3"/>
        </w:rPr>
        <w:t xml:space="preserve">Brazil. </w:t>
      </w:r>
      <w:r>
        <w:rPr>
          <w:i/>
        </w:rPr>
        <w:t xml:space="preserve">Energy and </w:t>
      </w:r>
      <w:r>
        <w:rPr>
          <w:i/>
          <w:spacing w:val="-3"/>
        </w:rPr>
        <w:t xml:space="preserve">Buildings, </w:t>
      </w:r>
      <w:r>
        <w:rPr>
          <w:i/>
        </w:rPr>
        <w:t xml:space="preserve">82, </w:t>
      </w:r>
      <w:r>
        <w:rPr>
          <w:spacing w:val="-3"/>
        </w:rPr>
        <w:t>82-91.</w:t>
      </w:r>
    </w:p>
    <w:p w:rsidR="00F3177F" w:rsidRDefault="00F3177F">
      <w:pPr>
        <w:pStyle w:val="BodyText"/>
      </w:pPr>
    </w:p>
    <w:p w:rsidR="00F3177F" w:rsidRDefault="0089671D">
      <w:pPr>
        <w:pStyle w:val="BodyText"/>
        <w:spacing w:before="143" w:line="360" w:lineRule="auto"/>
        <w:ind w:left="1124" w:right="114" w:hanging="540"/>
        <w:jc w:val="both"/>
      </w:pPr>
      <w:r>
        <w:rPr>
          <w:spacing w:val="-3"/>
        </w:rPr>
        <w:t xml:space="preserve">Bouchlaghem, </w:t>
      </w:r>
      <w:r>
        <w:t xml:space="preserve">D., Shang, H., Whyte, J., &amp; </w:t>
      </w:r>
      <w:r>
        <w:rPr>
          <w:spacing w:val="-3"/>
        </w:rPr>
        <w:t xml:space="preserve">Ganah, </w:t>
      </w:r>
      <w:r>
        <w:t xml:space="preserve">A. </w:t>
      </w:r>
      <w:r>
        <w:rPr>
          <w:spacing w:val="-3"/>
        </w:rPr>
        <w:t xml:space="preserve">(2005). Visualisation </w:t>
      </w:r>
      <w:r>
        <w:t xml:space="preserve">in </w:t>
      </w:r>
      <w:r>
        <w:rPr>
          <w:spacing w:val="-3"/>
        </w:rPr>
        <w:t xml:space="preserve">architecture, </w:t>
      </w:r>
      <w:r>
        <w:t xml:space="preserve">engineering </w:t>
      </w:r>
      <w:r>
        <w:rPr>
          <w:spacing w:val="-3"/>
        </w:rPr>
        <w:t xml:space="preserve">and construction (AEC). </w:t>
      </w:r>
      <w:r>
        <w:rPr>
          <w:i/>
          <w:spacing w:val="-3"/>
        </w:rPr>
        <w:t xml:space="preserve">Automation </w:t>
      </w:r>
      <w:r>
        <w:rPr>
          <w:i/>
        </w:rPr>
        <w:t xml:space="preserve">in </w:t>
      </w:r>
      <w:r>
        <w:rPr>
          <w:i/>
          <w:spacing w:val="-3"/>
        </w:rPr>
        <w:t xml:space="preserve">Construction, </w:t>
      </w:r>
      <w:r>
        <w:rPr>
          <w:i/>
        </w:rPr>
        <w:t xml:space="preserve">13 </w:t>
      </w:r>
      <w:r>
        <w:rPr>
          <w:spacing w:val="-3"/>
        </w:rPr>
        <w:t>(3),</w:t>
      </w:r>
      <w:r>
        <w:t xml:space="preserve"> </w:t>
      </w:r>
      <w:r>
        <w:rPr>
          <w:spacing w:val="-3"/>
        </w:rPr>
        <w:t>287-295.</w:t>
      </w:r>
    </w:p>
    <w:p w:rsidR="00F3177F" w:rsidRDefault="00F3177F">
      <w:pPr>
        <w:pStyle w:val="BodyText"/>
      </w:pPr>
    </w:p>
    <w:p w:rsidR="00F3177F" w:rsidRDefault="0089671D">
      <w:pPr>
        <w:spacing w:before="143" w:line="360" w:lineRule="auto"/>
        <w:ind w:left="1124" w:right="116" w:hanging="540"/>
        <w:jc w:val="both"/>
        <w:rPr>
          <w:sz w:val="24"/>
        </w:rPr>
      </w:pPr>
      <w:r>
        <w:rPr>
          <w:spacing w:val="-3"/>
          <w:sz w:val="24"/>
        </w:rPr>
        <w:t xml:space="preserve">Bruhns, </w:t>
      </w:r>
      <w:r>
        <w:rPr>
          <w:sz w:val="24"/>
        </w:rPr>
        <w:t xml:space="preserve">H., </w:t>
      </w:r>
      <w:r>
        <w:rPr>
          <w:spacing w:val="-3"/>
          <w:sz w:val="24"/>
        </w:rPr>
        <w:t xml:space="preserve">Jones, </w:t>
      </w:r>
      <w:r>
        <w:rPr>
          <w:sz w:val="24"/>
        </w:rPr>
        <w:t xml:space="preserve">P., &amp; Cohen, R. (2011). </w:t>
      </w:r>
      <w:r>
        <w:rPr>
          <w:i/>
          <w:sz w:val="24"/>
        </w:rPr>
        <w:t xml:space="preserve">CIBSE </w:t>
      </w:r>
      <w:r>
        <w:rPr>
          <w:i/>
          <w:spacing w:val="-3"/>
          <w:sz w:val="24"/>
        </w:rPr>
        <w:t xml:space="preserve">review </w:t>
      </w:r>
      <w:r>
        <w:rPr>
          <w:i/>
          <w:sz w:val="24"/>
        </w:rPr>
        <w:t xml:space="preserve">of </w:t>
      </w:r>
      <w:r>
        <w:rPr>
          <w:i/>
          <w:spacing w:val="-3"/>
          <w:sz w:val="24"/>
        </w:rPr>
        <w:t xml:space="preserve">energy benchmarks </w:t>
      </w:r>
      <w:r>
        <w:rPr>
          <w:i/>
          <w:sz w:val="24"/>
        </w:rPr>
        <w:t xml:space="preserve">for </w:t>
      </w:r>
      <w:r>
        <w:rPr>
          <w:i/>
          <w:spacing w:val="-3"/>
          <w:sz w:val="24"/>
        </w:rPr>
        <w:t xml:space="preserve">display </w:t>
      </w:r>
      <w:r>
        <w:rPr>
          <w:i/>
          <w:sz w:val="24"/>
        </w:rPr>
        <w:t xml:space="preserve">energy </w:t>
      </w:r>
      <w:r>
        <w:rPr>
          <w:i/>
          <w:spacing w:val="-2"/>
          <w:sz w:val="24"/>
        </w:rPr>
        <w:t>certiﬁcates</w:t>
      </w:r>
      <w:r>
        <w:rPr>
          <w:spacing w:val="-2"/>
          <w:sz w:val="24"/>
        </w:rPr>
        <w:t xml:space="preserve">. </w:t>
      </w:r>
      <w:r>
        <w:rPr>
          <w:spacing w:val="-3"/>
          <w:sz w:val="24"/>
        </w:rPr>
        <w:t xml:space="preserve">In: CIBSE technical symposium. Retrieved </w:t>
      </w:r>
      <w:r>
        <w:rPr>
          <w:sz w:val="24"/>
        </w:rPr>
        <w:t xml:space="preserve">June 03, </w:t>
      </w:r>
      <w:r>
        <w:rPr>
          <w:spacing w:val="-3"/>
          <w:sz w:val="24"/>
        </w:rPr>
        <w:t xml:space="preserve">2015, from </w:t>
      </w:r>
      <w:hyperlink r:id="rId68">
        <w:r>
          <w:rPr>
            <w:spacing w:val="-3"/>
            <w:sz w:val="24"/>
            <w:u w:val="single"/>
          </w:rPr>
          <w:t>http://www.cibse.org/content/Technical_Resources/Technical_Reports/</w:t>
        </w:r>
      </w:hyperlink>
      <w:r>
        <w:rPr>
          <w:spacing w:val="-3"/>
          <w:sz w:val="24"/>
          <w:u w:val="single"/>
        </w:rPr>
        <w:t xml:space="preserve"> </w:t>
      </w:r>
      <w:hyperlink r:id="rId69">
        <w:r>
          <w:rPr>
            <w:spacing w:val="-3"/>
            <w:sz w:val="24"/>
            <w:u w:val="single"/>
          </w:rPr>
          <w:t>TechnicalReport_ CIBSEReporton45000DECs.pdf/</w:t>
        </w:r>
      </w:hyperlink>
    </w:p>
    <w:p w:rsidR="00F3177F" w:rsidRDefault="00F3177F">
      <w:pPr>
        <w:pStyle w:val="BodyText"/>
        <w:rPr>
          <w:sz w:val="20"/>
        </w:rPr>
      </w:pPr>
    </w:p>
    <w:p w:rsidR="00F3177F" w:rsidRDefault="00CA6556">
      <w:pPr>
        <w:spacing w:before="189" w:line="360" w:lineRule="auto"/>
        <w:ind w:left="1124" w:right="113" w:hanging="540"/>
        <w:jc w:val="both"/>
        <w:rPr>
          <w:sz w:val="24"/>
        </w:rPr>
      </w:pPr>
      <w:hyperlink r:id="rId70">
        <w:r w:rsidR="0089671D">
          <w:rPr>
            <w:sz w:val="24"/>
          </w:rPr>
          <w:t>Burgos-Jiménez, J.,</w:t>
        </w:r>
      </w:hyperlink>
      <w:r w:rsidR="0089671D">
        <w:rPr>
          <w:sz w:val="24"/>
        </w:rPr>
        <w:t xml:space="preserve"> </w:t>
      </w:r>
      <w:hyperlink r:id="rId71">
        <w:r w:rsidR="0089671D">
          <w:rPr>
            <w:sz w:val="24"/>
          </w:rPr>
          <w:t>Vázquez-Brust, D.,</w:t>
        </w:r>
      </w:hyperlink>
      <w:r w:rsidR="0089671D">
        <w:rPr>
          <w:sz w:val="24"/>
        </w:rPr>
        <w:t xml:space="preserve"> </w:t>
      </w:r>
      <w:hyperlink r:id="rId72">
        <w:r w:rsidR="0089671D">
          <w:rPr>
            <w:sz w:val="24"/>
          </w:rPr>
          <w:t>Plaza-Úbeda, J. A.</w:t>
        </w:r>
      </w:hyperlink>
      <w:r w:rsidR="0089671D">
        <w:rPr>
          <w:sz w:val="24"/>
        </w:rPr>
        <w:t xml:space="preserve">, &amp; </w:t>
      </w:r>
      <w:hyperlink r:id="rId73">
        <w:r w:rsidR="0089671D">
          <w:rPr>
            <w:sz w:val="24"/>
          </w:rPr>
          <w:t>Dijkshoorn, J. (2013).</w:t>
        </w:r>
      </w:hyperlink>
      <w:r w:rsidR="0089671D">
        <w:rPr>
          <w:sz w:val="24"/>
        </w:rPr>
        <w:t xml:space="preserve"> </w:t>
      </w:r>
      <w:hyperlink r:id="rId74">
        <w:r w:rsidR="0089671D">
          <w:rPr>
            <w:sz w:val="24"/>
          </w:rPr>
          <w:t>Environmental protection and financial performance: an empirical analysis in</w:t>
        </w:r>
      </w:hyperlink>
      <w:r w:rsidR="0089671D">
        <w:rPr>
          <w:sz w:val="24"/>
        </w:rPr>
        <w:t xml:space="preserve"> </w:t>
      </w:r>
      <w:hyperlink r:id="rId75">
        <w:r w:rsidR="0089671D">
          <w:rPr>
            <w:sz w:val="24"/>
          </w:rPr>
          <w:t>Wales</w:t>
        </w:r>
      </w:hyperlink>
      <w:r w:rsidR="0089671D">
        <w:rPr>
          <w:sz w:val="24"/>
        </w:rPr>
        <w:t xml:space="preserve">. </w:t>
      </w:r>
      <w:hyperlink r:id="rId76">
        <w:r w:rsidR="0089671D">
          <w:rPr>
            <w:i/>
            <w:sz w:val="24"/>
          </w:rPr>
          <w:t>International Journal of Operations &amp; Production Management</w:t>
        </w:r>
      </w:hyperlink>
      <w:r w:rsidR="0089671D">
        <w:rPr>
          <w:sz w:val="24"/>
        </w:rPr>
        <w:t xml:space="preserve">, </w:t>
      </w:r>
      <w:r w:rsidR="0089671D">
        <w:rPr>
          <w:i/>
          <w:sz w:val="24"/>
        </w:rPr>
        <w:t xml:space="preserve">33, </w:t>
      </w:r>
      <w:r w:rsidR="0089671D">
        <w:rPr>
          <w:sz w:val="24"/>
        </w:rPr>
        <w:t>(8), 981-1018.</w:t>
      </w:r>
    </w:p>
    <w:p w:rsidR="00F3177F" w:rsidRDefault="00F3177F">
      <w:pPr>
        <w:pStyle w:val="BodyText"/>
      </w:pPr>
    </w:p>
    <w:p w:rsidR="00F3177F" w:rsidRDefault="0089671D">
      <w:pPr>
        <w:pStyle w:val="BodyText"/>
        <w:spacing w:before="143" w:line="360" w:lineRule="auto"/>
        <w:ind w:left="1124" w:right="114" w:hanging="540"/>
        <w:jc w:val="both"/>
      </w:pPr>
      <w:r>
        <w:rPr>
          <w:spacing w:val="-3"/>
        </w:rPr>
        <w:t xml:space="preserve">Burman, </w:t>
      </w:r>
      <w:r>
        <w:t xml:space="preserve">E., </w:t>
      </w:r>
      <w:r>
        <w:rPr>
          <w:spacing w:val="-3"/>
        </w:rPr>
        <w:t xml:space="preserve">Mumovic, </w:t>
      </w:r>
      <w:r>
        <w:t xml:space="preserve">D., &amp; Kimpian, J. </w:t>
      </w:r>
      <w:r>
        <w:rPr>
          <w:spacing w:val="-3"/>
        </w:rPr>
        <w:t xml:space="preserve">(2014). Towards measurement </w:t>
      </w:r>
      <w:r>
        <w:t xml:space="preserve">and </w:t>
      </w:r>
      <w:r>
        <w:rPr>
          <w:spacing w:val="-3"/>
        </w:rPr>
        <w:t xml:space="preserve">verification </w:t>
      </w:r>
      <w:r>
        <w:t xml:space="preserve">of energy </w:t>
      </w:r>
      <w:r>
        <w:rPr>
          <w:spacing w:val="-3"/>
        </w:rPr>
        <w:t xml:space="preserve">performance </w:t>
      </w:r>
      <w:r>
        <w:t xml:space="preserve">under the </w:t>
      </w:r>
      <w:r>
        <w:rPr>
          <w:spacing w:val="-2"/>
        </w:rPr>
        <w:t xml:space="preserve">framework </w:t>
      </w:r>
      <w:r>
        <w:t xml:space="preserve">of the </w:t>
      </w:r>
      <w:r>
        <w:rPr>
          <w:spacing w:val="-3"/>
        </w:rPr>
        <w:t xml:space="preserve">European </w:t>
      </w:r>
      <w:r>
        <w:t xml:space="preserve">directive for energy </w:t>
      </w:r>
      <w:r>
        <w:rPr>
          <w:spacing w:val="-3"/>
        </w:rPr>
        <w:t xml:space="preserve">performance </w:t>
      </w:r>
      <w:r>
        <w:t xml:space="preserve">of </w:t>
      </w:r>
      <w:r>
        <w:rPr>
          <w:spacing w:val="-3"/>
        </w:rPr>
        <w:t xml:space="preserve">buildings. </w:t>
      </w:r>
      <w:r>
        <w:rPr>
          <w:i/>
          <w:spacing w:val="-3"/>
        </w:rPr>
        <w:t>Energy</w:t>
      </w:r>
      <w:r>
        <w:rPr>
          <w:spacing w:val="-3"/>
        </w:rPr>
        <w:t xml:space="preserve">, </w:t>
      </w:r>
      <w:r>
        <w:rPr>
          <w:i/>
        </w:rPr>
        <w:t xml:space="preserve">77, </w:t>
      </w:r>
      <w:r>
        <w:t>153-163.</w:t>
      </w:r>
    </w:p>
    <w:p w:rsidR="00F3177F" w:rsidRDefault="00F3177F">
      <w:pPr>
        <w:pStyle w:val="BodyText"/>
      </w:pPr>
    </w:p>
    <w:p w:rsidR="00F3177F" w:rsidRDefault="0089671D">
      <w:pPr>
        <w:pStyle w:val="BodyText"/>
        <w:spacing w:before="143" w:line="360" w:lineRule="auto"/>
        <w:ind w:left="1124" w:right="120" w:hanging="540"/>
        <w:jc w:val="both"/>
      </w:pPr>
      <w:r>
        <w:t xml:space="preserve">Butala, V., &amp; Novak, P., 1999. Energy consumption and potential energy savings in old school buildings. </w:t>
      </w:r>
      <w:r>
        <w:rPr>
          <w:i/>
        </w:rPr>
        <w:t xml:space="preserve">Energy </w:t>
      </w:r>
      <w:proofErr w:type="gramStart"/>
      <w:r>
        <w:rPr>
          <w:i/>
        </w:rPr>
        <w:t>Build</w:t>
      </w:r>
      <w:r>
        <w:t>.,</w:t>
      </w:r>
      <w:proofErr w:type="gramEnd"/>
      <w:r>
        <w:t xml:space="preserve"> </w:t>
      </w:r>
      <w:r>
        <w:rPr>
          <w:i/>
        </w:rPr>
        <w:t xml:space="preserve">29, </w:t>
      </w:r>
      <w:r>
        <w:t>241-246.</w:t>
      </w:r>
    </w:p>
    <w:p w:rsidR="00F3177F" w:rsidRDefault="00F3177F">
      <w:pPr>
        <w:pStyle w:val="BodyText"/>
      </w:pPr>
    </w:p>
    <w:p w:rsidR="00F3177F" w:rsidRDefault="0089671D">
      <w:pPr>
        <w:pStyle w:val="BodyText"/>
        <w:spacing w:before="143" w:line="360" w:lineRule="auto"/>
        <w:ind w:left="1124" w:right="117" w:hanging="540"/>
        <w:jc w:val="both"/>
      </w:pPr>
      <w:r>
        <w:t xml:space="preserve">California Energy Commission, (2005). Implementing California’s Loading Order for Electricity Resources, Staff Report. </w:t>
      </w:r>
      <w:r>
        <w:rPr>
          <w:i/>
        </w:rPr>
        <w:t xml:space="preserve">CEC 400, 043, </w:t>
      </w:r>
      <w:r>
        <w:t>E-1</w:t>
      </w:r>
    </w:p>
    <w:p w:rsidR="00F3177F" w:rsidRDefault="00F3177F">
      <w:pPr>
        <w:pStyle w:val="BodyText"/>
      </w:pPr>
    </w:p>
    <w:p w:rsidR="00F3177F" w:rsidRDefault="0089671D">
      <w:pPr>
        <w:spacing w:before="143" w:line="360" w:lineRule="auto"/>
        <w:ind w:left="1124" w:right="118" w:hanging="540"/>
        <w:jc w:val="both"/>
        <w:rPr>
          <w:sz w:val="24"/>
        </w:rPr>
      </w:pPr>
      <w:r>
        <w:rPr>
          <w:spacing w:val="-3"/>
          <w:sz w:val="24"/>
        </w:rPr>
        <w:t xml:space="preserve">Camp, </w:t>
      </w:r>
      <w:r>
        <w:rPr>
          <w:sz w:val="24"/>
        </w:rPr>
        <w:t xml:space="preserve">R.C. </w:t>
      </w:r>
      <w:r>
        <w:rPr>
          <w:spacing w:val="-3"/>
          <w:sz w:val="24"/>
        </w:rPr>
        <w:t xml:space="preserve">(1989). </w:t>
      </w:r>
      <w:r>
        <w:rPr>
          <w:i/>
          <w:sz w:val="24"/>
        </w:rPr>
        <w:t xml:space="preserve">Benchmarking: The Search for </w:t>
      </w:r>
      <w:r>
        <w:rPr>
          <w:i/>
          <w:spacing w:val="-3"/>
          <w:sz w:val="24"/>
        </w:rPr>
        <w:t xml:space="preserve">Industry </w:t>
      </w:r>
      <w:r>
        <w:rPr>
          <w:i/>
          <w:sz w:val="24"/>
        </w:rPr>
        <w:t xml:space="preserve">Best </w:t>
      </w:r>
      <w:r>
        <w:rPr>
          <w:i/>
          <w:spacing w:val="-3"/>
          <w:sz w:val="24"/>
        </w:rPr>
        <w:t xml:space="preserve">Practices </w:t>
      </w:r>
      <w:r>
        <w:rPr>
          <w:i/>
          <w:sz w:val="24"/>
        </w:rPr>
        <w:t xml:space="preserve">That </w:t>
      </w:r>
      <w:r>
        <w:rPr>
          <w:i/>
          <w:spacing w:val="-3"/>
          <w:sz w:val="24"/>
        </w:rPr>
        <w:t xml:space="preserve">Lead </w:t>
      </w:r>
      <w:r>
        <w:rPr>
          <w:i/>
          <w:sz w:val="24"/>
        </w:rPr>
        <w:t xml:space="preserve">to </w:t>
      </w:r>
      <w:r>
        <w:rPr>
          <w:i/>
          <w:spacing w:val="-3"/>
          <w:sz w:val="24"/>
        </w:rPr>
        <w:t>Superior Performance</w:t>
      </w:r>
      <w:r>
        <w:rPr>
          <w:spacing w:val="-3"/>
          <w:sz w:val="24"/>
        </w:rPr>
        <w:t xml:space="preserve">. </w:t>
      </w:r>
      <w:r>
        <w:rPr>
          <w:sz w:val="24"/>
        </w:rPr>
        <w:t xml:space="preserve">Portland, </w:t>
      </w:r>
      <w:r>
        <w:rPr>
          <w:spacing w:val="-3"/>
          <w:sz w:val="24"/>
        </w:rPr>
        <w:t xml:space="preserve">Ore.: </w:t>
      </w:r>
      <w:r>
        <w:rPr>
          <w:sz w:val="24"/>
        </w:rPr>
        <w:t xml:space="preserve">ASQC Quality </w:t>
      </w:r>
      <w:r>
        <w:rPr>
          <w:spacing w:val="-3"/>
          <w:sz w:val="24"/>
        </w:rPr>
        <w:t>Press.</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spacing w:before="54" w:line="360" w:lineRule="auto"/>
        <w:ind w:left="1124" w:right="113" w:hanging="540"/>
        <w:jc w:val="both"/>
        <w:rPr>
          <w:sz w:val="24"/>
        </w:rPr>
      </w:pPr>
      <w:r>
        <w:rPr>
          <w:sz w:val="24"/>
        </w:rPr>
        <w:lastRenderedPageBreak/>
        <w:t xml:space="preserve">Carbon Footprint Calculator. (n.d.). </w:t>
      </w:r>
      <w:r>
        <w:rPr>
          <w:i/>
          <w:sz w:val="24"/>
        </w:rPr>
        <w:t>Household carbon footprint calculator</w:t>
      </w:r>
      <w:r>
        <w:rPr>
          <w:sz w:val="24"/>
        </w:rPr>
        <w:t xml:space="preserve">. Retrieved May 7, 2105, from </w:t>
      </w:r>
      <w:hyperlink r:id="rId77">
        <w:r>
          <w:rPr>
            <w:sz w:val="24"/>
          </w:rPr>
          <w:t>http://calculator.carbonfootprint.com/calculator.aspx?tab=2</w:t>
        </w:r>
      </w:hyperlink>
    </w:p>
    <w:p w:rsidR="00F3177F" w:rsidRDefault="00F3177F">
      <w:pPr>
        <w:pStyle w:val="BodyText"/>
      </w:pPr>
    </w:p>
    <w:p w:rsidR="00F3177F" w:rsidRDefault="0089671D">
      <w:pPr>
        <w:spacing w:before="143"/>
        <w:ind w:left="584" w:right="-16"/>
        <w:rPr>
          <w:i/>
          <w:sz w:val="24"/>
        </w:rPr>
      </w:pPr>
      <w:r>
        <w:rPr>
          <w:sz w:val="24"/>
        </w:rPr>
        <w:t xml:space="preserve">Carbon Trust. (2005). </w:t>
      </w:r>
      <w:r>
        <w:rPr>
          <w:i/>
          <w:sz w:val="24"/>
        </w:rPr>
        <w:t xml:space="preserve">Good Practice Guide: Saving Energy—A Whole </w:t>
      </w:r>
      <w:proofErr w:type="gramStart"/>
      <w:r>
        <w:rPr>
          <w:i/>
          <w:sz w:val="24"/>
        </w:rPr>
        <w:t>School  Approach</w:t>
      </w:r>
      <w:proofErr w:type="gramEnd"/>
    </w:p>
    <w:p w:rsidR="00F3177F" w:rsidRDefault="0089671D">
      <w:pPr>
        <w:pStyle w:val="BodyText"/>
        <w:spacing w:before="139"/>
        <w:ind w:left="1124" w:right="65"/>
      </w:pPr>
      <w:r>
        <w:t>(GPG343). London, UK: Carbon Trust.</w:t>
      </w:r>
    </w:p>
    <w:p w:rsidR="00F3177F" w:rsidRDefault="00F3177F">
      <w:pPr>
        <w:pStyle w:val="BodyText"/>
      </w:pPr>
    </w:p>
    <w:p w:rsidR="00F3177F" w:rsidRDefault="00F3177F">
      <w:pPr>
        <w:pStyle w:val="BodyText"/>
      </w:pPr>
    </w:p>
    <w:p w:rsidR="00F3177F" w:rsidRDefault="0089671D">
      <w:pPr>
        <w:ind w:left="584" w:right="-16"/>
        <w:rPr>
          <w:i/>
          <w:sz w:val="24"/>
        </w:rPr>
      </w:pPr>
      <w:r>
        <w:rPr>
          <w:sz w:val="24"/>
        </w:rPr>
        <w:t xml:space="preserve">Carbon Trust. (2012). </w:t>
      </w:r>
      <w:r>
        <w:rPr>
          <w:i/>
          <w:sz w:val="24"/>
        </w:rPr>
        <w:t xml:space="preserve">Schools: Learning to Improve Energy efficiency: </w:t>
      </w:r>
      <w:proofErr w:type="gramStart"/>
      <w:r>
        <w:rPr>
          <w:i/>
          <w:sz w:val="24"/>
        </w:rPr>
        <w:t>Sector  Overview</w:t>
      </w:r>
      <w:proofErr w:type="gramEnd"/>
    </w:p>
    <w:p w:rsidR="00F3177F" w:rsidRDefault="0089671D">
      <w:pPr>
        <w:pStyle w:val="BodyText"/>
        <w:spacing w:before="137"/>
        <w:ind w:left="1124" w:right="65"/>
      </w:pPr>
      <w:r>
        <w:t>(CTV019). London, UK: Carbon Trust.</w:t>
      </w:r>
    </w:p>
    <w:p w:rsidR="00F3177F" w:rsidRDefault="00F3177F">
      <w:pPr>
        <w:pStyle w:val="BodyText"/>
      </w:pPr>
    </w:p>
    <w:p w:rsidR="00F3177F" w:rsidRDefault="00F3177F">
      <w:pPr>
        <w:pStyle w:val="BodyText"/>
      </w:pPr>
    </w:p>
    <w:p w:rsidR="00F3177F" w:rsidRDefault="0089671D">
      <w:pPr>
        <w:pStyle w:val="BodyText"/>
        <w:ind w:left="584" w:right="65"/>
      </w:pPr>
      <w:r>
        <w:t>Catalina, T., &amp; Iordache, V. (2012). IEQ assessment on schools in the design stage.</w:t>
      </w:r>
    </w:p>
    <w:p w:rsidR="00F3177F" w:rsidRDefault="0089671D">
      <w:pPr>
        <w:spacing w:before="139"/>
        <w:ind w:left="1124" w:right="65"/>
        <w:rPr>
          <w:sz w:val="24"/>
        </w:rPr>
      </w:pPr>
      <w:r>
        <w:rPr>
          <w:i/>
          <w:sz w:val="24"/>
        </w:rPr>
        <w:t xml:space="preserve">Building and Environment, 49, </w:t>
      </w:r>
      <w:r>
        <w:rPr>
          <w:sz w:val="24"/>
        </w:rPr>
        <w:t>129-140.</w:t>
      </w:r>
    </w:p>
    <w:p w:rsidR="00F3177F" w:rsidRDefault="00F3177F">
      <w:pPr>
        <w:pStyle w:val="BodyText"/>
      </w:pPr>
    </w:p>
    <w:p w:rsidR="00F3177F" w:rsidRDefault="00F3177F">
      <w:pPr>
        <w:pStyle w:val="BodyText"/>
      </w:pPr>
    </w:p>
    <w:p w:rsidR="00F3177F" w:rsidRDefault="0089671D">
      <w:pPr>
        <w:pStyle w:val="BodyText"/>
        <w:spacing w:line="360" w:lineRule="auto"/>
        <w:ind w:left="1124" w:right="117" w:hanging="540"/>
        <w:jc w:val="both"/>
      </w:pPr>
      <w:r>
        <w:rPr>
          <w:spacing w:val="-3"/>
        </w:rPr>
        <w:t xml:space="preserve">Chung, </w:t>
      </w:r>
      <w:r>
        <w:t xml:space="preserve">H.M., &amp; Rhee, </w:t>
      </w:r>
      <w:r>
        <w:rPr>
          <w:spacing w:val="-3"/>
        </w:rPr>
        <w:t xml:space="preserve">K.E. </w:t>
      </w:r>
      <w:r>
        <w:t xml:space="preserve">(2014). </w:t>
      </w:r>
      <w:r>
        <w:rPr>
          <w:spacing w:val="-3"/>
        </w:rPr>
        <w:t xml:space="preserve">Potential opportunities </w:t>
      </w:r>
      <w:r>
        <w:t xml:space="preserve">for energy </w:t>
      </w:r>
      <w:r>
        <w:rPr>
          <w:spacing w:val="-3"/>
        </w:rPr>
        <w:t xml:space="preserve">conservation </w:t>
      </w:r>
      <w:r>
        <w:t xml:space="preserve">in </w:t>
      </w:r>
      <w:r>
        <w:rPr>
          <w:spacing w:val="-2"/>
        </w:rPr>
        <w:t xml:space="preserve">existing </w:t>
      </w:r>
      <w:r>
        <w:rPr>
          <w:spacing w:val="-3"/>
        </w:rPr>
        <w:t xml:space="preserve">buildings </w:t>
      </w:r>
      <w:r>
        <w:t xml:space="preserve">on university </w:t>
      </w:r>
      <w:r>
        <w:rPr>
          <w:spacing w:val="-3"/>
        </w:rPr>
        <w:t xml:space="preserve">campus: </w:t>
      </w:r>
      <w:r>
        <w:t xml:space="preserve">a </w:t>
      </w:r>
      <w:r>
        <w:rPr>
          <w:spacing w:val="-3"/>
        </w:rPr>
        <w:t xml:space="preserve">field </w:t>
      </w:r>
      <w:r>
        <w:t xml:space="preserve">survey in Korea, </w:t>
      </w:r>
      <w:r>
        <w:rPr>
          <w:i/>
          <w:spacing w:val="-3"/>
        </w:rPr>
        <w:t xml:space="preserve">Energy </w:t>
      </w:r>
      <w:r>
        <w:rPr>
          <w:i/>
        </w:rPr>
        <w:t>Build</w:t>
      </w:r>
      <w:r>
        <w:t xml:space="preserve">., </w:t>
      </w:r>
      <w:r>
        <w:rPr>
          <w:i/>
        </w:rPr>
        <w:t>78</w:t>
      </w:r>
      <w:r>
        <w:t xml:space="preserve">, </w:t>
      </w:r>
      <w:r>
        <w:rPr>
          <w:spacing w:val="-3"/>
        </w:rPr>
        <w:t>176-182.</w:t>
      </w:r>
    </w:p>
    <w:p w:rsidR="00F3177F" w:rsidRDefault="00F3177F">
      <w:pPr>
        <w:pStyle w:val="BodyText"/>
      </w:pPr>
    </w:p>
    <w:p w:rsidR="00F3177F" w:rsidRDefault="0089671D">
      <w:pPr>
        <w:pStyle w:val="BodyText"/>
        <w:spacing w:before="143" w:line="360" w:lineRule="auto"/>
        <w:ind w:left="1124" w:right="117" w:hanging="540"/>
        <w:jc w:val="both"/>
      </w:pPr>
      <w:r>
        <w:t xml:space="preserve">Chung, W., Hui, Y.V., &amp; Lam, Y.M, (2006). Benchmarking The Energy Efficiency Of Comercial Buildings, </w:t>
      </w:r>
      <w:r>
        <w:rPr>
          <w:i/>
        </w:rPr>
        <w:t>Applied Energy</w:t>
      </w:r>
      <w:r>
        <w:t xml:space="preserve">, </w:t>
      </w:r>
      <w:r>
        <w:rPr>
          <w:i/>
        </w:rPr>
        <w:t xml:space="preserve">83, </w:t>
      </w:r>
      <w:r>
        <w:t>1-14.</w:t>
      </w:r>
    </w:p>
    <w:p w:rsidR="00F3177F" w:rsidRDefault="00F3177F">
      <w:pPr>
        <w:pStyle w:val="BodyText"/>
      </w:pPr>
    </w:p>
    <w:p w:rsidR="00F3177F" w:rsidRDefault="0089671D">
      <w:pPr>
        <w:pStyle w:val="BodyText"/>
        <w:spacing w:before="143" w:line="360" w:lineRule="auto"/>
        <w:ind w:left="1124" w:right="116" w:hanging="540"/>
        <w:jc w:val="both"/>
      </w:pPr>
      <w:r>
        <w:rPr>
          <w:spacing w:val="-3"/>
        </w:rPr>
        <w:t xml:space="preserve">Chartered Institution </w:t>
      </w:r>
      <w:r>
        <w:t xml:space="preserve">of Building </w:t>
      </w:r>
      <w:r>
        <w:rPr>
          <w:spacing w:val="-3"/>
        </w:rPr>
        <w:t xml:space="preserve">Services </w:t>
      </w:r>
      <w:r>
        <w:t xml:space="preserve">Engineers, </w:t>
      </w:r>
      <w:r>
        <w:rPr>
          <w:spacing w:val="-3"/>
        </w:rPr>
        <w:t xml:space="preserve">Lighting Industry Federation (Great Britain), </w:t>
      </w:r>
      <w:r>
        <w:t xml:space="preserve">&amp; Society of Light </w:t>
      </w:r>
      <w:r>
        <w:rPr>
          <w:spacing w:val="-3"/>
        </w:rPr>
        <w:t xml:space="preserve">and Lighting (Eds.). (2004). </w:t>
      </w:r>
      <w:r>
        <w:rPr>
          <w:i/>
        </w:rPr>
        <w:t>Code for lighting</w:t>
      </w:r>
      <w:r>
        <w:t xml:space="preserve">. </w:t>
      </w:r>
      <w:r>
        <w:rPr>
          <w:spacing w:val="-3"/>
        </w:rPr>
        <w:t xml:space="preserve">London: CIBSE, Lighting </w:t>
      </w:r>
      <w:r>
        <w:t xml:space="preserve">Industry </w:t>
      </w:r>
      <w:r>
        <w:rPr>
          <w:spacing w:val="-3"/>
        </w:rPr>
        <w:t>Federation.</w:t>
      </w:r>
    </w:p>
    <w:p w:rsidR="00F3177F" w:rsidRDefault="00F3177F">
      <w:pPr>
        <w:pStyle w:val="BodyText"/>
      </w:pPr>
    </w:p>
    <w:p w:rsidR="00F3177F" w:rsidRDefault="0089671D">
      <w:pPr>
        <w:spacing w:before="143"/>
        <w:ind w:left="584" w:right="65"/>
        <w:rPr>
          <w:sz w:val="24"/>
        </w:rPr>
      </w:pPr>
      <w:proofErr w:type="gramStart"/>
      <w:r>
        <w:rPr>
          <w:spacing w:val="-3"/>
          <w:sz w:val="24"/>
        </w:rPr>
        <w:t xml:space="preserve">Construction  </w:t>
      </w:r>
      <w:r>
        <w:rPr>
          <w:sz w:val="24"/>
        </w:rPr>
        <w:t>Industry</w:t>
      </w:r>
      <w:proofErr w:type="gramEnd"/>
      <w:r>
        <w:rPr>
          <w:sz w:val="24"/>
        </w:rPr>
        <w:t xml:space="preserve">  </w:t>
      </w:r>
      <w:r>
        <w:rPr>
          <w:spacing w:val="-3"/>
          <w:sz w:val="24"/>
        </w:rPr>
        <w:t xml:space="preserve">Institute.  </w:t>
      </w:r>
      <w:r>
        <w:rPr>
          <w:sz w:val="24"/>
        </w:rPr>
        <w:t xml:space="preserve">(1995). </w:t>
      </w:r>
      <w:proofErr w:type="gramStart"/>
      <w:r>
        <w:rPr>
          <w:i/>
          <w:spacing w:val="-3"/>
          <w:sz w:val="24"/>
        </w:rPr>
        <w:t>Construction  Industry</w:t>
      </w:r>
      <w:proofErr w:type="gramEnd"/>
      <w:r>
        <w:rPr>
          <w:i/>
          <w:spacing w:val="-3"/>
          <w:sz w:val="24"/>
        </w:rPr>
        <w:t xml:space="preserve">  Institute  </w:t>
      </w:r>
      <w:r>
        <w:rPr>
          <w:i/>
          <w:sz w:val="24"/>
        </w:rPr>
        <w:t>Data    Report</w:t>
      </w:r>
      <w:r>
        <w:rPr>
          <w:sz w:val="24"/>
        </w:rPr>
        <w:t>.</w:t>
      </w:r>
    </w:p>
    <w:p w:rsidR="00F3177F" w:rsidRDefault="0089671D">
      <w:pPr>
        <w:pStyle w:val="BodyText"/>
        <w:spacing w:before="139"/>
        <w:ind w:left="1124" w:right="65"/>
      </w:pPr>
      <w:r>
        <w:t>Austin, USA: CII.</w:t>
      </w:r>
    </w:p>
    <w:p w:rsidR="00F3177F" w:rsidRDefault="00F3177F">
      <w:pPr>
        <w:pStyle w:val="BodyText"/>
      </w:pPr>
    </w:p>
    <w:p w:rsidR="00F3177F" w:rsidRDefault="00F3177F">
      <w:pPr>
        <w:pStyle w:val="BodyText"/>
      </w:pPr>
    </w:p>
    <w:p w:rsidR="00F3177F" w:rsidRDefault="0089671D">
      <w:pPr>
        <w:spacing w:line="360" w:lineRule="auto"/>
        <w:ind w:left="1124" w:right="115" w:hanging="540"/>
        <w:jc w:val="both"/>
        <w:rPr>
          <w:sz w:val="24"/>
        </w:rPr>
      </w:pPr>
      <w:r>
        <w:rPr>
          <w:sz w:val="24"/>
        </w:rPr>
        <w:t xml:space="preserve">CISCA. (2009). </w:t>
      </w:r>
      <w:r>
        <w:rPr>
          <w:i/>
          <w:sz w:val="24"/>
        </w:rPr>
        <w:t>Acoustics in Schools Prepared by the InformeDesign®</w:t>
      </w:r>
      <w:r>
        <w:rPr>
          <w:sz w:val="24"/>
        </w:rPr>
        <w:t>. University of Minnesota, Minnesota, USA: CISCA.</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tabs>
          <w:tab w:val="left" w:pos="2777"/>
          <w:tab w:val="left" w:pos="3212"/>
          <w:tab w:val="left" w:pos="4100"/>
          <w:tab w:val="left" w:pos="5139"/>
          <w:tab w:val="left" w:pos="5634"/>
          <w:tab w:val="left" w:pos="6841"/>
          <w:tab w:val="left" w:pos="8030"/>
          <w:tab w:val="left" w:pos="8664"/>
        </w:tabs>
        <w:spacing w:before="54"/>
        <w:ind w:left="584" w:right="65"/>
        <w:rPr>
          <w:sz w:val="24"/>
        </w:rPr>
      </w:pPr>
      <w:r>
        <w:rPr>
          <w:spacing w:val="-3"/>
          <w:sz w:val="24"/>
        </w:rPr>
        <w:lastRenderedPageBreak/>
        <w:t>Clements-Croome,</w:t>
      </w:r>
      <w:r>
        <w:rPr>
          <w:spacing w:val="-3"/>
          <w:sz w:val="24"/>
        </w:rPr>
        <w:tab/>
      </w:r>
      <w:r>
        <w:rPr>
          <w:sz w:val="24"/>
        </w:rPr>
        <w:t>D.</w:t>
      </w:r>
      <w:r>
        <w:rPr>
          <w:sz w:val="24"/>
        </w:rPr>
        <w:tab/>
      </w:r>
      <w:r>
        <w:rPr>
          <w:spacing w:val="-3"/>
          <w:sz w:val="24"/>
        </w:rPr>
        <w:t>(2006).</w:t>
      </w:r>
      <w:r>
        <w:rPr>
          <w:spacing w:val="-3"/>
          <w:sz w:val="24"/>
        </w:rPr>
        <w:tab/>
      </w:r>
      <w:r>
        <w:rPr>
          <w:i/>
          <w:spacing w:val="-3"/>
          <w:sz w:val="24"/>
        </w:rPr>
        <w:t>Creating</w:t>
      </w:r>
      <w:r>
        <w:rPr>
          <w:i/>
          <w:spacing w:val="-3"/>
          <w:sz w:val="24"/>
        </w:rPr>
        <w:tab/>
      </w:r>
      <w:r>
        <w:rPr>
          <w:i/>
          <w:sz w:val="24"/>
        </w:rPr>
        <w:t>the</w:t>
      </w:r>
      <w:r>
        <w:rPr>
          <w:i/>
          <w:sz w:val="24"/>
        </w:rPr>
        <w:tab/>
      </w:r>
      <w:r>
        <w:rPr>
          <w:i/>
          <w:spacing w:val="-3"/>
          <w:sz w:val="24"/>
        </w:rPr>
        <w:t>productive</w:t>
      </w:r>
      <w:r>
        <w:rPr>
          <w:i/>
          <w:spacing w:val="-3"/>
          <w:sz w:val="24"/>
        </w:rPr>
        <w:tab/>
      </w:r>
      <w:r>
        <w:rPr>
          <w:i/>
          <w:sz w:val="24"/>
        </w:rPr>
        <w:t>workplace</w:t>
      </w:r>
      <w:r>
        <w:rPr>
          <w:i/>
          <w:sz w:val="24"/>
        </w:rPr>
        <w:tab/>
      </w:r>
      <w:r>
        <w:rPr>
          <w:spacing w:val="-3"/>
          <w:sz w:val="24"/>
        </w:rPr>
        <w:t>(2nd</w:t>
      </w:r>
      <w:r>
        <w:rPr>
          <w:spacing w:val="-3"/>
          <w:sz w:val="24"/>
        </w:rPr>
        <w:tab/>
      </w:r>
      <w:proofErr w:type="gramStart"/>
      <w:r>
        <w:rPr>
          <w:spacing w:val="-3"/>
          <w:sz w:val="24"/>
        </w:rPr>
        <w:t>ed</w:t>
      </w:r>
      <w:proofErr w:type="gramEnd"/>
      <w:r>
        <w:rPr>
          <w:spacing w:val="-3"/>
          <w:sz w:val="24"/>
        </w:rPr>
        <w:t>.).</w:t>
      </w:r>
    </w:p>
    <w:p w:rsidR="00F3177F" w:rsidRDefault="0089671D">
      <w:pPr>
        <w:pStyle w:val="BodyText"/>
        <w:spacing w:before="137"/>
        <w:ind w:left="1124" w:right="65"/>
      </w:pPr>
      <w:r>
        <w:t>SponRoutledge: Taylor &amp;Francis. p. 424.</w:t>
      </w:r>
    </w:p>
    <w:p w:rsidR="00F3177F" w:rsidRDefault="00F3177F">
      <w:pPr>
        <w:pStyle w:val="BodyText"/>
      </w:pPr>
    </w:p>
    <w:p w:rsidR="00F3177F" w:rsidRDefault="00F3177F">
      <w:pPr>
        <w:pStyle w:val="BodyText"/>
      </w:pPr>
    </w:p>
    <w:p w:rsidR="00F3177F" w:rsidRDefault="0089671D">
      <w:pPr>
        <w:pStyle w:val="BodyText"/>
        <w:ind w:left="584" w:right="-16"/>
      </w:pPr>
      <w:r>
        <w:t xml:space="preserve">Clements-Croome,   D.  </w:t>
      </w:r>
      <w:proofErr w:type="gramStart"/>
      <w:r>
        <w:t>J.  (</w:t>
      </w:r>
      <w:proofErr w:type="gramEnd"/>
      <w:r>
        <w:t xml:space="preserve">2008).   </w:t>
      </w:r>
      <w:proofErr w:type="gramStart"/>
      <w:r>
        <w:t>Work  Performance</w:t>
      </w:r>
      <w:proofErr w:type="gramEnd"/>
      <w:r>
        <w:t>,   Productivity  and  Indoor   Air.</w:t>
      </w:r>
    </w:p>
    <w:p w:rsidR="00F3177F" w:rsidRDefault="0089671D">
      <w:pPr>
        <w:spacing w:before="139"/>
        <w:ind w:left="1032" w:right="595"/>
        <w:jc w:val="center"/>
        <w:rPr>
          <w:sz w:val="24"/>
        </w:rPr>
      </w:pPr>
      <w:r>
        <w:rPr>
          <w:i/>
          <w:sz w:val="24"/>
        </w:rPr>
        <w:t xml:space="preserve">Scandinavian Journal of Work Environment and Health Supplement, 4, </w:t>
      </w:r>
      <w:r>
        <w:rPr>
          <w:sz w:val="24"/>
        </w:rPr>
        <w:t>69-78.</w:t>
      </w:r>
    </w:p>
    <w:p w:rsidR="00F3177F" w:rsidRDefault="00F3177F">
      <w:pPr>
        <w:pStyle w:val="BodyText"/>
      </w:pPr>
    </w:p>
    <w:p w:rsidR="00F3177F" w:rsidRDefault="00F3177F">
      <w:pPr>
        <w:pStyle w:val="BodyText"/>
      </w:pPr>
    </w:p>
    <w:p w:rsidR="00F3177F" w:rsidRDefault="0089671D">
      <w:pPr>
        <w:pStyle w:val="BodyText"/>
        <w:spacing w:line="360" w:lineRule="auto"/>
        <w:ind w:left="1124" w:right="114" w:hanging="540"/>
        <w:jc w:val="both"/>
      </w:pPr>
      <w:r>
        <w:rPr>
          <w:spacing w:val="-3"/>
        </w:rPr>
        <w:t xml:space="preserve">National Research </w:t>
      </w:r>
      <w:r>
        <w:t xml:space="preserve">Council. </w:t>
      </w:r>
      <w:r>
        <w:rPr>
          <w:spacing w:val="-3"/>
        </w:rPr>
        <w:t xml:space="preserve">2006. </w:t>
      </w:r>
      <w:r>
        <w:rPr>
          <w:spacing w:val="-2"/>
        </w:rPr>
        <w:t xml:space="preserve">Review </w:t>
      </w:r>
      <w:r>
        <w:t xml:space="preserve">and </w:t>
      </w:r>
      <w:r>
        <w:rPr>
          <w:spacing w:val="-3"/>
        </w:rPr>
        <w:t xml:space="preserve">Assessment </w:t>
      </w:r>
      <w:r>
        <w:t xml:space="preserve">of the </w:t>
      </w:r>
      <w:r>
        <w:rPr>
          <w:spacing w:val="-2"/>
        </w:rPr>
        <w:t xml:space="preserve">Health </w:t>
      </w:r>
      <w:r>
        <w:t xml:space="preserve">and Productivity </w:t>
      </w:r>
      <w:r>
        <w:rPr>
          <w:spacing w:val="-3"/>
        </w:rPr>
        <w:t xml:space="preserve">Benefits </w:t>
      </w:r>
      <w:r>
        <w:t xml:space="preserve">of </w:t>
      </w:r>
      <w:r>
        <w:rPr>
          <w:spacing w:val="-3"/>
        </w:rPr>
        <w:t xml:space="preserve">Green Schools: </w:t>
      </w:r>
      <w:r>
        <w:t xml:space="preserve">An </w:t>
      </w:r>
      <w:r>
        <w:rPr>
          <w:spacing w:val="-3"/>
        </w:rPr>
        <w:t xml:space="preserve">Interim Report. Washington, </w:t>
      </w:r>
      <w:r>
        <w:t xml:space="preserve">DC: The </w:t>
      </w:r>
      <w:r>
        <w:rPr>
          <w:spacing w:val="-3"/>
        </w:rPr>
        <w:t>National Academies Press. https://doi.org/10.17226/11574</w:t>
      </w:r>
    </w:p>
    <w:p w:rsidR="00F3177F" w:rsidRDefault="00F3177F">
      <w:pPr>
        <w:pStyle w:val="BodyText"/>
      </w:pPr>
    </w:p>
    <w:p w:rsidR="00F3177F" w:rsidRDefault="0089671D">
      <w:pPr>
        <w:pStyle w:val="BodyText"/>
        <w:spacing w:before="143" w:line="360" w:lineRule="auto"/>
        <w:ind w:left="1124" w:right="114" w:hanging="540"/>
        <w:jc w:val="both"/>
      </w:pPr>
      <w:r>
        <w:t xml:space="preserve">Conceiçao, E.Z.E., Lu´cio, M.M.J.R., Ruano, A.E.B., &amp; Crispim, E.M. (2009). Development of a temperature control model used in HVAC systems in school spaces in Mediterranean climate. </w:t>
      </w:r>
      <w:r>
        <w:rPr>
          <w:i/>
        </w:rPr>
        <w:t xml:space="preserve">Building and Environment, 44, </w:t>
      </w:r>
      <w:r>
        <w:t>871–877.</w:t>
      </w:r>
    </w:p>
    <w:p w:rsidR="00F3177F" w:rsidRDefault="00F3177F">
      <w:pPr>
        <w:pStyle w:val="BodyText"/>
      </w:pPr>
    </w:p>
    <w:p w:rsidR="00F3177F" w:rsidRDefault="0089671D">
      <w:pPr>
        <w:pStyle w:val="BodyText"/>
        <w:spacing w:before="143" w:line="360" w:lineRule="auto"/>
        <w:ind w:left="1124" w:right="117" w:hanging="540"/>
        <w:jc w:val="both"/>
      </w:pPr>
      <w:r>
        <w:t xml:space="preserve">Corgnati, S.P., Viazzo, S., &amp; Filippi, M.A. (2008). Method for heating consumption assessment in existing buildings: a field survey concerning 120 Italian schools. </w:t>
      </w:r>
      <w:r>
        <w:rPr>
          <w:i/>
        </w:rPr>
        <w:t xml:space="preserve">Energy </w:t>
      </w:r>
      <w:proofErr w:type="gramStart"/>
      <w:r>
        <w:rPr>
          <w:i/>
        </w:rPr>
        <w:t>Build</w:t>
      </w:r>
      <w:r>
        <w:t>.,</w:t>
      </w:r>
      <w:proofErr w:type="gramEnd"/>
      <w:r>
        <w:t xml:space="preserve"> </w:t>
      </w:r>
      <w:r>
        <w:rPr>
          <w:i/>
        </w:rPr>
        <w:t>40</w:t>
      </w:r>
      <w:r>
        <w:t>, 801-809.</w:t>
      </w:r>
    </w:p>
    <w:p w:rsidR="00F3177F" w:rsidRDefault="00F3177F">
      <w:pPr>
        <w:pStyle w:val="BodyText"/>
      </w:pPr>
    </w:p>
    <w:p w:rsidR="00F3177F" w:rsidRDefault="0089671D">
      <w:pPr>
        <w:pStyle w:val="BodyText"/>
        <w:spacing w:before="143" w:line="360" w:lineRule="auto"/>
        <w:ind w:left="1124" w:right="114" w:hanging="540"/>
        <w:jc w:val="both"/>
      </w:pPr>
      <w:r>
        <w:t xml:space="preserve">Corgnati, S.P., Ansaldi, R., &amp; Filippi, M.A. (2009, April). Thermal comfort in Italian classrooms under free running conditions during mid seasons: assessment through objective and subjective approaches. </w:t>
      </w:r>
      <w:r>
        <w:rPr>
          <w:i/>
        </w:rPr>
        <w:t xml:space="preserve">Build Environ, 44 </w:t>
      </w:r>
      <w:r>
        <w:t>(4), 785-92.</w:t>
      </w:r>
    </w:p>
    <w:p w:rsidR="00F3177F" w:rsidRDefault="00F3177F">
      <w:pPr>
        <w:pStyle w:val="BodyText"/>
      </w:pPr>
    </w:p>
    <w:p w:rsidR="00F3177F" w:rsidRDefault="0089671D">
      <w:pPr>
        <w:pStyle w:val="BodyText"/>
        <w:tabs>
          <w:tab w:val="left" w:pos="2110"/>
          <w:tab w:val="left" w:pos="3335"/>
          <w:tab w:val="left" w:pos="4487"/>
          <w:tab w:val="left" w:pos="5715"/>
          <w:tab w:val="left" w:pos="6905"/>
          <w:tab w:val="left" w:pos="8359"/>
        </w:tabs>
        <w:spacing w:before="143" w:line="360" w:lineRule="auto"/>
        <w:ind w:left="1124" w:right="115" w:hanging="540"/>
        <w:jc w:val="both"/>
      </w:pPr>
      <w:r>
        <w:rPr>
          <w:spacing w:val="-3"/>
        </w:rPr>
        <w:t xml:space="preserve">Court Farm </w:t>
      </w:r>
      <w:r>
        <w:t xml:space="preserve">Primary </w:t>
      </w:r>
      <w:r>
        <w:rPr>
          <w:spacing w:val="-2"/>
        </w:rPr>
        <w:t xml:space="preserve">School </w:t>
      </w:r>
      <w:r>
        <w:t xml:space="preserve">- </w:t>
      </w:r>
      <w:r>
        <w:rPr>
          <w:spacing w:val="-3"/>
        </w:rPr>
        <w:t xml:space="preserve">Policies. (2014, </w:t>
      </w:r>
      <w:r>
        <w:t xml:space="preserve">June). </w:t>
      </w:r>
      <w:r>
        <w:rPr>
          <w:i/>
        </w:rPr>
        <w:t>Energy Policy</w:t>
      </w:r>
      <w:r>
        <w:t xml:space="preserve">. </w:t>
      </w:r>
      <w:r>
        <w:rPr>
          <w:spacing w:val="-3"/>
        </w:rPr>
        <w:t xml:space="preserve">Retrieved </w:t>
      </w:r>
      <w:r>
        <w:t>December 08,</w:t>
      </w:r>
      <w:r>
        <w:tab/>
      </w:r>
      <w:r>
        <w:rPr>
          <w:spacing w:val="-3"/>
        </w:rPr>
        <w:t>2015,</w:t>
      </w:r>
      <w:r>
        <w:rPr>
          <w:spacing w:val="-3"/>
        </w:rPr>
        <w:tab/>
      </w:r>
      <w:r>
        <w:t>from</w:t>
      </w:r>
      <w:r>
        <w:tab/>
      </w:r>
      <w:r>
        <w:rPr>
          <w:spacing w:val="-3"/>
        </w:rPr>
        <w:t>Court</w:t>
      </w:r>
      <w:r>
        <w:rPr>
          <w:spacing w:val="-3"/>
        </w:rPr>
        <w:tab/>
        <w:t>Farm</w:t>
      </w:r>
      <w:r>
        <w:rPr>
          <w:spacing w:val="-3"/>
        </w:rPr>
        <w:tab/>
      </w:r>
      <w:r>
        <w:t>Primary</w:t>
      </w:r>
      <w:r>
        <w:tab/>
      </w:r>
      <w:r>
        <w:rPr>
          <w:spacing w:val="-3"/>
        </w:rPr>
        <w:t xml:space="preserve">School: </w:t>
      </w:r>
      <w:hyperlink r:id="rId78">
        <w:r>
          <w:rPr>
            <w:spacing w:val="-3"/>
          </w:rPr>
          <w:t>http://www.courtfrm.bham.sch.uk/parents/policies</w:t>
        </w:r>
      </w:hyperlink>
    </w:p>
    <w:p w:rsidR="00F3177F" w:rsidRDefault="00F3177F">
      <w:pPr>
        <w:pStyle w:val="BodyText"/>
      </w:pPr>
    </w:p>
    <w:p w:rsidR="00F3177F" w:rsidRDefault="0089671D">
      <w:pPr>
        <w:pStyle w:val="BodyText"/>
        <w:spacing w:before="143" w:line="360" w:lineRule="auto"/>
        <w:ind w:left="1124" w:right="117" w:hanging="540"/>
        <w:jc w:val="both"/>
      </w:pPr>
      <w:r>
        <w:t xml:space="preserve">Creative Research Systems. (2016). Sample Size Calculator. Retrieved March 13, 2016, from Creative Research Systems: </w:t>
      </w:r>
      <w:hyperlink r:id="rId79">
        <w:r>
          <w:t>http://www.surveysystem.com/ sscalc.htm</w:t>
        </w:r>
      </w:hyperlink>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254" w:hanging="540"/>
        <w:jc w:val="both"/>
      </w:pPr>
      <w:r>
        <w:rPr>
          <w:spacing w:val="-3"/>
        </w:rPr>
        <w:lastRenderedPageBreak/>
        <w:t>Cullen,</w:t>
      </w:r>
      <w:r>
        <w:rPr>
          <w:spacing w:val="-7"/>
        </w:rPr>
        <w:t xml:space="preserve"> </w:t>
      </w:r>
      <w:r>
        <w:t>J.M.,</w:t>
      </w:r>
      <w:r>
        <w:rPr>
          <w:spacing w:val="-7"/>
        </w:rPr>
        <w:t xml:space="preserve"> </w:t>
      </w:r>
      <w:r>
        <w:t>&amp;</w:t>
      </w:r>
      <w:r>
        <w:rPr>
          <w:spacing w:val="-6"/>
        </w:rPr>
        <w:t xml:space="preserve"> </w:t>
      </w:r>
      <w:r>
        <w:t>Allwood,</w:t>
      </w:r>
      <w:r>
        <w:rPr>
          <w:spacing w:val="-4"/>
        </w:rPr>
        <w:t xml:space="preserve"> </w:t>
      </w:r>
      <w:r>
        <w:t>J.M.</w:t>
      </w:r>
      <w:r>
        <w:rPr>
          <w:spacing w:val="-6"/>
        </w:rPr>
        <w:t xml:space="preserve"> </w:t>
      </w:r>
      <w:r>
        <w:rPr>
          <w:spacing w:val="-3"/>
        </w:rPr>
        <w:t>(2010).</w:t>
      </w:r>
      <w:r>
        <w:rPr>
          <w:spacing w:val="-7"/>
        </w:rPr>
        <w:t xml:space="preserve"> </w:t>
      </w:r>
      <w:r>
        <w:t>The</w:t>
      </w:r>
      <w:r>
        <w:rPr>
          <w:spacing w:val="-8"/>
        </w:rPr>
        <w:t xml:space="preserve"> </w:t>
      </w:r>
      <w:r>
        <w:t>efficient</w:t>
      </w:r>
      <w:r>
        <w:rPr>
          <w:spacing w:val="-6"/>
        </w:rPr>
        <w:t xml:space="preserve"> </w:t>
      </w:r>
      <w:r>
        <w:t>use</w:t>
      </w:r>
      <w:r>
        <w:rPr>
          <w:spacing w:val="-8"/>
        </w:rPr>
        <w:t xml:space="preserve"> </w:t>
      </w:r>
      <w:r>
        <w:t>of</w:t>
      </w:r>
      <w:r>
        <w:rPr>
          <w:spacing w:val="-5"/>
        </w:rPr>
        <w:t xml:space="preserve"> </w:t>
      </w:r>
      <w:r>
        <w:rPr>
          <w:spacing w:val="-3"/>
        </w:rPr>
        <w:t>energy:</w:t>
      </w:r>
      <w:r>
        <w:rPr>
          <w:spacing w:val="-6"/>
        </w:rPr>
        <w:t xml:space="preserve"> </w:t>
      </w:r>
      <w:r>
        <w:t>tracing</w:t>
      </w:r>
      <w:r>
        <w:rPr>
          <w:spacing w:val="-9"/>
        </w:rPr>
        <w:t xml:space="preserve"> </w:t>
      </w:r>
      <w:r>
        <w:t>the</w:t>
      </w:r>
      <w:r>
        <w:rPr>
          <w:spacing w:val="-6"/>
        </w:rPr>
        <w:t xml:space="preserve"> </w:t>
      </w:r>
      <w:r>
        <w:rPr>
          <w:spacing w:val="-3"/>
        </w:rPr>
        <w:t>global</w:t>
      </w:r>
      <w:r>
        <w:rPr>
          <w:spacing w:val="-4"/>
        </w:rPr>
        <w:t xml:space="preserve"> </w:t>
      </w:r>
      <w:r>
        <w:rPr>
          <w:spacing w:val="-3"/>
        </w:rPr>
        <w:t xml:space="preserve">flow </w:t>
      </w:r>
      <w:r>
        <w:t xml:space="preserve">of energy </w:t>
      </w:r>
      <w:r>
        <w:rPr>
          <w:spacing w:val="-3"/>
        </w:rPr>
        <w:t xml:space="preserve">from fuel </w:t>
      </w:r>
      <w:r>
        <w:t xml:space="preserve">to </w:t>
      </w:r>
      <w:r>
        <w:rPr>
          <w:spacing w:val="-3"/>
        </w:rPr>
        <w:t xml:space="preserve">service. </w:t>
      </w:r>
      <w:r>
        <w:rPr>
          <w:i/>
          <w:spacing w:val="-3"/>
        </w:rPr>
        <w:t xml:space="preserve">Energy Policy, </w:t>
      </w:r>
      <w:r>
        <w:rPr>
          <w:i/>
        </w:rPr>
        <w:t>38,</w:t>
      </w:r>
      <w:r>
        <w:rPr>
          <w:i/>
          <w:spacing w:val="-16"/>
        </w:rPr>
        <w:t xml:space="preserve"> </w:t>
      </w:r>
      <w:r>
        <w:rPr>
          <w:spacing w:val="-3"/>
        </w:rPr>
        <w:t>75-81.</w:t>
      </w:r>
    </w:p>
    <w:p w:rsidR="00F3177F" w:rsidRDefault="00F3177F">
      <w:pPr>
        <w:pStyle w:val="BodyText"/>
      </w:pPr>
    </w:p>
    <w:p w:rsidR="00F3177F" w:rsidRDefault="0089671D">
      <w:pPr>
        <w:pStyle w:val="BodyText"/>
        <w:spacing w:before="143" w:line="360" w:lineRule="auto"/>
        <w:ind w:left="1124" w:right="255" w:hanging="540"/>
        <w:jc w:val="both"/>
      </w:pPr>
      <w:r>
        <w:rPr>
          <w:spacing w:val="-3"/>
        </w:rPr>
        <w:t xml:space="preserve">Daisey, </w:t>
      </w:r>
      <w:r>
        <w:t xml:space="preserve">J.M., Angell, W.J., &amp; Apte, M.G. (2003). </w:t>
      </w:r>
      <w:r>
        <w:rPr>
          <w:spacing w:val="-3"/>
        </w:rPr>
        <w:t xml:space="preserve">Indoor </w:t>
      </w:r>
      <w:r>
        <w:t xml:space="preserve">air </w:t>
      </w:r>
      <w:r>
        <w:rPr>
          <w:spacing w:val="-3"/>
        </w:rPr>
        <w:t xml:space="preserve">quality, </w:t>
      </w:r>
      <w:r>
        <w:t xml:space="preserve">ventilation </w:t>
      </w:r>
      <w:r>
        <w:rPr>
          <w:spacing w:val="-3"/>
        </w:rPr>
        <w:t xml:space="preserve">and health symptoms </w:t>
      </w:r>
      <w:r>
        <w:t xml:space="preserve">in schools: an </w:t>
      </w:r>
      <w:r>
        <w:rPr>
          <w:spacing w:val="-3"/>
        </w:rPr>
        <w:t xml:space="preserve">analysis </w:t>
      </w:r>
      <w:r>
        <w:t xml:space="preserve">of existing </w:t>
      </w:r>
      <w:r>
        <w:rPr>
          <w:spacing w:val="-3"/>
        </w:rPr>
        <w:t xml:space="preserve">information. </w:t>
      </w:r>
      <w:r>
        <w:rPr>
          <w:i/>
          <w:spacing w:val="-3"/>
        </w:rPr>
        <w:t xml:space="preserve">Indoor </w:t>
      </w:r>
      <w:r>
        <w:rPr>
          <w:i/>
        </w:rPr>
        <w:t>Air, 13</w:t>
      </w:r>
      <w:r>
        <w:t xml:space="preserve">, 53- </w:t>
      </w:r>
      <w:r>
        <w:rPr>
          <w:spacing w:val="-3"/>
        </w:rPr>
        <w:t>64.</w:t>
      </w:r>
    </w:p>
    <w:p w:rsidR="00F3177F" w:rsidRDefault="00F3177F">
      <w:pPr>
        <w:pStyle w:val="BodyText"/>
      </w:pPr>
    </w:p>
    <w:p w:rsidR="00F3177F" w:rsidRDefault="0089671D">
      <w:pPr>
        <w:spacing w:before="143" w:line="360" w:lineRule="auto"/>
        <w:ind w:left="1124" w:right="254" w:hanging="540"/>
        <w:jc w:val="both"/>
        <w:rPr>
          <w:sz w:val="24"/>
        </w:rPr>
      </w:pPr>
      <w:r>
        <w:rPr>
          <w:spacing w:val="-3"/>
          <w:sz w:val="24"/>
        </w:rPr>
        <w:t xml:space="preserve">d’Ambrosio, </w:t>
      </w:r>
      <w:r>
        <w:rPr>
          <w:sz w:val="24"/>
        </w:rPr>
        <w:t xml:space="preserve">A.F.R., Bellia, </w:t>
      </w:r>
      <w:r>
        <w:rPr>
          <w:spacing w:val="-3"/>
          <w:sz w:val="24"/>
        </w:rPr>
        <w:t xml:space="preserve">L., </w:t>
      </w:r>
      <w:r>
        <w:rPr>
          <w:sz w:val="24"/>
        </w:rPr>
        <w:t xml:space="preserve">&amp; </w:t>
      </w:r>
      <w:r>
        <w:rPr>
          <w:spacing w:val="-3"/>
          <w:sz w:val="24"/>
        </w:rPr>
        <w:t xml:space="preserve">Boerstra, </w:t>
      </w:r>
      <w:r>
        <w:rPr>
          <w:sz w:val="24"/>
        </w:rPr>
        <w:t xml:space="preserve">A. </w:t>
      </w:r>
      <w:r>
        <w:rPr>
          <w:spacing w:val="-3"/>
          <w:sz w:val="24"/>
        </w:rPr>
        <w:t xml:space="preserve">(2010). </w:t>
      </w:r>
      <w:r>
        <w:rPr>
          <w:i/>
          <w:sz w:val="24"/>
        </w:rPr>
        <w:t xml:space="preserve">REHVA – indoor </w:t>
      </w:r>
      <w:r>
        <w:rPr>
          <w:i/>
          <w:spacing w:val="-3"/>
          <w:sz w:val="24"/>
        </w:rPr>
        <w:t xml:space="preserve">environment </w:t>
      </w:r>
      <w:r>
        <w:rPr>
          <w:i/>
          <w:sz w:val="24"/>
        </w:rPr>
        <w:t xml:space="preserve">and </w:t>
      </w:r>
      <w:r>
        <w:rPr>
          <w:i/>
          <w:spacing w:val="-3"/>
          <w:sz w:val="24"/>
        </w:rPr>
        <w:t xml:space="preserve">energy efﬁciency </w:t>
      </w:r>
      <w:r>
        <w:rPr>
          <w:i/>
          <w:sz w:val="24"/>
        </w:rPr>
        <w:t xml:space="preserve">in schools – </w:t>
      </w:r>
      <w:r>
        <w:rPr>
          <w:i/>
          <w:spacing w:val="-3"/>
          <w:sz w:val="24"/>
        </w:rPr>
        <w:t xml:space="preserve">Part </w:t>
      </w:r>
      <w:r>
        <w:rPr>
          <w:i/>
          <w:sz w:val="24"/>
        </w:rPr>
        <w:t xml:space="preserve">1 </w:t>
      </w:r>
      <w:r>
        <w:rPr>
          <w:spacing w:val="-3"/>
          <w:sz w:val="24"/>
        </w:rPr>
        <w:t xml:space="preserve">(pp. 1–121), Brussels: </w:t>
      </w:r>
      <w:r>
        <w:rPr>
          <w:sz w:val="24"/>
        </w:rPr>
        <w:t>REHVA.</w:t>
      </w:r>
    </w:p>
    <w:p w:rsidR="00F3177F" w:rsidRDefault="00F3177F">
      <w:pPr>
        <w:pStyle w:val="BodyText"/>
      </w:pPr>
    </w:p>
    <w:p w:rsidR="00F3177F" w:rsidRDefault="0089671D">
      <w:pPr>
        <w:pStyle w:val="BodyText"/>
        <w:spacing w:before="143" w:line="360" w:lineRule="auto"/>
        <w:ind w:left="1124" w:right="256" w:hanging="540"/>
        <w:jc w:val="both"/>
      </w:pPr>
      <w:r>
        <w:t xml:space="preserve">Dascalaki, E.G., &amp; Sermpetzoglou, V.G. (2011). Energy performance and indoor environmental quality in Hellenic schools. </w:t>
      </w:r>
      <w:r>
        <w:rPr>
          <w:i/>
        </w:rPr>
        <w:t xml:space="preserve">Energy and Buildings, 43, </w:t>
      </w:r>
      <w:r>
        <w:t>718-727.</w:t>
      </w:r>
    </w:p>
    <w:p w:rsidR="00F3177F" w:rsidRDefault="00F3177F">
      <w:pPr>
        <w:pStyle w:val="BodyText"/>
      </w:pPr>
    </w:p>
    <w:p w:rsidR="00F3177F" w:rsidRDefault="0089671D">
      <w:pPr>
        <w:pStyle w:val="BodyText"/>
        <w:spacing w:before="143" w:line="360" w:lineRule="auto"/>
        <w:ind w:left="1124" w:right="87" w:hanging="540"/>
      </w:pPr>
      <w:r>
        <w:rPr>
          <w:spacing w:val="-3"/>
        </w:rPr>
        <w:t xml:space="preserve">Department for Business, </w:t>
      </w:r>
      <w:r>
        <w:t xml:space="preserve">Energy &amp; </w:t>
      </w:r>
      <w:r>
        <w:rPr>
          <w:spacing w:val="-3"/>
        </w:rPr>
        <w:t xml:space="preserve">Industrial Strategy. (2005). </w:t>
      </w:r>
      <w:r>
        <w:rPr>
          <w:i/>
        </w:rPr>
        <w:t xml:space="preserve">Standard </w:t>
      </w:r>
      <w:r>
        <w:rPr>
          <w:i/>
          <w:spacing w:val="-3"/>
        </w:rPr>
        <w:t>Assessment Procedure</w:t>
      </w:r>
      <w:r>
        <w:rPr>
          <w:spacing w:val="-3"/>
        </w:rPr>
        <w:t xml:space="preserve">. Retrieved </w:t>
      </w:r>
      <w:r>
        <w:t xml:space="preserve">July 02, 2016, from </w:t>
      </w:r>
      <w:hyperlink r:id="rId80">
        <w:r>
          <w:rPr>
            <w:u w:val="single"/>
          </w:rPr>
          <w:t>http://www.energykey.co.uk/epcsample.pdf</w:t>
        </w:r>
      </w:hyperlink>
    </w:p>
    <w:p w:rsidR="00F3177F" w:rsidRDefault="00F3177F">
      <w:pPr>
        <w:pStyle w:val="BodyText"/>
        <w:rPr>
          <w:sz w:val="20"/>
        </w:rPr>
      </w:pPr>
    </w:p>
    <w:p w:rsidR="00F3177F" w:rsidRDefault="0089671D">
      <w:pPr>
        <w:spacing w:before="189" w:line="360" w:lineRule="auto"/>
        <w:ind w:left="1124" w:right="256" w:hanging="540"/>
        <w:jc w:val="both"/>
        <w:rPr>
          <w:sz w:val="24"/>
        </w:rPr>
      </w:pPr>
      <w:r>
        <w:rPr>
          <w:spacing w:val="-3"/>
          <w:sz w:val="24"/>
        </w:rPr>
        <w:t xml:space="preserve">Department for Children, Schools </w:t>
      </w:r>
      <w:r>
        <w:rPr>
          <w:sz w:val="24"/>
        </w:rPr>
        <w:t xml:space="preserve">and Families. </w:t>
      </w:r>
      <w:r>
        <w:rPr>
          <w:spacing w:val="-3"/>
          <w:sz w:val="24"/>
        </w:rPr>
        <w:t xml:space="preserve">(2010). </w:t>
      </w:r>
      <w:r>
        <w:rPr>
          <w:i/>
          <w:sz w:val="24"/>
        </w:rPr>
        <w:t xml:space="preserve">Climate change and </w:t>
      </w:r>
      <w:r>
        <w:rPr>
          <w:i/>
          <w:spacing w:val="-3"/>
          <w:sz w:val="24"/>
        </w:rPr>
        <w:t xml:space="preserve">schools </w:t>
      </w:r>
      <w:r>
        <w:rPr>
          <w:i/>
          <w:sz w:val="24"/>
        </w:rPr>
        <w:t xml:space="preserve">- A </w:t>
      </w:r>
      <w:r>
        <w:rPr>
          <w:i/>
          <w:spacing w:val="-3"/>
          <w:sz w:val="24"/>
        </w:rPr>
        <w:t xml:space="preserve">carbon management strategy </w:t>
      </w:r>
      <w:r>
        <w:rPr>
          <w:i/>
          <w:sz w:val="24"/>
        </w:rPr>
        <w:t xml:space="preserve">for the school sector </w:t>
      </w:r>
      <w:r>
        <w:rPr>
          <w:spacing w:val="-3"/>
          <w:sz w:val="24"/>
        </w:rPr>
        <w:t xml:space="preserve">(DCSF-00366-2010). Retrieved </w:t>
      </w:r>
      <w:r>
        <w:rPr>
          <w:sz w:val="24"/>
        </w:rPr>
        <w:t xml:space="preserve">May 23, </w:t>
      </w:r>
      <w:r>
        <w:rPr>
          <w:spacing w:val="-3"/>
          <w:sz w:val="24"/>
        </w:rPr>
        <w:t>2015,</w:t>
      </w:r>
      <w:r>
        <w:rPr>
          <w:spacing w:val="54"/>
          <w:sz w:val="24"/>
        </w:rPr>
        <w:t xml:space="preserve"> </w:t>
      </w:r>
      <w:r>
        <w:rPr>
          <w:spacing w:val="-3"/>
          <w:sz w:val="24"/>
        </w:rPr>
        <w:t>from</w:t>
      </w:r>
      <w:r>
        <w:rPr>
          <w:spacing w:val="54"/>
          <w:sz w:val="24"/>
        </w:rPr>
        <w:t xml:space="preserve"> </w:t>
      </w:r>
      <w:hyperlink r:id="rId81">
        <w:r>
          <w:rPr>
            <w:spacing w:val="-3"/>
            <w:sz w:val="24"/>
            <w:u w:val="single"/>
          </w:rPr>
          <w:t>http://www.se-2.co.uk/files/se2/uploads/Carbon%</w:t>
        </w:r>
      </w:hyperlink>
      <w:r>
        <w:rPr>
          <w:spacing w:val="-3"/>
          <w:sz w:val="24"/>
          <w:u w:val="single"/>
        </w:rPr>
        <w:t xml:space="preserve"> </w:t>
      </w:r>
      <w:r>
        <w:rPr>
          <w:spacing w:val="-3"/>
          <w:sz w:val="24"/>
        </w:rPr>
        <w:t>20Management%20Strategy_As%20published.pdf</w:t>
      </w:r>
    </w:p>
    <w:p w:rsidR="00F3177F" w:rsidRDefault="00F3177F">
      <w:pPr>
        <w:pStyle w:val="BodyText"/>
      </w:pPr>
    </w:p>
    <w:p w:rsidR="00F3177F" w:rsidRDefault="0089671D">
      <w:pPr>
        <w:spacing w:before="143" w:line="360" w:lineRule="auto"/>
        <w:ind w:left="1124" w:right="259" w:hanging="540"/>
        <w:jc w:val="both"/>
        <w:rPr>
          <w:sz w:val="24"/>
        </w:rPr>
      </w:pPr>
      <w:r>
        <w:rPr>
          <w:spacing w:val="-3"/>
          <w:sz w:val="24"/>
        </w:rPr>
        <w:t xml:space="preserve">Department </w:t>
      </w:r>
      <w:r>
        <w:rPr>
          <w:sz w:val="24"/>
        </w:rPr>
        <w:t xml:space="preserve">for Communities and Local </w:t>
      </w:r>
      <w:r>
        <w:rPr>
          <w:spacing w:val="-3"/>
          <w:sz w:val="24"/>
        </w:rPr>
        <w:t xml:space="preserve">Government. (2015). </w:t>
      </w:r>
      <w:r>
        <w:rPr>
          <w:i/>
          <w:spacing w:val="-3"/>
          <w:sz w:val="24"/>
        </w:rPr>
        <w:t xml:space="preserve">Improving </w:t>
      </w:r>
      <w:r>
        <w:rPr>
          <w:i/>
          <w:sz w:val="24"/>
        </w:rPr>
        <w:t xml:space="preserve">the </w:t>
      </w:r>
      <w:r>
        <w:rPr>
          <w:i/>
          <w:spacing w:val="-3"/>
          <w:sz w:val="24"/>
        </w:rPr>
        <w:t xml:space="preserve">energy efficiency </w:t>
      </w:r>
      <w:r>
        <w:rPr>
          <w:i/>
          <w:sz w:val="24"/>
        </w:rPr>
        <w:t xml:space="preserve">of our buildings - A guide to display </w:t>
      </w:r>
      <w:r>
        <w:rPr>
          <w:i/>
          <w:spacing w:val="-3"/>
          <w:sz w:val="24"/>
        </w:rPr>
        <w:t xml:space="preserve">energy certificates </w:t>
      </w:r>
      <w:r>
        <w:rPr>
          <w:i/>
          <w:sz w:val="24"/>
        </w:rPr>
        <w:t xml:space="preserve">and </w:t>
      </w:r>
      <w:r>
        <w:rPr>
          <w:i/>
          <w:spacing w:val="-3"/>
          <w:sz w:val="24"/>
        </w:rPr>
        <w:t>advisory</w:t>
      </w:r>
      <w:r>
        <w:rPr>
          <w:i/>
          <w:spacing w:val="54"/>
          <w:sz w:val="24"/>
        </w:rPr>
        <w:t xml:space="preserve"> </w:t>
      </w:r>
      <w:r>
        <w:rPr>
          <w:i/>
          <w:spacing w:val="-3"/>
          <w:sz w:val="24"/>
        </w:rPr>
        <w:t xml:space="preserve">reports </w:t>
      </w:r>
      <w:r>
        <w:rPr>
          <w:i/>
          <w:sz w:val="24"/>
        </w:rPr>
        <w:t xml:space="preserve">for public </w:t>
      </w:r>
      <w:r>
        <w:rPr>
          <w:i/>
          <w:spacing w:val="-3"/>
          <w:sz w:val="24"/>
        </w:rPr>
        <w:t>buildings</w:t>
      </w:r>
      <w:r>
        <w:rPr>
          <w:spacing w:val="-3"/>
          <w:sz w:val="24"/>
        </w:rPr>
        <w:t xml:space="preserve">. Retrieved November </w:t>
      </w:r>
      <w:r>
        <w:rPr>
          <w:sz w:val="24"/>
        </w:rPr>
        <w:t xml:space="preserve">22, 2016, </w:t>
      </w:r>
      <w:r>
        <w:rPr>
          <w:spacing w:val="-3"/>
          <w:sz w:val="24"/>
        </w:rPr>
        <w:t xml:space="preserve">from </w:t>
      </w:r>
      <w:hyperlink r:id="rId82">
        <w:r>
          <w:rPr>
            <w:spacing w:val="-3"/>
            <w:sz w:val="24"/>
          </w:rPr>
          <w:t>http://www.tjlassociates.co.uk/services/DEC_Guidance</w:t>
        </w:r>
      </w:hyperlink>
      <w:r>
        <w:rPr>
          <w:spacing w:val="-3"/>
          <w:sz w:val="24"/>
        </w:rPr>
        <w:t xml:space="preserve">   </w:t>
      </w:r>
      <w:r>
        <w:rPr>
          <w:spacing w:val="50"/>
          <w:sz w:val="24"/>
        </w:rPr>
        <w:t xml:space="preserve"> </w:t>
      </w:r>
      <w:r>
        <w:rPr>
          <w:spacing w:val="-3"/>
          <w:sz w:val="24"/>
        </w:rPr>
        <w:t>rev_July_2015_.pdf</w:t>
      </w:r>
    </w:p>
    <w:p w:rsidR="00F3177F" w:rsidRDefault="00F3177F">
      <w:pPr>
        <w:pStyle w:val="BodyText"/>
      </w:pPr>
    </w:p>
    <w:p w:rsidR="00F3177F" w:rsidRDefault="0089671D">
      <w:pPr>
        <w:spacing w:before="143" w:line="360" w:lineRule="auto"/>
        <w:ind w:left="1124" w:right="252" w:hanging="540"/>
        <w:jc w:val="both"/>
        <w:rPr>
          <w:sz w:val="24"/>
        </w:rPr>
      </w:pPr>
      <w:r>
        <w:rPr>
          <w:spacing w:val="-3"/>
          <w:sz w:val="24"/>
        </w:rPr>
        <w:t xml:space="preserve">Department </w:t>
      </w:r>
      <w:r>
        <w:rPr>
          <w:sz w:val="24"/>
        </w:rPr>
        <w:t xml:space="preserve">for Education </w:t>
      </w:r>
      <w:r>
        <w:rPr>
          <w:spacing w:val="-3"/>
          <w:sz w:val="24"/>
        </w:rPr>
        <w:t xml:space="preserve">(2015). </w:t>
      </w:r>
      <w:r>
        <w:rPr>
          <w:i/>
          <w:sz w:val="24"/>
        </w:rPr>
        <w:t xml:space="preserve">Acoustic design of </w:t>
      </w:r>
      <w:r>
        <w:rPr>
          <w:i/>
          <w:spacing w:val="-3"/>
          <w:sz w:val="24"/>
        </w:rPr>
        <w:t xml:space="preserve">schools: </w:t>
      </w:r>
      <w:r>
        <w:rPr>
          <w:i/>
          <w:sz w:val="24"/>
        </w:rPr>
        <w:t xml:space="preserve">performance standards: </w:t>
      </w:r>
      <w:r>
        <w:rPr>
          <w:i/>
          <w:spacing w:val="-3"/>
          <w:sz w:val="24"/>
        </w:rPr>
        <w:t xml:space="preserve">Building </w:t>
      </w:r>
      <w:r>
        <w:rPr>
          <w:i/>
          <w:sz w:val="24"/>
        </w:rPr>
        <w:t>Bulletin 93</w:t>
      </w:r>
      <w:r>
        <w:rPr>
          <w:sz w:val="24"/>
        </w:rPr>
        <w:t xml:space="preserve">. </w:t>
      </w:r>
      <w:r>
        <w:rPr>
          <w:spacing w:val="-3"/>
          <w:sz w:val="24"/>
        </w:rPr>
        <w:t xml:space="preserve">Retrieved </w:t>
      </w:r>
      <w:r>
        <w:rPr>
          <w:sz w:val="24"/>
        </w:rPr>
        <w:t xml:space="preserve">March 08, </w:t>
      </w:r>
      <w:r>
        <w:rPr>
          <w:spacing w:val="-3"/>
          <w:sz w:val="24"/>
        </w:rPr>
        <w:t xml:space="preserve">2016 </w:t>
      </w:r>
      <w:r>
        <w:rPr>
          <w:sz w:val="24"/>
        </w:rPr>
        <w:t xml:space="preserve">from </w:t>
      </w:r>
      <w:r>
        <w:rPr>
          <w:spacing w:val="-3"/>
          <w:sz w:val="24"/>
        </w:rPr>
        <w:t xml:space="preserve">Education </w:t>
      </w:r>
      <w:r>
        <w:rPr>
          <w:sz w:val="24"/>
        </w:rPr>
        <w:t xml:space="preserve">Funding   </w:t>
      </w:r>
      <w:r>
        <w:rPr>
          <w:spacing w:val="-3"/>
          <w:sz w:val="24"/>
        </w:rPr>
        <w:t>Agency:</w:t>
      </w:r>
    </w:p>
    <w:p w:rsidR="00F3177F" w:rsidRDefault="00F3177F">
      <w:pPr>
        <w:spacing w:line="360" w:lineRule="auto"/>
        <w:jc w:val="both"/>
        <w:rPr>
          <w:sz w:val="24"/>
        </w:rPr>
        <w:sectPr w:rsidR="00F3177F">
          <w:pgSz w:w="12240" w:h="15840"/>
          <w:pgMar w:top="1380" w:right="1180" w:bottom="2320" w:left="1720" w:header="0" w:footer="2072" w:gutter="0"/>
          <w:cols w:space="720"/>
        </w:sectPr>
      </w:pPr>
    </w:p>
    <w:p w:rsidR="00F3177F" w:rsidRDefault="0089671D">
      <w:pPr>
        <w:pStyle w:val="BodyText"/>
        <w:spacing w:before="54" w:line="360" w:lineRule="auto"/>
        <w:ind w:left="1124" w:right="65"/>
      </w:pPr>
      <w:r>
        <w:rPr>
          <w:spacing w:val="-3"/>
        </w:rPr>
        <w:lastRenderedPageBreak/>
        <w:t>https://</w:t>
      </w:r>
      <w:hyperlink r:id="rId83">
        <w:r>
          <w:rPr>
            <w:spacing w:val="-3"/>
          </w:rPr>
          <w:t>www.gov.uk/government/uploads/system/uploads/attachment_data/file/4007</w:t>
        </w:r>
      </w:hyperlink>
      <w:r>
        <w:rPr>
          <w:spacing w:val="-3"/>
        </w:rPr>
        <w:t xml:space="preserve"> 84/BB93_February_2015.pdf</w:t>
      </w:r>
    </w:p>
    <w:p w:rsidR="00F3177F" w:rsidRDefault="00F3177F">
      <w:pPr>
        <w:pStyle w:val="BodyText"/>
      </w:pPr>
    </w:p>
    <w:p w:rsidR="00F3177F" w:rsidRDefault="0089671D">
      <w:pPr>
        <w:spacing w:before="143" w:line="360" w:lineRule="auto"/>
        <w:ind w:left="1124" w:right="112" w:hanging="540"/>
        <w:jc w:val="both"/>
        <w:rPr>
          <w:sz w:val="24"/>
        </w:rPr>
      </w:pPr>
      <w:r>
        <w:rPr>
          <w:spacing w:val="-3"/>
          <w:sz w:val="24"/>
        </w:rPr>
        <w:t xml:space="preserve">Department </w:t>
      </w:r>
      <w:r>
        <w:rPr>
          <w:sz w:val="24"/>
        </w:rPr>
        <w:t xml:space="preserve">for Education </w:t>
      </w:r>
      <w:r>
        <w:rPr>
          <w:spacing w:val="-3"/>
          <w:sz w:val="24"/>
        </w:rPr>
        <w:t xml:space="preserve">and </w:t>
      </w:r>
      <w:r>
        <w:rPr>
          <w:sz w:val="24"/>
        </w:rPr>
        <w:t xml:space="preserve">Skills </w:t>
      </w:r>
      <w:r>
        <w:rPr>
          <w:spacing w:val="-3"/>
          <w:sz w:val="24"/>
        </w:rPr>
        <w:t xml:space="preserve">(2002a). </w:t>
      </w:r>
      <w:r>
        <w:rPr>
          <w:i/>
          <w:spacing w:val="-3"/>
          <w:sz w:val="24"/>
        </w:rPr>
        <w:t xml:space="preserve">Energy </w:t>
      </w:r>
      <w:r>
        <w:rPr>
          <w:i/>
          <w:sz w:val="24"/>
        </w:rPr>
        <w:t xml:space="preserve">and </w:t>
      </w:r>
      <w:r>
        <w:rPr>
          <w:i/>
          <w:spacing w:val="-3"/>
          <w:sz w:val="24"/>
        </w:rPr>
        <w:t xml:space="preserve">Water Management: </w:t>
      </w:r>
      <w:r>
        <w:rPr>
          <w:i/>
          <w:sz w:val="24"/>
        </w:rPr>
        <w:t xml:space="preserve">A Guide for </w:t>
      </w:r>
      <w:r>
        <w:rPr>
          <w:i/>
          <w:spacing w:val="-3"/>
          <w:sz w:val="24"/>
        </w:rPr>
        <w:t>Schools</w:t>
      </w:r>
      <w:r>
        <w:rPr>
          <w:i/>
          <w:spacing w:val="54"/>
          <w:sz w:val="24"/>
        </w:rPr>
        <w:t xml:space="preserve"> </w:t>
      </w:r>
      <w:r>
        <w:rPr>
          <w:spacing w:val="-3"/>
          <w:sz w:val="24"/>
        </w:rPr>
        <w:t>(DfES/0208/2002). Retrieved</w:t>
      </w:r>
      <w:r>
        <w:rPr>
          <w:spacing w:val="54"/>
          <w:sz w:val="24"/>
        </w:rPr>
        <w:t xml:space="preserve"> </w:t>
      </w:r>
      <w:r>
        <w:rPr>
          <w:sz w:val="24"/>
        </w:rPr>
        <w:t xml:space="preserve">July 17, 2015 </w:t>
      </w:r>
      <w:r>
        <w:rPr>
          <w:spacing w:val="-3"/>
          <w:sz w:val="24"/>
        </w:rPr>
        <w:t xml:space="preserve">from </w:t>
      </w:r>
      <w:hyperlink r:id="rId84">
        <w:r>
          <w:rPr>
            <w:spacing w:val="-3"/>
            <w:sz w:val="24"/>
          </w:rPr>
          <w:t>http://www.sustainabilityexchange.ac.uk/files/energy_and_water_management_-</w:t>
        </w:r>
      </w:hyperlink>
    </w:p>
    <w:p w:rsidR="00F3177F" w:rsidRDefault="0089671D">
      <w:pPr>
        <w:pStyle w:val="BodyText"/>
        <w:spacing w:before="6"/>
        <w:ind w:left="1124" w:right="65"/>
      </w:pPr>
      <w:r>
        <w:t>_a_guide_for_schools.pdf</w:t>
      </w:r>
    </w:p>
    <w:p w:rsidR="00F3177F" w:rsidRDefault="00F3177F">
      <w:pPr>
        <w:pStyle w:val="BodyText"/>
      </w:pPr>
    </w:p>
    <w:p w:rsidR="00F3177F" w:rsidRDefault="00F3177F">
      <w:pPr>
        <w:pStyle w:val="BodyText"/>
      </w:pPr>
    </w:p>
    <w:p w:rsidR="00F3177F" w:rsidRDefault="0089671D">
      <w:pPr>
        <w:spacing w:line="360" w:lineRule="auto"/>
        <w:ind w:left="1124" w:right="116" w:hanging="540"/>
        <w:jc w:val="both"/>
        <w:rPr>
          <w:sz w:val="24"/>
        </w:rPr>
      </w:pPr>
      <w:r>
        <w:rPr>
          <w:spacing w:val="-3"/>
          <w:sz w:val="24"/>
        </w:rPr>
        <w:t xml:space="preserve">Department </w:t>
      </w:r>
      <w:r>
        <w:rPr>
          <w:sz w:val="24"/>
        </w:rPr>
        <w:t xml:space="preserve">of Energy and Climate </w:t>
      </w:r>
      <w:r>
        <w:rPr>
          <w:spacing w:val="-3"/>
          <w:sz w:val="24"/>
        </w:rPr>
        <w:t xml:space="preserve">Change. </w:t>
      </w:r>
      <w:r>
        <w:rPr>
          <w:sz w:val="24"/>
        </w:rPr>
        <w:t xml:space="preserve">(2010). </w:t>
      </w:r>
      <w:r>
        <w:rPr>
          <w:i/>
          <w:sz w:val="24"/>
        </w:rPr>
        <w:t xml:space="preserve">Low </w:t>
      </w:r>
      <w:r>
        <w:rPr>
          <w:i/>
          <w:spacing w:val="-3"/>
          <w:sz w:val="24"/>
        </w:rPr>
        <w:t>Carbon Communities Challenge Interim</w:t>
      </w:r>
      <w:r>
        <w:rPr>
          <w:i/>
          <w:spacing w:val="54"/>
          <w:sz w:val="24"/>
        </w:rPr>
        <w:t xml:space="preserve"> </w:t>
      </w:r>
      <w:r>
        <w:rPr>
          <w:i/>
          <w:spacing w:val="-3"/>
          <w:sz w:val="24"/>
        </w:rPr>
        <w:t>Report</w:t>
      </w:r>
      <w:r>
        <w:rPr>
          <w:i/>
          <w:spacing w:val="54"/>
          <w:sz w:val="24"/>
        </w:rPr>
        <w:t xml:space="preserve"> </w:t>
      </w:r>
      <w:r>
        <w:rPr>
          <w:i/>
          <w:sz w:val="24"/>
        </w:rPr>
        <w:t>2010/11</w:t>
      </w:r>
      <w:r>
        <w:rPr>
          <w:sz w:val="24"/>
        </w:rPr>
        <w:t xml:space="preserve">. </w:t>
      </w:r>
      <w:r>
        <w:rPr>
          <w:spacing w:val="-3"/>
          <w:sz w:val="24"/>
        </w:rPr>
        <w:t>Retrieved</w:t>
      </w:r>
      <w:r>
        <w:rPr>
          <w:spacing w:val="54"/>
          <w:sz w:val="24"/>
        </w:rPr>
        <w:t xml:space="preserve"> </w:t>
      </w:r>
      <w:r>
        <w:rPr>
          <w:spacing w:val="-3"/>
          <w:sz w:val="24"/>
        </w:rPr>
        <w:t>March</w:t>
      </w:r>
      <w:r>
        <w:rPr>
          <w:spacing w:val="54"/>
          <w:sz w:val="24"/>
        </w:rPr>
        <w:t xml:space="preserve"> </w:t>
      </w:r>
      <w:r>
        <w:rPr>
          <w:sz w:val="24"/>
        </w:rPr>
        <w:t xml:space="preserve">04, 2015, </w:t>
      </w:r>
      <w:r>
        <w:rPr>
          <w:spacing w:val="-3"/>
          <w:sz w:val="24"/>
        </w:rPr>
        <w:t>from https://</w:t>
      </w:r>
      <w:hyperlink r:id="rId85">
        <w:r>
          <w:rPr>
            <w:spacing w:val="-3"/>
            <w:sz w:val="24"/>
          </w:rPr>
          <w:t>www.gov.uk/government/uploads/system/uploads/attachment_data/file/4815</w:t>
        </w:r>
      </w:hyperlink>
      <w:r>
        <w:rPr>
          <w:spacing w:val="-3"/>
          <w:sz w:val="24"/>
        </w:rPr>
        <w:t xml:space="preserve"> 4/2538-lccc-interim-report-2010-11.pdf</w:t>
      </w:r>
    </w:p>
    <w:p w:rsidR="00F3177F" w:rsidRDefault="00F3177F">
      <w:pPr>
        <w:pStyle w:val="BodyText"/>
      </w:pPr>
    </w:p>
    <w:p w:rsidR="00F3177F" w:rsidRDefault="0089671D">
      <w:pPr>
        <w:tabs>
          <w:tab w:val="left" w:pos="3392"/>
          <w:tab w:val="left" w:pos="5142"/>
          <w:tab w:val="left" w:pos="6793"/>
          <w:tab w:val="left" w:pos="8622"/>
        </w:tabs>
        <w:spacing w:before="143" w:line="360" w:lineRule="auto"/>
        <w:ind w:left="1124" w:right="113" w:hanging="540"/>
        <w:jc w:val="both"/>
        <w:rPr>
          <w:sz w:val="24"/>
        </w:rPr>
      </w:pPr>
      <w:r>
        <w:rPr>
          <w:spacing w:val="-3"/>
          <w:sz w:val="24"/>
        </w:rPr>
        <w:t xml:space="preserve">Department </w:t>
      </w:r>
      <w:r>
        <w:rPr>
          <w:sz w:val="24"/>
        </w:rPr>
        <w:t xml:space="preserve">of Energy </w:t>
      </w:r>
      <w:r>
        <w:rPr>
          <w:spacing w:val="-3"/>
          <w:sz w:val="24"/>
        </w:rPr>
        <w:t xml:space="preserve">and </w:t>
      </w:r>
      <w:r>
        <w:rPr>
          <w:sz w:val="24"/>
        </w:rPr>
        <w:t xml:space="preserve">Climate Change. </w:t>
      </w:r>
      <w:r>
        <w:rPr>
          <w:spacing w:val="-3"/>
          <w:sz w:val="24"/>
        </w:rPr>
        <w:t xml:space="preserve">(2013). </w:t>
      </w:r>
      <w:r>
        <w:rPr>
          <w:i/>
          <w:spacing w:val="-3"/>
          <w:sz w:val="24"/>
        </w:rPr>
        <w:t xml:space="preserve">Final Project Report </w:t>
      </w:r>
      <w:r>
        <w:rPr>
          <w:i/>
          <w:sz w:val="24"/>
        </w:rPr>
        <w:t xml:space="preserve">- An </w:t>
      </w:r>
      <w:r>
        <w:rPr>
          <w:i/>
          <w:spacing w:val="-3"/>
          <w:sz w:val="24"/>
        </w:rPr>
        <w:t xml:space="preserve">investigation </w:t>
      </w:r>
      <w:r>
        <w:rPr>
          <w:i/>
          <w:sz w:val="24"/>
        </w:rPr>
        <w:t xml:space="preserve">of the effect of EPC ratings on house </w:t>
      </w:r>
      <w:r>
        <w:rPr>
          <w:i/>
          <w:spacing w:val="-3"/>
          <w:sz w:val="24"/>
        </w:rPr>
        <w:t xml:space="preserve">prices </w:t>
      </w:r>
      <w:r>
        <w:rPr>
          <w:spacing w:val="-3"/>
          <w:sz w:val="24"/>
        </w:rPr>
        <w:t xml:space="preserve">(p. </w:t>
      </w:r>
      <w:r>
        <w:rPr>
          <w:sz w:val="24"/>
        </w:rPr>
        <w:t xml:space="preserve">10) </w:t>
      </w:r>
      <w:r>
        <w:rPr>
          <w:spacing w:val="-3"/>
          <w:sz w:val="24"/>
        </w:rPr>
        <w:t>(13D/148). Retrieved</w:t>
      </w:r>
      <w:r>
        <w:rPr>
          <w:spacing w:val="-3"/>
          <w:sz w:val="24"/>
        </w:rPr>
        <w:tab/>
      </w:r>
      <w:r>
        <w:rPr>
          <w:sz w:val="24"/>
        </w:rPr>
        <w:t>July</w:t>
      </w:r>
      <w:r>
        <w:rPr>
          <w:sz w:val="24"/>
        </w:rPr>
        <w:tab/>
        <w:t>25,</w:t>
      </w:r>
      <w:r>
        <w:rPr>
          <w:sz w:val="24"/>
        </w:rPr>
        <w:tab/>
      </w:r>
      <w:r>
        <w:rPr>
          <w:spacing w:val="-3"/>
          <w:sz w:val="24"/>
        </w:rPr>
        <w:t>2015</w:t>
      </w:r>
      <w:r>
        <w:rPr>
          <w:spacing w:val="-3"/>
          <w:sz w:val="24"/>
        </w:rPr>
        <w:tab/>
        <w:t xml:space="preserve">from </w:t>
      </w:r>
      <w:hyperlink r:id="rId86">
        <w:r>
          <w:rPr>
            <w:spacing w:val="-3"/>
            <w:sz w:val="24"/>
          </w:rPr>
          <w:t>http://www.epcmortgage.org.uk/assets/uploads/documents/20130613_-</w:t>
        </w:r>
      </w:hyperlink>
    </w:p>
    <w:p w:rsidR="00F3177F" w:rsidRDefault="0089671D">
      <w:pPr>
        <w:pStyle w:val="BodyText"/>
        <w:spacing w:before="4"/>
        <w:ind w:left="1124" w:right="65"/>
      </w:pPr>
      <w:r>
        <w:t>_Hedonic_Pricing_study_-_DECC_template    2_.pdf</w:t>
      </w:r>
    </w:p>
    <w:p w:rsidR="00F3177F" w:rsidRDefault="00F3177F">
      <w:pPr>
        <w:pStyle w:val="BodyText"/>
      </w:pPr>
    </w:p>
    <w:p w:rsidR="00F3177F" w:rsidRDefault="00F3177F">
      <w:pPr>
        <w:pStyle w:val="BodyText"/>
      </w:pPr>
    </w:p>
    <w:p w:rsidR="00F3177F" w:rsidRDefault="0089671D">
      <w:pPr>
        <w:pStyle w:val="BodyText"/>
        <w:spacing w:line="360" w:lineRule="auto"/>
        <w:ind w:left="1124" w:right="117" w:hanging="540"/>
        <w:jc w:val="both"/>
      </w:pPr>
      <w:r>
        <w:rPr>
          <w:spacing w:val="-3"/>
        </w:rPr>
        <w:t xml:space="preserve">Department </w:t>
      </w:r>
      <w:r>
        <w:t xml:space="preserve">of Energy and Climate Change. </w:t>
      </w:r>
      <w:r>
        <w:rPr>
          <w:spacing w:val="-3"/>
        </w:rPr>
        <w:t xml:space="preserve">(2013, January, </w:t>
      </w:r>
      <w:r>
        <w:t xml:space="preserve">22). </w:t>
      </w:r>
      <w:r>
        <w:rPr>
          <w:spacing w:val="-3"/>
        </w:rPr>
        <w:t>Retrieved November</w:t>
      </w:r>
      <w:r>
        <w:rPr>
          <w:spacing w:val="-33"/>
        </w:rPr>
        <w:t xml:space="preserve"> </w:t>
      </w:r>
      <w:r>
        <w:t xml:space="preserve">16, </w:t>
      </w:r>
      <w:r>
        <w:rPr>
          <w:spacing w:val="-3"/>
        </w:rPr>
        <w:t xml:space="preserve">2015, </w:t>
      </w:r>
      <w:r>
        <w:t xml:space="preserve">from Guidance 2050 </w:t>
      </w:r>
      <w:r>
        <w:rPr>
          <w:spacing w:val="-3"/>
        </w:rPr>
        <w:t>Pathways:</w:t>
      </w:r>
      <w:r>
        <w:rPr>
          <w:spacing w:val="-11"/>
        </w:rPr>
        <w:t xml:space="preserve"> </w:t>
      </w:r>
      <w:hyperlink r:id="rId87">
        <w:r>
          <w:rPr>
            <w:spacing w:val="-3"/>
          </w:rPr>
          <w:t>https://www.gov.uk/2050-pathways-analysis</w:t>
        </w:r>
      </w:hyperlink>
    </w:p>
    <w:p w:rsidR="00F3177F" w:rsidRDefault="00F3177F">
      <w:pPr>
        <w:pStyle w:val="BodyText"/>
      </w:pPr>
    </w:p>
    <w:p w:rsidR="00F3177F" w:rsidRDefault="0089671D">
      <w:pPr>
        <w:spacing w:before="143" w:line="360" w:lineRule="auto"/>
        <w:ind w:left="1124" w:right="115" w:hanging="540"/>
        <w:jc w:val="both"/>
        <w:rPr>
          <w:sz w:val="24"/>
        </w:rPr>
      </w:pPr>
      <w:r>
        <w:rPr>
          <w:spacing w:val="-3"/>
          <w:sz w:val="24"/>
        </w:rPr>
        <w:t xml:space="preserve">Department </w:t>
      </w:r>
      <w:r>
        <w:rPr>
          <w:sz w:val="24"/>
        </w:rPr>
        <w:t xml:space="preserve">of the </w:t>
      </w:r>
      <w:r>
        <w:rPr>
          <w:spacing w:val="-3"/>
          <w:sz w:val="24"/>
        </w:rPr>
        <w:t xml:space="preserve">Environment, Transport and </w:t>
      </w:r>
      <w:r>
        <w:rPr>
          <w:sz w:val="24"/>
        </w:rPr>
        <w:t xml:space="preserve">the Regions. </w:t>
      </w:r>
      <w:r>
        <w:rPr>
          <w:spacing w:val="-3"/>
          <w:sz w:val="24"/>
        </w:rPr>
        <w:t xml:space="preserve">(1996). </w:t>
      </w:r>
      <w:r>
        <w:rPr>
          <w:i/>
          <w:sz w:val="24"/>
        </w:rPr>
        <w:t xml:space="preserve">Energy </w:t>
      </w:r>
      <w:r>
        <w:rPr>
          <w:i/>
          <w:spacing w:val="-3"/>
          <w:sz w:val="24"/>
        </w:rPr>
        <w:t xml:space="preserve">Consumption Guide </w:t>
      </w:r>
      <w:r>
        <w:rPr>
          <w:i/>
          <w:sz w:val="24"/>
        </w:rPr>
        <w:t xml:space="preserve">51, ‘Energy </w:t>
      </w:r>
      <w:r>
        <w:rPr>
          <w:i/>
          <w:spacing w:val="-3"/>
          <w:sz w:val="24"/>
        </w:rPr>
        <w:t xml:space="preserve">efficiency </w:t>
      </w:r>
      <w:r>
        <w:rPr>
          <w:i/>
          <w:sz w:val="24"/>
        </w:rPr>
        <w:t xml:space="preserve">insports and recreation </w:t>
      </w:r>
      <w:r>
        <w:rPr>
          <w:i/>
          <w:spacing w:val="-3"/>
          <w:sz w:val="24"/>
        </w:rPr>
        <w:t xml:space="preserve">buildings: </w:t>
      </w:r>
      <w:r>
        <w:rPr>
          <w:i/>
          <w:sz w:val="24"/>
        </w:rPr>
        <w:t xml:space="preserve">a guide for </w:t>
      </w:r>
      <w:r>
        <w:rPr>
          <w:i/>
          <w:spacing w:val="-3"/>
          <w:sz w:val="24"/>
        </w:rPr>
        <w:t xml:space="preserve">owners </w:t>
      </w:r>
      <w:r>
        <w:rPr>
          <w:i/>
          <w:sz w:val="24"/>
        </w:rPr>
        <w:t xml:space="preserve">and energy </w:t>
      </w:r>
      <w:r>
        <w:rPr>
          <w:i/>
          <w:spacing w:val="-3"/>
          <w:sz w:val="24"/>
        </w:rPr>
        <w:t>managers’</w:t>
      </w:r>
      <w:r>
        <w:rPr>
          <w:spacing w:val="-3"/>
          <w:sz w:val="24"/>
        </w:rPr>
        <w:t xml:space="preserve">. London: </w:t>
      </w:r>
      <w:r>
        <w:rPr>
          <w:sz w:val="24"/>
        </w:rPr>
        <w:t>DETR.</w:t>
      </w:r>
    </w:p>
    <w:p w:rsidR="00F3177F" w:rsidRDefault="00F3177F">
      <w:pPr>
        <w:pStyle w:val="BodyText"/>
      </w:pPr>
    </w:p>
    <w:p w:rsidR="00F3177F" w:rsidRDefault="0089671D">
      <w:pPr>
        <w:pStyle w:val="BodyText"/>
        <w:spacing w:before="143" w:line="360" w:lineRule="auto"/>
        <w:ind w:left="1124" w:right="118" w:hanging="540"/>
        <w:jc w:val="both"/>
      </w:pPr>
      <w:r>
        <w:rPr>
          <w:spacing w:val="-3"/>
        </w:rPr>
        <w:t xml:space="preserve">Desideri, </w:t>
      </w:r>
      <w:r>
        <w:t xml:space="preserve">U., &amp; </w:t>
      </w:r>
      <w:r>
        <w:rPr>
          <w:spacing w:val="-2"/>
        </w:rPr>
        <w:t xml:space="preserve">Proietti, </w:t>
      </w:r>
      <w:r>
        <w:t xml:space="preserve">S. </w:t>
      </w:r>
      <w:r>
        <w:rPr>
          <w:spacing w:val="-3"/>
        </w:rPr>
        <w:t xml:space="preserve">(2002). Analysis </w:t>
      </w:r>
      <w:r>
        <w:t xml:space="preserve">of energy </w:t>
      </w:r>
      <w:r>
        <w:rPr>
          <w:spacing w:val="-3"/>
        </w:rPr>
        <w:t xml:space="preserve">consumption </w:t>
      </w:r>
      <w:r>
        <w:t xml:space="preserve">in the </w:t>
      </w:r>
      <w:r>
        <w:rPr>
          <w:spacing w:val="-3"/>
        </w:rPr>
        <w:t xml:space="preserve">high schools </w:t>
      </w:r>
      <w:r>
        <w:t xml:space="preserve">of a province in </w:t>
      </w:r>
      <w:r>
        <w:rPr>
          <w:spacing w:val="-3"/>
        </w:rPr>
        <w:t xml:space="preserve">central </w:t>
      </w:r>
      <w:r>
        <w:t xml:space="preserve">Italy, </w:t>
      </w:r>
      <w:r>
        <w:rPr>
          <w:i/>
          <w:spacing w:val="-3"/>
        </w:rPr>
        <w:t xml:space="preserve">Energy </w:t>
      </w:r>
      <w:r>
        <w:rPr>
          <w:i/>
        </w:rPr>
        <w:t xml:space="preserve">and </w:t>
      </w:r>
      <w:r>
        <w:rPr>
          <w:i/>
          <w:spacing w:val="-3"/>
        </w:rPr>
        <w:t xml:space="preserve">Buildings, </w:t>
      </w:r>
      <w:r>
        <w:rPr>
          <w:i/>
        </w:rPr>
        <w:t xml:space="preserve">34, </w:t>
      </w:r>
      <w:r>
        <w:rPr>
          <w:spacing w:val="-3"/>
        </w:rPr>
        <w:t>1003-1016.</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8" w:hanging="540"/>
        <w:jc w:val="both"/>
      </w:pPr>
      <w:r>
        <w:lastRenderedPageBreak/>
        <w:t xml:space="preserve">Dijk, D.V. (2009). Background, status and future of the CEN standards to support the Energy Performance of Buildings Directive (EPBD). Delft, </w:t>
      </w:r>
      <w:proofErr w:type="gramStart"/>
      <w:r>
        <w:t>The</w:t>
      </w:r>
      <w:proofErr w:type="gramEnd"/>
      <w:r>
        <w:t xml:space="preserve"> Netherlands.</w:t>
      </w:r>
    </w:p>
    <w:p w:rsidR="00F3177F" w:rsidRDefault="00F3177F">
      <w:pPr>
        <w:pStyle w:val="BodyText"/>
      </w:pPr>
    </w:p>
    <w:p w:rsidR="00F3177F" w:rsidRDefault="0089671D">
      <w:pPr>
        <w:pStyle w:val="BodyText"/>
        <w:spacing w:before="143" w:line="360" w:lineRule="auto"/>
        <w:ind w:left="1124" w:right="118" w:hanging="540"/>
        <w:jc w:val="both"/>
      </w:pPr>
      <w:r>
        <w:t xml:space="preserve">Dimoudi, A., &amp; Kostarela, P. (2009). Energy monitoring and conservation potential in school buildings in the C’ climatic zone of Greece, </w:t>
      </w:r>
      <w:r>
        <w:rPr>
          <w:i/>
        </w:rPr>
        <w:t xml:space="preserve">Renew. Energy, 34, </w:t>
      </w:r>
      <w:r>
        <w:t>289-296.</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Dobson, </w:t>
      </w:r>
      <w:r>
        <w:t xml:space="preserve">J., &amp; </w:t>
      </w:r>
      <w:r>
        <w:rPr>
          <w:spacing w:val="-3"/>
        </w:rPr>
        <w:t xml:space="preserve">Carter, </w:t>
      </w:r>
      <w:r>
        <w:t xml:space="preserve">K. </w:t>
      </w:r>
      <w:r>
        <w:rPr>
          <w:spacing w:val="-3"/>
        </w:rPr>
        <w:t xml:space="preserve">(2010). </w:t>
      </w:r>
      <w:r>
        <w:t xml:space="preserve">An </w:t>
      </w:r>
      <w:r>
        <w:rPr>
          <w:spacing w:val="-3"/>
        </w:rPr>
        <w:t xml:space="preserve">Attitudinal </w:t>
      </w:r>
      <w:r>
        <w:t xml:space="preserve">and </w:t>
      </w:r>
      <w:r>
        <w:rPr>
          <w:spacing w:val="-3"/>
        </w:rPr>
        <w:t xml:space="preserve">Behavioural </w:t>
      </w:r>
      <w:r>
        <w:t xml:space="preserve">Study of Scottish </w:t>
      </w:r>
      <w:r>
        <w:rPr>
          <w:spacing w:val="-2"/>
        </w:rPr>
        <w:t xml:space="preserve">Pupils </w:t>
      </w:r>
      <w:r>
        <w:t xml:space="preserve">in </w:t>
      </w:r>
      <w:r>
        <w:rPr>
          <w:spacing w:val="-3"/>
        </w:rPr>
        <w:t xml:space="preserve">Regards </w:t>
      </w:r>
      <w:r>
        <w:t xml:space="preserve">to Energy </w:t>
      </w:r>
      <w:r>
        <w:rPr>
          <w:spacing w:val="-3"/>
        </w:rPr>
        <w:t xml:space="preserve">Consumption </w:t>
      </w:r>
      <w:r>
        <w:t xml:space="preserve">in </w:t>
      </w:r>
      <w:r>
        <w:rPr>
          <w:spacing w:val="-3"/>
        </w:rPr>
        <w:t xml:space="preserve">Schools, </w:t>
      </w:r>
      <w:r>
        <w:t xml:space="preserve">CIB World </w:t>
      </w:r>
      <w:r>
        <w:rPr>
          <w:spacing w:val="-3"/>
        </w:rPr>
        <w:t xml:space="preserve">Building </w:t>
      </w:r>
      <w:r>
        <w:t xml:space="preserve">Congress, </w:t>
      </w:r>
      <w:r>
        <w:rPr>
          <w:spacing w:val="-3"/>
        </w:rPr>
        <w:t xml:space="preserve">United Kingdom, </w:t>
      </w:r>
      <w:proofErr w:type="gramStart"/>
      <w:r>
        <w:t>p</w:t>
      </w:r>
      <w:proofErr w:type="gramEnd"/>
      <w:r>
        <w:t xml:space="preserve">. </w:t>
      </w:r>
      <w:r>
        <w:rPr>
          <w:spacing w:val="-3"/>
        </w:rPr>
        <w:t>127–137.</w:t>
      </w:r>
    </w:p>
    <w:p w:rsidR="00F3177F" w:rsidRDefault="00F3177F">
      <w:pPr>
        <w:pStyle w:val="BodyText"/>
      </w:pPr>
    </w:p>
    <w:p w:rsidR="00F3177F" w:rsidRDefault="0089671D">
      <w:pPr>
        <w:pStyle w:val="BodyText"/>
        <w:spacing w:before="143" w:line="360" w:lineRule="auto"/>
        <w:ind w:left="1124" w:right="114" w:hanging="540"/>
        <w:jc w:val="both"/>
      </w:pPr>
      <w:r>
        <w:t xml:space="preserve">Dubois, M.C., &amp; Blomsterberg, A. (2011). Energy saving potential and strategies for electric lighting in future North European, low energy office buildings: a literature review, </w:t>
      </w:r>
      <w:r>
        <w:rPr>
          <w:i/>
        </w:rPr>
        <w:t>Energy Build</w:t>
      </w:r>
      <w:r>
        <w:t xml:space="preserve">., </w:t>
      </w:r>
      <w:r>
        <w:rPr>
          <w:i/>
        </w:rPr>
        <w:t xml:space="preserve">43, </w:t>
      </w:r>
      <w:r>
        <w:t>2572-2582.</w:t>
      </w:r>
    </w:p>
    <w:p w:rsidR="00F3177F" w:rsidRDefault="00F3177F">
      <w:pPr>
        <w:pStyle w:val="BodyText"/>
      </w:pPr>
    </w:p>
    <w:p w:rsidR="00F3177F" w:rsidRDefault="0089671D">
      <w:pPr>
        <w:pStyle w:val="BodyText"/>
        <w:tabs>
          <w:tab w:val="left" w:pos="1829"/>
          <w:tab w:val="left" w:pos="2775"/>
          <w:tab w:val="left" w:pos="3647"/>
          <w:tab w:val="left" w:pos="4871"/>
          <w:tab w:val="left" w:pos="6370"/>
          <w:tab w:val="left" w:pos="6980"/>
          <w:tab w:val="left" w:pos="7865"/>
        </w:tabs>
        <w:spacing w:before="143" w:line="360" w:lineRule="auto"/>
        <w:ind w:left="1124" w:right="114" w:hanging="540"/>
      </w:pPr>
      <w:r>
        <w:rPr>
          <w:spacing w:val="-3"/>
        </w:rPr>
        <w:t xml:space="preserve">Durkay, </w:t>
      </w:r>
      <w:r>
        <w:t xml:space="preserve">J. </w:t>
      </w:r>
      <w:r>
        <w:rPr>
          <w:spacing w:val="-3"/>
        </w:rPr>
        <w:t xml:space="preserve">(2013). </w:t>
      </w:r>
      <w:r>
        <w:rPr>
          <w:i/>
        </w:rPr>
        <w:t xml:space="preserve">State </w:t>
      </w:r>
      <w:r>
        <w:rPr>
          <w:i/>
          <w:spacing w:val="-3"/>
        </w:rPr>
        <w:t xml:space="preserve">Energy Savings </w:t>
      </w:r>
      <w:r>
        <w:rPr>
          <w:i/>
        </w:rPr>
        <w:t xml:space="preserve">Performance Contracting. </w:t>
      </w:r>
      <w:r>
        <w:t xml:space="preserve">Retrieved </w:t>
      </w:r>
      <w:r>
        <w:rPr>
          <w:spacing w:val="-3"/>
        </w:rPr>
        <w:t xml:space="preserve">September, </w:t>
      </w:r>
      <w:r>
        <w:t>12,</w:t>
      </w:r>
      <w:r>
        <w:tab/>
        <w:t>2015,</w:t>
      </w:r>
      <w:r>
        <w:tab/>
      </w:r>
      <w:r>
        <w:rPr>
          <w:spacing w:val="-3"/>
        </w:rPr>
        <w:t>from</w:t>
      </w:r>
      <w:r>
        <w:rPr>
          <w:spacing w:val="-3"/>
        </w:rPr>
        <w:tab/>
        <w:t>National</w:t>
      </w:r>
      <w:r>
        <w:rPr>
          <w:spacing w:val="-3"/>
        </w:rPr>
        <w:tab/>
        <w:t>Conference</w:t>
      </w:r>
      <w:r>
        <w:rPr>
          <w:spacing w:val="-3"/>
        </w:rPr>
        <w:tab/>
      </w:r>
      <w:r>
        <w:t>of</w:t>
      </w:r>
      <w:r>
        <w:tab/>
        <w:t>State</w:t>
      </w:r>
      <w:r>
        <w:tab/>
      </w:r>
      <w:r>
        <w:rPr>
          <w:spacing w:val="-3"/>
        </w:rPr>
        <w:t xml:space="preserve">Legislatures: </w:t>
      </w:r>
      <w:hyperlink r:id="rId88">
        <w:r>
          <w:rPr>
            <w:spacing w:val="-3"/>
          </w:rPr>
          <w:t>http://www.ncsl.org/research/energy/state-energy-savings-performance-</w:t>
        </w:r>
      </w:hyperlink>
      <w:r>
        <w:rPr>
          <w:spacing w:val="-3"/>
        </w:rPr>
        <w:t xml:space="preserve"> contracting.aspx</w:t>
      </w:r>
    </w:p>
    <w:p w:rsidR="00F3177F" w:rsidRDefault="00F3177F">
      <w:pPr>
        <w:pStyle w:val="BodyText"/>
      </w:pPr>
    </w:p>
    <w:p w:rsidR="00F3177F" w:rsidRDefault="0089671D">
      <w:pPr>
        <w:spacing w:before="143" w:line="360" w:lineRule="auto"/>
        <w:ind w:left="1124" w:right="115" w:hanging="540"/>
        <w:jc w:val="both"/>
        <w:rPr>
          <w:sz w:val="24"/>
        </w:rPr>
      </w:pPr>
      <w:r>
        <w:rPr>
          <w:sz w:val="24"/>
        </w:rPr>
        <w:t xml:space="preserve">Elbayoumi, M., Ramli, N.A., Yusof, N.F.F., &amp; Madhoun, W.A. (2014). Inﬂuence of seasonal variation on thermal comfort and ventilation rates in Gaza Strip climate. </w:t>
      </w:r>
      <w:r>
        <w:rPr>
          <w:i/>
          <w:sz w:val="24"/>
        </w:rPr>
        <w:t xml:space="preserve">Turkish Journal of Engineering and Environmental Sciences, 38, </w:t>
      </w:r>
      <w:r>
        <w:rPr>
          <w:sz w:val="24"/>
        </w:rPr>
        <w:t>(2), 197-208.</w:t>
      </w:r>
    </w:p>
    <w:p w:rsidR="00F3177F" w:rsidRDefault="00F3177F">
      <w:pPr>
        <w:pStyle w:val="BodyText"/>
      </w:pPr>
    </w:p>
    <w:p w:rsidR="00F3177F" w:rsidRDefault="0089671D">
      <w:pPr>
        <w:tabs>
          <w:tab w:val="left" w:pos="2170"/>
          <w:tab w:val="left" w:pos="3131"/>
          <w:tab w:val="left" w:pos="4388"/>
          <w:tab w:val="left" w:pos="5727"/>
          <w:tab w:val="left" w:pos="6363"/>
          <w:tab w:val="left" w:pos="7234"/>
          <w:tab w:val="left" w:pos="8037"/>
        </w:tabs>
        <w:spacing w:before="143" w:line="360" w:lineRule="auto"/>
        <w:ind w:left="1124" w:right="112" w:hanging="540"/>
        <w:rPr>
          <w:sz w:val="24"/>
        </w:rPr>
      </w:pPr>
      <w:r>
        <w:rPr>
          <w:spacing w:val="-3"/>
          <w:sz w:val="24"/>
        </w:rPr>
        <w:t xml:space="preserve">Electrolux. (2011, </w:t>
      </w:r>
      <w:r>
        <w:rPr>
          <w:sz w:val="24"/>
        </w:rPr>
        <w:t xml:space="preserve">January 14). </w:t>
      </w:r>
      <w:r>
        <w:rPr>
          <w:i/>
          <w:sz w:val="24"/>
        </w:rPr>
        <w:t xml:space="preserve">Electrolux executive takes </w:t>
      </w:r>
      <w:r>
        <w:rPr>
          <w:i/>
          <w:spacing w:val="-3"/>
          <w:sz w:val="24"/>
        </w:rPr>
        <w:t xml:space="preserve">part </w:t>
      </w:r>
      <w:r>
        <w:rPr>
          <w:i/>
          <w:sz w:val="24"/>
        </w:rPr>
        <w:t xml:space="preserve">in </w:t>
      </w:r>
      <w:r>
        <w:rPr>
          <w:i/>
          <w:spacing w:val="-3"/>
          <w:sz w:val="24"/>
        </w:rPr>
        <w:t xml:space="preserve">call </w:t>
      </w:r>
      <w:r>
        <w:rPr>
          <w:i/>
          <w:sz w:val="24"/>
        </w:rPr>
        <w:t xml:space="preserve">for binding </w:t>
      </w:r>
      <w:r>
        <w:rPr>
          <w:i/>
          <w:spacing w:val="-3"/>
          <w:sz w:val="24"/>
        </w:rPr>
        <w:t>energy savings</w:t>
      </w:r>
      <w:r>
        <w:rPr>
          <w:i/>
          <w:spacing w:val="-3"/>
          <w:sz w:val="24"/>
        </w:rPr>
        <w:tab/>
      </w:r>
      <w:r>
        <w:rPr>
          <w:i/>
          <w:sz w:val="24"/>
        </w:rPr>
        <w:t>target</w:t>
      </w:r>
      <w:r>
        <w:rPr>
          <w:sz w:val="24"/>
        </w:rPr>
        <w:t>.</w:t>
      </w:r>
      <w:r>
        <w:rPr>
          <w:sz w:val="24"/>
        </w:rPr>
        <w:tab/>
      </w:r>
      <w:r>
        <w:rPr>
          <w:spacing w:val="-3"/>
          <w:sz w:val="24"/>
        </w:rPr>
        <w:t>Retrieved</w:t>
      </w:r>
      <w:r>
        <w:rPr>
          <w:spacing w:val="-3"/>
          <w:sz w:val="24"/>
        </w:rPr>
        <w:tab/>
      </w:r>
      <w:r>
        <w:rPr>
          <w:sz w:val="24"/>
        </w:rPr>
        <w:t>November</w:t>
      </w:r>
      <w:r>
        <w:rPr>
          <w:sz w:val="24"/>
        </w:rPr>
        <w:tab/>
        <w:t>04,</w:t>
      </w:r>
      <w:r>
        <w:rPr>
          <w:sz w:val="24"/>
        </w:rPr>
        <w:tab/>
      </w:r>
      <w:r>
        <w:rPr>
          <w:spacing w:val="-3"/>
          <w:sz w:val="24"/>
        </w:rPr>
        <w:t>2015,</w:t>
      </w:r>
      <w:r>
        <w:rPr>
          <w:spacing w:val="-3"/>
          <w:sz w:val="24"/>
        </w:rPr>
        <w:tab/>
      </w:r>
      <w:r>
        <w:rPr>
          <w:sz w:val="24"/>
        </w:rPr>
        <w:t>from</w:t>
      </w:r>
      <w:r>
        <w:rPr>
          <w:sz w:val="24"/>
        </w:rPr>
        <w:tab/>
      </w:r>
      <w:r>
        <w:rPr>
          <w:spacing w:val="-3"/>
          <w:sz w:val="24"/>
        </w:rPr>
        <w:t xml:space="preserve">Electrolux: </w:t>
      </w:r>
      <w:hyperlink r:id="rId89">
        <w:r>
          <w:rPr>
            <w:spacing w:val="-3"/>
            <w:sz w:val="24"/>
            <w:u w:val="single"/>
          </w:rPr>
          <w:t>http://www.electroluxgroup.com/en/electrolux-executive-takes-part-in-call-for-</w:t>
        </w:r>
      </w:hyperlink>
      <w:r>
        <w:rPr>
          <w:spacing w:val="-3"/>
          <w:sz w:val="24"/>
          <w:u w:val="single"/>
        </w:rPr>
        <w:t xml:space="preserve"> </w:t>
      </w:r>
      <w:hyperlink r:id="rId90">
        <w:r>
          <w:rPr>
            <w:spacing w:val="-3"/>
            <w:sz w:val="24"/>
            <w:u w:val="single"/>
          </w:rPr>
          <w:t>binding-energy-savings-target-9042/</w:t>
        </w:r>
      </w:hyperlink>
    </w:p>
    <w:p w:rsidR="00F3177F" w:rsidRDefault="00F3177F">
      <w:pPr>
        <w:spacing w:line="360" w:lineRule="auto"/>
        <w:rPr>
          <w:sz w:val="24"/>
        </w:rPr>
        <w:sectPr w:rsidR="00F3177F">
          <w:pgSz w:w="12240" w:h="15840"/>
          <w:pgMar w:top="1380" w:right="1320" w:bottom="2320" w:left="1720" w:header="0" w:footer="2072" w:gutter="0"/>
          <w:cols w:space="720"/>
        </w:sectPr>
      </w:pPr>
    </w:p>
    <w:p w:rsidR="00F3177F" w:rsidRDefault="0089671D">
      <w:pPr>
        <w:spacing w:before="54" w:line="360" w:lineRule="auto"/>
        <w:ind w:left="1124" w:right="118" w:hanging="540"/>
        <w:jc w:val="both"/>
        <w:rPr>
          <w:sz w:val="24"/>
        </w:rPr>
      </w:pPr>
      <w:r>
        <w:rPr>
          <w:sz w:val="24"/>
        </w:rPr>
        <w:lastRenderedPageBreak/>
        <w:t xml:space="preserve">EVO. (2014). </w:t>
      </w:r>
      <w:r>
        <w:rPr>
          <w:i/>
          <w:sz w:val="24"/>
        </w:rPr>
        <w:t>IPMVP Statistics and Uncertainty 2014</w:t>
      </w:r>
      <w:r>
        <w:rPr>
          <w:sz w:val="24"/>
        </w:rPr>
        <w:t xml:space="preserve">. Retrieved May 23, 2015, from evo: </w:t>
      </w:r>
      <w:hyperlink r:id="rId91">
        <w:r>
          <w:rPr>
            <w:sz w:val="24"/>
          </w:rPr>
          <w:t>http://www.evo-world.org/index.php?lang=en</w:t>
        </w:r>
      </w:hyperlink>
    </w:p>
    <w:p w:rsidR="00F3177F" w:rsidRDefault="00F3177F">
      <w:pPr>
        <w:pStyle w:val="BodyText"/>
      </w:pPr>
    </w:p>
    <w:p w:rsidR="00F3177F" w:rsidRDefault="0089671D">
      <w:pPr>
        <w:pStyle w:val="BodyText"/>
        <w:spacing w:before="143" w:line="360" w:lineRule="auto"/>
        <w:ind w:left="1124" w:right="110" w:hanging="540"/>
        <w:jc w:val="both"/>
      </w:pPr>
      <w:r>
        <w:rPr>
          <w:spacing w:val="-3"/>
        </w:rPr>
        <w:t xml:space="preserve">Government’s </w:t>
      </w:r>
      <w:r>
        <w:t xml:space="preserve">Energy </w:t>
      </w:r>
      <w:r>
        <w:rPr>
          <w:spacing w:val="-3"/>
        </w:rPr>
        <w:t xml:space="preserve">Efficiency. (1998). </w:t>
      </w:r>
      <w:r>
        <w:t xml:space="preserve">Energy </w:t>
      </w:r>
      <w:r>
        <w:rPr>
          <w:spacing w:val="-3"/>
        </w:rPr>
        <w:t xml:space="preserve">Consumption </w:t>
      </w:r>
      <w:r>
        <w:t xml:space="preserve">Guide 73: Saving energy in </w:t>
      </w:r>
      <w:r>
        <w:rPr>
          <w:spacing w:val="-3"/>
        </w:rPr>
        <w:t xml:space="preserve">schools: </w:t>
      </w:r>
      <w:r>
        <w:t xml:space="preserve">A guide </w:t>
      </w:r>
      <w:r>
        <w:rPr>
          <w:spacing w:val="-3"/>
        </w:rPr>
        <w:t xml:space="preserve">for head teachers, governors, premises managers </w:t>
      </w:r>
      <w:r>
        <w:t xml:space="preserve">and </w:t>
      </w:r>
      <w:r>
        <w:rPr>
          <w:spacing w:val="-3"/>
        </w:rPr>
        <w:t xml:space="preserve">school </w:t>
      </w:r>
      <w:r>
        <w:t xml:space="preserve">energy managers. </w:t>
      </w:r>
      <w:r>
        <w:rPr>
          <w:spacing w:val="-3"/>
        </w:rPr>
        <w:t xml:space="preserve">Best Practice </w:t>
      </w:r>
      <w:r>
        <w:t xml:space="preserve">Programme – Energy </w:t>
      </w:r>
      <w:r>
        <w:rPr>
          <w:spacing w:val="-3"/>
        </w:rPr>
        <w:t xml:space="preserve">Efficiency. Retrieved November </w:t>
      </w:r>
      <w:r>
        <w:t xml:space="preserve">17, </w:t>
      </w:r>
      <w:r>
        <w:rPr>
          <w:spacing w:val="-3"/>
        </w:rPr>
        <w:t xml:space="preserve">2014 </w:t>
      </w:r>
      <w:r>
        <w:t xml:space="preserve">from </w:t>
      </w:r>
      <w:hyperlink r:id="rId92">
        <w:r>
          <w:rPr>
            <w:spacing w:val="-3"/>
          </w:rPr>
          <w:t>http://www.cibse.org/getmedia/082e52c7-b87a-404d-</w:t>
        </w:r>
      </w:hyperlink>
      <w:r>
        <w:rPr>
          <w:spacing w:val="-3"/>
        </w:rPr>
        <w:t xml:space="preserve"> a4d1-68d0e8e0cf20/ECG73-Saving-Energy-in-Schools.pdf.aspx</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EnergyStar. (2013). </w:t>
      </w:r>
      <w:r>
        <w:rPr>
          <w:i/>
          <w:spacing w:val="-3"/>
        </w:rPr>
        <w:t xml:space="preserve">Guidelines </w:t>
      </w:r>
      <w:r>
        <w:rPr>
          <w:i/>
        </w:rPr>
        <w:t xml:space="preserve">for </w:t>
      </w:r>
      <w:r>
        <w:rPr>
          <w:i/>
          <w:spacing w:val="-3"/>
        </w:rPr>
        <w:t xml:space="preserve">Energy </w:t>
      </w:r>
      <w:r>
        <w:rPr>
          <w:i/>
        </w:rPr>
        <w:t>Management</w:t>
      </w:r>
      <w:r>
        <w:t xml:space="preserve">. </w:t>
      </w:r>
      <w:r>
        <w:rPr>
          <w:spacing w:val="-3"/>
        </w:rPr>
        <w:t xml:space="preserve">Retrieved </w:t>
      </w:r>
      <w:r>
        <w:rPr>
          <w:spacing w:val="-2"/>
        </w:rPr>
        <w:t xml:space="preserve">September </w:t>
      </w:r>
      <w:r>
        <w:t xml:space="preserve">17, </w:t>
      </w:r>
      <w:r>
        <w:rPr>
          <w:spacing w:val="-3"/>
        </w:rPr>
        <w:t xml:space="preserve">2016, from </w:t>
      </w:r>
      <w:hyperlink r:id="rId93">
        <w:r>
          <w:rPr>
            <w:spacing w:val="-3"/>
          </w:rPr>
          <w:t>https://www.energystar.gov/sites/default/files/buildings/tools/Guidelines%</w:t>
        </w:r>
      </w:hyperlink>
      <w:r>
        <w:rPr>
          <w:spacing w:val="-3"/>
        </w:rPr>
        <w:t xml:space="preserve"> 20for%20Energy%20Management%206_2013.pdf</w:t>
      </w:r>
    </w:p>
    <w:p w:rsidR="00F3177F" w:rsidRDefault="00F3177F">
      <w:pPr>
        <w:pStyle w:val="BodyText"/>
      </w:pPr>
    </w:p>
    <w:p w:rsidR="00F3177F" w:rsidRDefault="0089671D">
      <w:pPr>
        <w:spacing w:before="143" w:line="360" w:lineRule="auto"/>
        <w:ind w:left="1124" w:right="116" w:hanging="540"/>
        <w:rPr>
          <w:sz w:val="24"/>
        </w:rPr>
      </w:pPr>
      <w:r>
        <w:rPr>
          <w:sz w:val="24"/>
        </w:rPr>
        <w:t xml:space="preserve">Environmental and Energy Study Institute. (2010). </w:t>
      </w:r>
      <w:r>
        <w:rPr>
          <w:i/>
          <w:sz w:val="24"/>
        </w:rPr>
        <w:t xml:space="preserve">Energy-Efficient Buildings: Using whole building design to reduce energy consumption in homes and offices. </w:t>
      </w:r>
      <w:r>
        <w:rPr>
          <w:sz w:val="24"/>
        </w:rPr>
        <w:t xml:space="preserve">Retrieved November 13, 2014 from Environmental and Energy Study Institute: </w:t>
      </w:r>
      <w:hyperlink r:id="rId94">
        <w:r>
          <w:rPr>
            <w:sz w:val="24"/>
            <w:u w:val="single"/>
          </w:rPr>
          <w:t>http://www.eesi.org/papers/view/fact-sheet-building-energy-</w:t>
        </w:r>
      </w:hyperlink>
      <w:r>
        <w:rPr>
          <w:sz w:val="24"/>
          <w:u w:val="single"/>
        </w:rPr>
        <w:t xml:space="preserve"> efficiency</w:t>
      </w:r>
      <w:proofErr w:type="gramStart"/>
      <w:r>
        <w:rPr>
          <w:sz w:val="24"/>
          <w:u w:val="single"/>
        </w:rPr>
        <w:t>?/</w:t>
      </w:r>
      <w:proofErr w:type="gramEnd"/>
      <w:r>
        <w:rPr>
          <w:sz w:val="24"/>
          <w:u w:val="single"/>
        </w:rPr>
        <w:t>buildings_efficiency_0506</w:t>
      </w:r>
      <w:r>
        <w:rPr>
          <w:sz w:val="24"/>
        </w:rPr>
        <w:t>.</w:t>
      </w:r>
    </w:p>
    <w:p w:rsidR="00F3177F" w:rsidRDefault="00F3177F">
      <w:pPr>
        <w:pStyle w:val="BodyText"/>
        <w:rPr>
          <w:sz w:val="20"/>
        </w:rPr>
      </w:pPr>
    </w:p>
    <w:p w:rsidR="00F3177F" w:rsidRDefault="0089671D">
      <w:pPr>
        <w:pStyle w:val="BodyText"/>
        <w:spacing w:before="189" w:line="360" w:lineRule="auto"/>
        <w:ind w:left="1124" w:right="117" w:hanging="540"/>
        <w:jc w:val="both"/>
      </w:pPr>
      <w:r>
        <w:t>EU. (2008). Energy and Transport in Figures, Statistical Pocket Book 2007/2008; European Communities: Brussels, Belgium.</w:t>
      </w:r>
    </w:p>
    <w:p w:rsidR="00F3177F" w:rsidRDefault="00F3177F">
      <w:pPr>
        <w:pStyle w:val="BodyText"/>
      </w:pPr>
    </w:p>
    <w:p w:rsidR="00F3177F" w:rsidRDefault="0089671D">
      <w:pPr>
        <w:pStyle w:val="BodyText"/>
        <w:spacing w:before="143" w:line="360" w:lineRule="auto"/>
        <w:ind w:left="1124" w:right="113" w:hanging="540"/>
        <w:jc w:val="both"/>
      </w:pPr>
      <w:r>
        <w:t xml:space="preserve">EUR-Lex. (2015). </w:t>
      </w:r>
      <w:r>
        <w:rPr>
          <w:i/>
        </w:rPr>
        <w:t>Energy efficiency for the 2020</w:t>
      </w:r>
      <w:r>
        <w:t xml:space="preserve">. Retrieved June 27, 2015, from </w:t>
      </w:r>
      <w:hyperlink r:id="rId95">
        <w:r>
          <w:t>http://eur-lex.europa.eu/legal-content/EN/TXT/HTML/?uri=URISERV: en0002&amp;</w:t>
        </w:r>
      </w:hyperlink>
      <w:r>
        <w:t xml:space="preserve"> </w:t>
      </w:r>
      <w:hyperlink r:id="rId96">
        <w:r>
          <w:t>from=EN,</w:t>
        </w:r>
      </w:hyperlink>
      <w:r>
        <w:t xml:space="preserve"> last visited on.</w:t>
      </w:r>
    </w:p>
    <w:p w:rsidR="00F3177F" w:rsidRDefault="00F3177F">
      <w:pPr>
        <w:pStyle w:val="BodyText"/>
      </w:pPr>
    </w:p>
    <w:p w:rsidR="00F3177F" w:rsidRDefault="0089671D">
      <w:pPr>
        <w:pStyle w:val="BodyText"/>
        <w:spacing w:before="143" w:line="360" w:lineRule="auto"/>
        <w:ind w:left="1124" w:right="116" w:hanging="540"/>
        <w:jc w:val="both"/>
      </w:pPr>
      <w:r>
        <w:t xml:space="preserve">European Commission. (n.d.). </w:t>
      </w:r>
      <w:r>
        <w:rPr>
          <w:i/>
        </w:rPr>
        <w:t xml:space="preserve">Buildings. </w:t>
      </w:r>
      <w:r>
        <w:t xml:space="preserve">Retrieved February 07, 2015, from </w:t>
      </w:r>
      <w:hyperlink r:id="rId97">
        <w:r>
          <w:t>https://ec.europa.eu/energy/en/topics/energy-efficiency/buildings</w:t>
        </w:r>
      </w:hyperlink>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spacing w:before="54" w:line="360" w:lineRule="auto"/>
        <w:ind w:left="1124" w:right="117" w:hanging="540"/>
        <w:jc w:val="both"/>
        <w:rPr>
          <w:sz w:val="24"/>
        </w:rPr>
      </w:pPr>
      <w:r>
        <w:rPr>
          <w:spacing w:val="-3"/>
          <w:sz w:val="24"/>
        </w:rPr>
        <w:lastRenderedPageBreak/>
        <w:t xml:space="preserve">European Committee for Standardisation. (2006). </w:t>
      </w:r>
      <w:r>
        <w:rPr>
          <w:i/>
          <w:spacing w:val="-3"/>
          <w:sz w:val="24"/>
        </w:rPr>
        <w:t xml:space="preserve">Energy </w:t>
      </w:r>
      <w:proofErr w:type="gramStart"/>
      <w:r>
        <w:rPr>
          <w:i/>
          <w:sz w:val="24"/>
        </w:rPr>
        <w:t>performance  of</w:t>
      </w:r>
      <w:proofErr w:type="gramEnd"/>
      <w:r>
        <w:rPr>
          <w:i/>
          <w:sz w:val="24"/>
        </w:rPr>
        <w:t xml:space="preserve"> </w:t>
      </w:r>
      <w:r>
        <w:rPr>
          <w:i/>
          <w:spacing w:val="-3"/>
          <w:sz w:val="24"/>
        </w:rPr>
        <w:t xml:space="preserve">buildings.Overall </w:t>
      </w:r>
      <w:r>
        <w:rPr>
          <w:i/>
          <w:sz w:val="24"/>
        </w:rPr>
        <w:t xml:space="preserve">energy </w:t>
      </w:r>
      <w:r>
        <w:rPr>
          <w:i/>
          <w:spacing w:val="-3"/>
          <w:sz w:val="24"/>
        </w:rPr>
        <w:t xml:space="preserve">use, </w:t>
      </w:r>
      <w:r>
        <w:rPr>
          <w:i/>
          <w:sz w:val="24"/>
        </w:rPr>
        <w:t xml:space="preserve">CO2 </w:t>
      </w:r>
      <w:r>
        <w:rPr>
          <w:i/>
          <w:spacing w:val="-3"/>
          <w:sz w:val="24"/>
        </w:rPr>
        <w:t xml:space="preserve">emissions </w:t>
      </w:r>
      <w:r>
        <w:rPr>
          <w:i/>
          <w:sz w:val="24"/>
        </w:rPr>
        <w:t xml:space="preserve">and definition of </w:t>
      </w:r>
      <w:r>
        <w:rPr>
          <w:i/>
          <w:spacing w:val="-3"/>
          <w:sz w:val="24"/>
        </w:rPr>
        <w:t>ratings, prEN 15603</w:t>
      </w:r>
      <w:r>
        <w:rPr>
          <w:spacing w:val="-3"/>
          <w:sz w:val="24"/>
        </w:rPr>
        <w:t>, Brussels.</w:t>
      </w:r>
    </w:p>
    <w:p w:rsidR="00F3177F" w:rsidRDefault="00F3177F">
      <w:pPr>
        <w:pStyle w:val="BodyText"/>
      </w:pPr>
    </w:p>
    <w:p w:rsidR="00F3177F" w:rsidRDefault="0089671D">
      <w:pPr>
        <w:pStyle w:val="BodyText"/>
        <w:tabs>
          <w:tab w:val="left" w:pos="3481"/>
          <w:tab w:val="left" w:pos="5663"/>
          <w:tab w:val="left" w:pos="8083"/>
        </w:tabs>
        <w:spacing w:before="143" w:line="360" w:lineRule="auto"/>
        <w:ind w:left="584" w:right="115"/>
        <w:jc w:val="right"/>
      </w:pPr>
      <w:r>
        <w:rPr>
          <w:spacing w:val="-3"/>
        </w:rPr>
        <w:t xml:space="preserve">European </w:t>
      </w:r>
      <w:r>
        <w:t xml:space="preserve">Council. (2007, March 8/9). </w:t>
      </w:r>
      <w:r>
        <w:rPr>
          <w:i/>
        </w:rPr>
        <w:t xml:space="preserve">Presidency </w:t>
      </w:r>
      <w:r>
        <w:rPr>
          <w:i/>
          <w:spacing w:val="-3"/>
        </w:rPr>
        <w:t>Conclusions</w:t>
      </w:r>
      <w:r>
        <w:rPr>
          <w:i/>
          <w:spacing w:val="8"/>
        </w:rPr>
        <w:t xml:space="preserve"> </w:t>
      </w:r>
      <w:r>
        <w:rPr>
          <w:spacing w:val="-3"/>
        </w:rPr>
        <w:t>(7224/1/07).</w:t>
      </w:r>
      <w:r>
        <w:rPr>
          <w:spacing w:val="32"/>
        </w:rPr>
        <w:t xml:space="preserve"> </w:t>
      </w:r>
      <w:r>
        <w:t xml:space="preserve">Retrieved </w:t>
      </w:r>
      <w:r>
        <w:rPr>
          <w:spacing w:val="-3"/>
        </w:rPr>
        <w:t>September</w:t>
      </w:r>
      <w:r>
        <w:rPr>
          <w:spacing w:val="-3"/>
        </w:rPr>
        <w:tab/>
      </w:r>
      <w:r>
        <w:t>29,</w:t>
      </w:r>
      <w:r>
        <w:tab/>
      </w:r>
      <w:r>
        <w:rPr>
          <w:spacing w:val="-3"/>
        </w:rPr>
        <w:t>2014,</w:t>
      </w:r>
      <w:r>
        <w:rPr>
          <w:spacing w:val="-3"/>
        </w:rPr>
        <w:tab/>
        <w:t>from</w:t>
      </w:r>
      <w:hyperlink r:id="rId98">
        <w:r>
          <w:t xml:space="preserve"> </w:t>
        </w:r>
        <w:r>
          <w:rPr>
            <w:spacing w:val="-3"/>
          </w:rPr>
          <w:t>http://www.consilium.europa.eu/ueDocs/cms_Data/docs/pressData/en/ec/93135.pdf</w:t>
        </w:r>
      </w:hyperlink>
    </w:p>
    <w:p w:rsidR="00F3177F" w:rsidRDefault="00F3177F">
      <w:pPr>
        <w:pStyle w:val="BodyText"/>
      </w:pPr>
    </w:p>
    <w:p w:rsidR="00F3177F" w:rsidRDefault="0089671D">
      <w:pPr>
        <w:spacing w:before="143" w:line="360" w:lineRule="auto"/>
        <w:ind w:left="1124" w:right="115" w:hanging="540"/>
        <w:rPr>
          <w:sz w:val="24"/>
        </w:rPr>
      </w:pPr>
      <w:r>
        <w:rPr>
          <w:spacing w:val="-3"/>
          <w:sz w:val="24"/>
        </w:rPr>
        <w:t xml:space="preserve">European Parliament </w:t>
      </w:r>
      <w:r>
        <w:rPr>
          <w:sz w:val="24"/>
        </w:rPr>
        <w:t xml:space="preserve">and the Council of the EU. (2007a). </w:t>
      </w:r>
      <w:r>
        <w:rPr>
          <w:i/>
          <w:sz w:val="24"/>
        </w:rPr>
        <w:t xml:space="preserve">European </w:t>
      </w:r>
      <w:r>
        <w:rPr>
          <w:i/>
          <w:spacing w:val="-3"/>
          <w:sz w:val="24"/>
        </w:rPr>
        <w:t xml:space="preserve">Standard: Ventilation </w:t>
      </w:r>
      <w:r>
        <w:rPr>
          <w:i/>
          <w:sz w:val="24"/>
        </w:rPr>
        <w:t xml:space="preserve">for </w:t>
      </w:r>
      <w:r>
        <w:rPr>
          <w:i/>
          <w:spacing w:val="-3"/>
          <w:sz w:val="24"/>
        </w:rPr>
        <w:t xml:space="preserve">non-residential buildings </w:t>
      </w:r>
      <w:r>
        <w:rPr>
          <w:i/>
          <w:sz w:val="24"/>
        </w:rPr>
        <w:t xml:space="preserve">- </w:t>
      </w:r>
      <w:r>
        <w:rPr>
          <w:i/>
          <w:spacing w:val="-3"/>
          <w:sz w:val="24"/>
        </w:rPr>
        <w:t xml:space="preserve">Performance requirements </w:t>
      </w:r>
      <w:r>
        <w:rPr>
          <w:i/>
          <w:sz w:val="24"/>
        </w:rPr>
        <w:t xml:space="preserve">for ventilation and </w:t>
      </w:r>
      <w:r>
        <w:rPr>
          <w:i/>
          <w:spacing w:val="-3"/>
          <w:sz w:val="24"/>
        </w:rPr>
        <w:t xml:space="preserve">room-conditioning systems </w:t>
      </w:r>
      <w:r>
        <w:rPr>
          <w:sz w:val="24"/>
        </w:rPr>
        <w:t xml:space="preserve">(EN13779). </w:t>
      </w:r>
      <w:r>
        <w:rPr>
          <w:spacing w:val="-3"/>
          <w:sz w:val="24"/>
        </w:rPr>
        <w:t xml:space="preserve">Retrieved </w:t>
      </w:r>
      <w:r>
        <w:rPr>
          <w:sz w:val="24"/>
        </w:rPr>
        <w:t xml:space="preserve">May 14, 2015, from </w:t>
      </w:r>
      <w:hyperlink r:id="rId99">
        <w:r>
          <w:rPr>
            <w:spacing w:val="-3"/>
            <w:sz w:val="24"/>
          </w:rPr>
          <w:t>http://www.cres.gr/greenbuilding/PDF/prend/set4/WI_25_Pre-</w:t>
        </w:r>
      </w:hyperlink>
      <w:r>
        <w:rPr>
          <w:spacing w:val="-3"/>
          <w:sz w:val="24"/>
        </w:rPr>
        <w:t xml:space="preserve"> FV_version_prEN_13779_Ventilation_for_non-resitential_buildings.pdf</w:t>
      </w:r>
    </w:p>
    <w:p w:rsidR="00F3177F" w:rsidRDefault="00F3177F">
      <w:pPr>
        <w:pStyle w:val="BodyText"/>
      </w:pPr>
    </w:p>
    <w:p w:rsidR="00F3177F" w:rsidRDefault="0089671D">
      <w:pPr>
        <w:tabs>
          <w:tab w:val="left" w:pos="2552"/>
          <w:tab w:val="left" w:pos="4228"/>
          <w:tab w:val="left" w:pos="5696"/>
          <w:tab w:val="left" w:pos="6685"/>
          <w:tab w:val="left" w:pos="7534"/>
          <w:tab w:val="left" w:pos="8621"/>
        </w:tabs>
        <w:spacing w:before="143" w:line="360" w:lineRule="auto"/>
        <w:ind w:left="1124" w:right="114" w:hanging="540"/>
        <w:rPr>
          <w:sz w:val="24"/>
        </w:rPr>
      </w:pPr>
      <w:r>
        <w:rPr>
          <w:spacing w:val="-3"/>
          <w:sz w:val="24"/>
        </w:rPr>
        <w:t xml:space="preserve">European Parliament and </w:t>
      </w:r>
      <w:r>
        <w:rPr>
          <w:sz w:val="24"/>
        </w:rPr>
        <w:t xml:space="preserve">the </w:t>
      </w:r>
      <w:r>
        <w:rPr>
          <w:spacing w:val="-3"/>
          <w:sz w:val="24"/>
        </w:rPr>
        <w:t xml:space="preserve">Council </w:t>
      </w:r>
      <w:r>
        <w:rPr>
          <w:sz w:val="24"/>
        </w:rPr>
        <w:t xml:space="preserve">of the EU. </w:t>
      </w:r>
      <w:r>
        <w:rPr>
          <w:spacing w:val="-3"/>
          <w:sz w:val="24"/>
        </w:rPr>
        <w:t xml:space="preserve">(2007b). </w:t>
      </w:r>
      <w:r>
        <w:rPr>
          <w:i/>
          <w:sz w:val="24"/>
        </w:rPr>
        <w:t xml:space="preserve">European </w:t>
      </w:r>
      <w:r>
        <w:rPr>
          <w:i/>
          <w:spacing w:val="-3"/>
          <w:sz w:val="24"/>
        </w:rPr>
        <w:t xml:space="preserve">Standard: Indoor environmental </w:t>
      </w:r>
      <w:r>
        <w:rPr>
          <w:i/>
          <w:sz w:val="24"/>
        </w:rPr>
        <w:t xml:space="preserve">input parameters for design and </w:t>
      </w:r>
      <w:r>
        <w:rPr>
          <w:i/>
          <w:spacing w:val="-3"/>
          <w:sz w:val="24"/>
        </w:rPr>
        <w:t xml:space="preserve">assessment </w:t>
      </w:r>
      <w:r>
        <w:rPr>
          <w:i/>
          <w:sz w:val="24"/>
        </w:rPr>
        <w:t xml:space="preserve">of energy </w:t>
      </w:r>
      <w:r>
        <w:rPr>
          <w:i/>
          <w:spacing w:val="-3"/>
          <w:sz w:val="24"/>
        </w:rPr>
        <w:t xml:space="preserve">performance </w:t>
      </w:r>
      <w:r>
        <w:rPr>
          <w:i/>
          <w:sz w:val="24"/>
        </w:rPr>
        <w:t xml:space="preserve">of </w:t>
      </w:r>
      <w:r>
        <w:rPr>
          <w:i/>
          <w:spacing w:val="-3"/>
          <w:sz w:val="24"/>
        </w:rPr>
        <w:t xml:space="preserve">buildings addressing indoor </w:t>
      </w:r>
      <w:r>
        <w:rPr>
          <w:i/>
          <w:sz w:val="24"/>
        </w:rPr>
        <w:t xml:space="preserve">air </w:t>
      </w:r>
      <w:r>
        <w:rPr>
          <w:i/>
          <w:spacing w:val="-3"/>
          <w:sz w:val="24"/>
        </w:rPr>
        <w:t xml:space="preserve">quality, thermal environment, </w:t>
      </w:r>
      <w:r>
        <w:rPr>
          <w:i/>
          <w:sz w:val="24"/>
        </w:rPr>
        <w:t xml:space="preserve">lighting and </w:t>
      </w:r>
      <w:r>
        <w:rPr>
          <w:i/>
          <w:spacing w:val="-3"/>
          <w:sz w:val="24"/>
        </w:rPr>
        <w:t>acoustics</w:t>
      </w:r>
      <w:r>
        <w:rPr>
          <w:i/>
          <w:spacing w:val="-3"/>
          <w:sz w:val="24"/>
        </w:rPr>
        <w:tab/>
      </w:r>
      <w:r>
        <w:rPr>
          <w:sz w:val="24"/>
        </w:rPr>
        <w:t>(EN15251).</w:t>
      </w:r>
      <w:r>
        <w:rPr>
          <w:sz w:val="24"/>
        </w:rPr>
        <w:tab/>
      </w:r>
      <w:r>
        <w:rPr>
          <w:spacing w:val="-3"/>
          <w:sz w:val="24"/>
        </w:rPr>
        <w:t>Retrieved</w:t>
      </w:r>
      <w:r>
        <w:rPr>
          <w:spacing w:val="-3"/>
          <w:sz w:val="24"/>
        </w:rPr>
        <w:tab/>
      </w:r>
      <w:r>
        <w:rPr>
          <w:sz w:val="24"/>
        </w:rPr>
        <w:t>May</w:t>
      </w:r>
      <w:r>
        <w:rPr>
          <w:sz w:val="24"/>
        </w:rPr>
        <w:tab/>
        <w:t>14,</w:t>
      </w:r>
      <w:r>
        <w:rPr>
          <w:sz w:val="24"/>
        </w:rPr>
        <w:tab/>
        <w:t>2015,</w:t>
      </w:r>
      <w:r>
        <w:rPr>
          <w:sz w:val="24"/>
        </w:rPr>
        <w:tab/>
      </w:r>
      <w:r>
        <w:rPr>
          <w:spacing w:val="-3"/>
          <w:sz w:val="24"/>
        </w:rPr>
        <w:t xml:space="preserve">from </w:t>
      </w:r>
      <w:hyperlink r:id="rId100">
        <w:r>
          <w:rPr>
            <w:spacing w:val="-3"/>
            <w:sz w:val="24"/>
          </w:rPr>
          <w:t>http://www.cres.gr/greenbuilding/PDF/prend/set4/WI_31_Pre-FV_version_prEN_</w:t>
        </w:r>
      </w:hyperlink>
      <w:r>
        <w:rPr>
          <w:spacing w:val="-3"/>
          <w:sz w:val="24"/>
        </w:rPr>
        <w:t xml:space="preserve"> 15251_Indoor_Environment.pdf</w:t>
      </w:r>
    </w:p>
    <w:p w:rsidR="00F3177F" w:rsidRDefault="00F3177F">
      <w:pPr>
        <w:pStyle w:val="BodyText"/>
      </w:pPr>
    </w:p>
    <w:p w:rsidR="00F3177F" w:rsidRDefault="0089671D">
      <w:pPr>
        <w:spacing w:before="143" w:line="360" w:lineRule="auto"/>
        <w:ind w:left="1124" w:right="116" w:hanging="540"/>
        <w:jc w:val="both"/>
        <w:rPr>
          <w:sz w:val="24"/>
        </w:rPr>
      </w:pPr>
      <w:r>
        <w:rPr>
          <w:spacing w:val="-3"/>
          <w:sz w:val="24"/>
        </w:rPr>
        <w:t xml:space="preserve">European Parliament </w:t>
      </w:r>
      <w:r>
        <w:rPr>
          <w:sz w:val="24"/>
        </w:rPr>
        <w:t xml:space="preserve">and the </w:t>
      </w:r>
      <w:r>
        <w:rPr>
          <w:spacing w:val="-3"/>
          <w:sz w:val="24"/>
        </w:rPr>
        <w:t xml:space="preserve">Council </w:t>
      </w:r>
      <w:r>
        <w:rPr>
          <w:sz w:val="24"/>
        </w:rPr>
        <w:t xml:space="preserve">of the EU. </w:t>
      </w:r>
      <w:r>
        <w:rPr>
          <w:spacing w:val="-3"/>
          <w:sz w:val="24"/>
        </w:rPr>
        <w:t xml:space="preserve">(2010). </w:t>
      </w:r>
      <w:r>
        <w:rPr>
          <w:sz w:val="24"/>
        </w:rPr>
        <w:t xml:space="preserve">Directive </w:t>
      </w:r>
      <w:r>
        <w:rPr>
          <w:spacing w:val="-3"/>
          <w:sz w:val="24"/>
        </w:rPr>
        <w:t xml:space="preserve">2010/31/EU </w:t>
      </w:r>
      <w:r>
        <w:rPr>
          <w:sz w:val="24"/>
        </w:rPr>
        <w:t xml:space="preserve">of the </w:t>
      </w:r>
      <w:r>
        <w:rPr>
          <w:spacing w:val="-3"/>
          <w:sz w:val="24"/>
        </w:rPr>
        <w:t xml:space="preserve">European parliament and </w:t>
      </w:r>
      <w:r>
        <w:rPr>
          <w:sz w:val="24"/>
        </w:rPr>
        <w:t xml:space="preserve">of the </w:t>
      </w:r>
      <w:r>
        <w:rPr>
          <w:spacing w:val="-3"/>
          <w:sz w:val="24"/>
        </w:rPr>
        <w:t xml:space="preserve">council </w:t>
      </w:r>
      <w:r>
        <w:rPr>
          <w:sz w:val="24"/>
        </w:rPr>
        <w:t xml:space="preserve">of 19 May </w:t>
      </w:r>
      <w:r>
        <w:rPr>
          <w:spacing w:val="-3"/>
          <w:sz w:val="24"/>
        </w:rPr>
        <w:t xml:space="preserve">2010 </w:t>
      </w:r>
      <w:r>
        <w:rPr>
          <w:sz w:val="24"/>
        </w:rPr>
        <w:t xml:space="preserve">on the energy performance of buildings </w:t>
      </w:r>
      <w:r>
        <w:rPr>
          <w:spacing w:val="-3"/>
          <w:sz w:val="24"/>
        </w:rPr>
        <w:t xml:space="preserve">(recast). </w:t>
      </w:r>
      <w:r>
        <w:rPr>
          <w:i/>
          <w:sz w:val="24"/>
        </w:rPr>
        <w:t xml:space="preserve">Ofﬁcial </w:t>
      </w:r>
      <w:r>
        <w:rPr>
          <w:i/>
          <w:spacing w:val="-3"/>
          <w:sz w:val="24"/>
        </w:rPr>
        <w:t xml:space="preserve">Journal </w:t>
      </w:r>
      <w:r>
        <w:rPr>
          <w:i/>
          <w:sz w:val="24"/>
        </w:rPr>
        <w:t xml:space="preserve">of the </w:t>
      </w:r>
      <w:r>
        <w:rPr>
          <w:i/>
          <w:spacing w:val="-3"/>
          <w:sz w:val="24"/>
        </w:rPr>
        <w:t xml:space="preserve">European Communities, </w:t>
      </w:r>
      <w:r>
        <w:rPr>
          <w:i/>
          <w:sz w:val="24"/>
        </w:rPr>
        <w:t xml:space="preserve">L153, </w:t>
      </w:r>
      <w:r>
        <w:rPr>
          <w:spacing w:val="-4"/>
          <w:sz w:val="24"/>
        </w:rPr>
        <w:t>13-35.</w:t>
      </w:r>
    </w:p>
    <w:p w:rsidR="00F3177F" w:rsidRDefault="00F3177F">
      <w:pPr>
        <w:pStyle w:val="BodyText"/>
      </w:pPr>
    </w:p>
    <w:p w:rsidR="00F3177F" w:rsidRDefault="0089671D">
      <w:pPr>
        <w:pStyle w:val="BodyText"/>
        <w:spacing w:before="143" w:line="360" w:lineRule="auto"/>
        <w:ind w:left="1124" w:right="65" w:hanging="540"/>
      </w:pPr>
      <w:r>
        <w:t xml:space="preserve">Fabbri, K. (2013). Thermal comfort evaluation in kindergarten: PMV and PPD measurement through datalogger and questionnaire. </w:t>
      </w:r>
      <w:r>
        <w:rPr>
          <w:i/>
        </w:rPr>
        <w:t xml:space="preserve">Build </w:t>
      </w:r>
      <w:proofErr w:type="gramStart"/>
      <w:r>
        <w:rPr>
          <w:i/>
        </w:rPr>
        <w:t>Environ.,</w:t>
      </w:r>
      <w:proofErr w:type="gramEnd"/>
      <w:r>
        <w:rPr>
          <w:i/>
        </w:rPr>
        <w:t xml:space="preserve"> 68, </w:t>
      </w:r>
      <w:r>
        <w:t>202-214.</w:t>
      </w:r>
    </w:p>
    <w:p w:rsidR="00F3177F" w:rsidRDefault="00F3177F">
      <w:pPr>
        <w:spacing w:line="360" w:lineRule="auto"/>
        <w:sectPr w:rsidR="00F3177F">
          <w:pgSz w:w="12240" w:h="15840"/>
          <w:pgMar w:top="1380" w:right="1320" w:bottom="2320" w:left="1720" w:header="0" w:footer="2072" w:gutter="0"/>
          <w:cols w:space="720"/>
        </w:sectPr>
      </w:pPr>
    </w:p>
    <w:p w:rsidR="00F3177F" w:rsidRDefault="0089671D">
      <w:pPr>
        <w:spacing w:before="54" w:line="360" w:lineRule="auto"/>
        <w:ind w:left="1124" w:right="109" w:hanging="540"/>
        <w:jc w:val="both"/>
        <w:rPr>
          <w:sz w:val="24"/>
        </w:rPr>
      </w:pPr>
      <w:r>
        <w:rPr>
          <w:sz w:val="24"/>
        </w:rPr>
        <w:lastRenderedPageBreak/>
        <w:t xml:space="preserve">Fifer, R.M. (1989). </w:t>
      </w:r>
      <w:hyperlink r:id="rId101">
        <w:r>
          <w:rPr>
            <w:sz w:val="24"/>
          </w:rPr>
          <w:t>Cost benchmarking functions in the value chain.</w:t>
        </w:r>
      </w:hyperlink>
      <w:r>
        <w:rPr>
          <w:sz w:val="24"/>
        </w:rPr>
        <w:t xml:space="preserve"> </w:t>
      </w:r>
      <w:r>
        <w:rPr>
          <w:i/>
          <w:sz w:val="24"/>
        </w:rPr>
        <w:t>Strategy &amp; Leadership</w:t>
      </w:r>
      <w:r>
        <w:rPr>
          <w:sz w:val="24"/>
        </w:rPr>
        <w:t xml:space="preserve">, </w:t>
      </w:r>
      <w:r>
        <w:rPr>
          <w:i/>
          <w:sz w:val="24"/>
        </w:rPr>
        <w:t xml:space="preserve">17 </w:t>
      </w:r>
      <w:r>
        <w:rPr>
          <w:sz w:val="24"/>
        </w:rPr>
        <w:t>(3), 18-19.</w:t>
      </w:r>
    </w:p>
    <w:p w:rsidR="00F3177F" w:rsidRDefault="00F3177F">
      <w:pPr>
        <w:pStyle w:val="BodyText"/>
        <w:spacing w:before="1"/>
        <w:rPr>
          <w:sz w:val="28"/>
        </w:rPr>
      </w:pPr>
    </w:p>
    <w:p w:rsidR="00F3177F" w:rsidRDefault="0089671D">
      <w:pPr>
        <w:pStyle w:val="BodyText"/>
        <w:spacing w:line="360" w:lineRule="auto"/>
        <w:ind w:left="1124" w:right="117" w:hanging="540"/>
        <w:jc w:val="both"/>
      </w:pPr>
      <w:r>
        <w:rPr>
          <w:spacing w:val="-3"/>
        </w:rPr>
        <w:t xml:space="preserve">Fuerst, F., </w:t>
      </w:r>
      <w:r>
        <w:t xml:space="preserve">&amp; McAllister, P. </w:t>
      </w:r>
      <w:r>
        <w:rPr>
          <w:spacing w:val="-3"/>
        </w:rPr>
        <w:t xml:space="preserve">(2011). </w:t>
      </w:r>
      <w:r>
        <w:t xml:space="preserve">Green Noise or Green </w:t>
      </w:r>
      <w:r>
        <w:rPr>
          <w:spacing w:val="-3"/>
        </w:rPr>
        <w:t xml:space="preserve">Value? Measuring </w:t>
      </w:r>
      <w:r>
        <w:t xml:space="preserve">the </w:t>
      </w:r>
      <w:r>
        <w:rPr>
          <w:spacing w:val="-3"/>
        </w:rPr>
        <w:t xml:space="preserve">Effects </w:t>
      </w:r>
      <w:r>
        <w:t xml:space="preserve">of </w:t>
      </w:r>
      <w:r>
        <w:rPr>
          <w:spacing w:val="-3"/>
        </w:rPr>
        <w:t xml:space="preserve">Environmental Certification </w:t>
      </w:r>
      <w:r>
        <w:t xml:space="preserve">on Office </w:t>
      </w:r>
      <w:r>
        <w:rPr>
          <w:spacing w:val="-3"/>
        </w:rPr>
        <w:t xml:space="preserve">Values. </w:t>
      </w:r>
      <w:r>
        <w:rPr>
          <w:i/>
        </w:rPr>
        <w:t xml:space="preserve">Real </w:t>
      </w:r>
      <w:r>
        <w:rPr>
          <w:i/>
          <w:spacing w:val="-3"/>
        </w:rPr>
        <w:t xml:space="preserve">Estate Economics, </w:t>
      </w:r>
      <w:r>
        <w:rPr>
          <w:i/>
        </w:rPr>
        <w:t xml:space="preserve">39 </w:t>
      </w:r>
      <w:r>
        <w:rPr>
          <w:spacing w:val="-3"/>
        </w:rPr>
        <w:t xml:space="preserve">(1), </w:t>
      </w:r>
      <w:r>
        <w:t xml:space="preserve">50. </w:t>
      </w:r>
      <w:r>
        <w:rPr>
          <w:spacing w:val="-3"/>
        </w:rPr>
        <w:t>DOI: 10.1111/j.1540-6229.2010.00286.x</w:t>
      </w:r>
    </w:p>
    <w:p w:rsidR="00F3177F" w:rsidRDefault="00F3177F">
      <w:pPr>
        <w:pStyle w:val="BodyText"/>
        <w:spacing w:before="1"/>
        <w:rPr>
          <w:sz w:val="28"/>
        </w:rPr>
      </w:pPr>
    </w:p>
    <w:p w:rsidR="00F3177F" w:rsidRDefault="0089671D">
      <w:pPr>
        <w:pStyle w:val="BodyText"/>
        <w:spacing w:line="360" w:lineRule="auto"/>
        <w:ind w:left="1124" w:right="118" w:hanging="540"/>
        <w:jc w:val="both"/>
      </w:pPr>
      <w:r>
        <w:t xml:space="preserve">Frontczak, M., &amp; Wargocki, P. (2011). Literature survey on how different factors influence human comfort in indoor environments. </w:t>
      </w:r>
      <w:r>
        <w:rPr>
          <w:i/>
        </w:rPr>
        <w:t xml:space="preserve">Build. </w:t>
      </w:r>
      <w:proofErr w:type="gramStart"/>
      <w:r>
        <w:rPr>
          <w:i/>
        </w:rPr>
        <w:t>Environ</w:t>
      </w:r>
      <w:r>
        <w:t>.,</w:t>
      </w:r>
      <w:proofErr w:type="gramEnd"/>
      <w:r>
        <w:t xml:space="preserve"> </w:t>
      </w:r>
      <w:r>
        <w:rPr>
          <w:i/>
        </w:rPr>
        <w:t xml:space="preserve">46, </w:t>
      </w:r>
      <w:r>
        <w:t>922-937.</w:t>
      </w:r>
    </w:p>
    <w:p w:rsidR="00F3177F" w:rsidRDefault="00F3177F">
      <w:pPr>
        <w:pStyle w:val="BodyText"/>
      </w:pPr>
    </w:p>
    <w:p w:rsidR="00F3177F" w:rsidRDefault="0089671D">
      <w:pPr>
        <w:pStyle w:val="BodyText"/>
        <w:spacing w:before="143" w:line="360" w:lineRule="auto"/>
        <w:ind w:left="1124" w:right="115" w:hanging="540"/>
        <w:jc w:val="both"/>
      </w:pPr>
      <w:r>
        <w:t xml:space="preserve">Gaitani, N., Casesb, L., Mastrapostolia, E., &amp; Eliopoulou, E. (2015). Paving the way to nearly zero energy schools in Mediterranean region- ZEMedS project. </w:t>
      </w:r>
      <w:r>
        <w:rPr>
          <w:i/>
        </w:rPr>
        <w:t xml:space="preserve">Energy Procedia, 78, </w:t>
      </w:r>
      <w:r>
        <w:t>3348-3353.</w:t>
      </w:r>
    </w:p>
    <w:p w:rsidR="00F3177F" w:rsidRDefault="00F3177F">
      <w:pPr>
        <w:pStyle w:val="BodyText"/>
      </w:pPr>
    </w:p>
    <w:p w:rsidR="00F3177F" w:rsidRDefault="0089671D">
      <w:pPr>
        <w:spacing w:before="143"/>
        <w:ind w:left="584" w:right="65"/>
        <w:rPr>
          <w:sz w:val="24"/>
        </w:rPr>
      </w:pPr>
      <w:r>
        <w:rPr>
          <w:sz w:val="24"/>
        </w:rPr>
        <w:t xml:space="preserve">Gall, M., Borg, W., &amp; Gall, J. (1996).  </w:t>
      </w:r>
      <w:r>
        <w:rPr>
          <w:i/>
          <w:sz w:val="24"/>
        </w:rPr>
        <w:t xml:space="preserve">Educational research: An introduction </w:t>
      </w:r>
      <w:r>
        <w:rPr>
          <w:sz w:val="24"/>
        </w:rPr>
        <w:t>(</w:t>
      </w:r>
      <w:proofErr w:type="gramStart"/>
      <w:r>
        <w:rPr>
          <w:sz w:val="24"/>
        </w:rPr>
        <w:t>6th  ed</w:t>
      </w:r>
      <w:proofErr w:type="gramEnd"/>
      <w:r>
        <w:rPr>
          <w:sz w:val="24"/>
        </w:rPr>
        <w:t>.).</w:t>
      </w:r>
    </w:p>
    <w:p w:rsidR="00F3177F" w:rsidRDefault="0089671D">
      <w:pPr>
        <w:pStyle w:val="BodyText"/>
        <w:spacing w:before="139"/>
        <w:ind w:left="1124" w:right="65"/>
      </w:pPr>
      <w:r>
        <w:t>Boston, MA: Pearson</w:t>
      </w:r>
    </w:p>
    <w:p w:rsidR="00F3177F" w:rsidRDefault="00F3177F">
      <w:pPr>
        <w:pStyle w:val="BodyText"/>
      </w:pPr>
    </w:p>
    <w:p w:rsidR="00F3177F" w:rsidRDefault="00F3177F">
      <w:pPr>
        <w:pStyle w:val="BodyText"/>
      </w:pPr>
    </w:p>
    <w:p w:rsidR="00F3177F" w:rsidRDefault="0089671D">
      <w:pPr>
        <w:pStyle w:val="BodyText"/>
        <w:spacing w:line="360" w:lineRule="auto"/>
        <w:ind w:left="1124" w:right="112" w:hanging="540"/>
        <w:jc w:val="both"/>
      </w:pPr>
      <w:r>
        <w:rPr>
          <w:spacing w:val="-3"/>
        </w:rPr>
        <w:t xml:space="preserve">Gallachóir, B.P.Ó., </w:t>
      </w:r>
      <w:r>
        <w:rPr>
          <w:spacing w:val="-2"/>
        </w:rPr>
        <w:t xml:space="preserve">Keane, </w:t>
      </w:r>
      <w:r>
        <w:t xml:space="preserve">M., </w:t>
      </w:r>
      <w:r>
        <w:rPr>
          <w:spacing w:val="-3"/>
        </w:rPr>
        <w:t xml:space="preserve">Morrissey, </w:t>
      </w:r>
      <w:r>
        <w:t xml:space="preserve">E., &amp; </w:t>
      </w:r>
      <w:r>
        <w:rPr>
          <w:spacing w:val="-3"/>
        </w:rPr>
        <w:t xml:space="preserve">O’Donnell, </w:t>
      </w:r>
      <w:r>
        <w:t xml:space="preserve">J. </w:t>
      </w:r>
      <w:r>
        <w:rPr>
          <w:spacing w:val="-3"/>
        </w:rPr>
        <w:t xml:space="preserve">(2007). </w:t>
      </w:r>
      <w:hyperlink r:id="rId102">
        <w:r>
          <w:t xml:space="preserve">Using </w:t>
        </w:r>
        <w:r>
          <w:rPr>
            <w:spacing w:val="-3"/>
          </w:rPr>
          <w:t xml:space="preserve">indicators </w:t>
        </w:r>
        <w:r>
          <w:t>to</w:t>
        </w:r>
      </w:hyperlink>
      <w:r>
        <w:t xml:space="preserve"> </w:t>
      </w:r>
      <w:hyperlink r:id="rId103">
        <w:r>
          <w:rPr>
            <w:spacing w:val="-3"/>
          </w:rPr>
          <w:t xml:space="preserve">profile </w:t>
        </w:r>
        <w:r>
          <w:t xml:space="preserve">energy consumption and to </w:t>
        </w:r>
        <w:r>
          <w:rPr>
            <w:spacing w:val="-3"/>
          </w:rPr>
          <w:t xml:space="preserve">inform </w:t>
        </w:r>
        <w:r>
          <w:t>energy policy in a university—A case</w:t>
        </w:r>
      </w:hyperlink>
      <w:r>
        <w:t xml:space="preserve"> </w:t>
      </w:r>
      <w:hyperlink r:id="rId104">
        <w:r>
          <w:t xml:space="preserve">study in </w:t>
        </w:r>
        <w:r>
          <w:rPr>
            <w:spacing w:val="-3"/>
          </w:rPr>
          <w:t>Ireland</w:t>
        </w:r>
      </w:hyperlink>
      <w:r>
        <w:rPr>
          <w:spacing w:val="-3"/>
        </w:rPr>
        <w:t xml:space="preserve">, </w:t>
      </w:r>
      <w:r>
        <w:rPr>
          <w:i/>
          <w:spacing w:val="-3"/>
        </w:rPr>
        <w:t xml:space="preserve">Energy </w:t>
      </w:r>
      <w:r>
        <w:rPr>
          <w:i/>
        </w:rPr>
        <w:t xml:space="preserve">and </w:t>
      </w:r>
      <w:r>
        <w:rPr>
          <w:i/>
          <w:spacing w:val="-3"/>
        </w:rPr>
        <w:t xml:space="preserve">buildings, </w:t>
      </w:r>
      <w:r>
        <w:rPr>
          <w:i/>
        </w:rPr>
        <w:t xml:space="preserve">39 </w:t>
      </w:r>
      <w:r>
        <w:rPr>
          <w:spacing w:val="-3"/>
        </w:rPr>
        <w:t>(8), 913-922.</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Godwin, </w:t>
      </w:r>
      <w:r>
        <w:t xml:space="preserve">C., &amp; </w:t>
      </w:r>
      <w:r>
        <w:rPr>
          <w:spacing w:val="-3"/>
        </w:rPr>
        <w:t xml:space="preserve">Batterman, </w:t>
      </w:r>
      <w:r>
        <w:t xml:space="preserve">S. </w:t>
      </w:r>
      <w:r>
        <w:rPr>
          <w:spacing w:val="-3"/>
        </w:rPr>
        <w:t xml:space="preserve">(2007). Indoor </w:t>
      </w:r>
      <w:r>
        <w:rPr>
          <w:spacing w:val="-2"/>
        </w:rPr>
        <w:t xml:space="preserve">air </w:t>
      </w:r>
      <w:r>
        <w:t xml:space="preserve">quality in </w:t>
      </w:r>
      <w:r>
        <w:rPr>
          <w:spacing w:val="-3"/>
        </w:rPr>
        <w:t xml:space="preserve">Michigan </w:t>
      </w:r>
      <w:r>
        <w:t xml:space="preserve">schools, </w:t>
      </w:r>
      <w:r>
        <w:rPr>
          <w:i/>
          <w:spacing w:val="-3"/>
        </w:rPr>
        <w:t xml:space="preserve">Indoor </w:t>
      </w:r>
      <w:r>
        <w:rPr>
          <w:i/>
        </w:rPr>
        <w:t xml:space="preserve">Air, 17, </w:t>
      </w:r>
      <w:r>
        <w:rPr>
          <w:spacing w:val="-3"/>
        </w:rPr>
        <w:t>109-121.</w:t>
      </w:r>
    </w:p>
    <w:p w:rsidR="00F3177F" w:rsidRDefault="00F3177F">
      <w:pPr>
        <w:pStyle w:val="BodyText"/>
      </w:pPr>
    </w:p>
    <w:p w:rsidR="00F3177F" w:rsidRDefault="0089671D">
      <w:pPr>
        <w:spacing w:before="143" w:line="360" w:lineRule="auto"/>
        <w:ind w:left="1124" w:right="112" w:hanging="540"/>
        <w:jc w:val="both"/>
        <w:rPr>
          <w:sz w:val="24"/>
        </w:rPr>
      </w:pPr>
      <w:r>
        <w:rPr>
          <w:sz w:val="24"/>
        </w:rPr>
        <w:t xml:space="preserve">GOV.UK. (2016, July 18). </w:t>
      </w:r>
      <w:r>
        <w:rPr>
          <w:i/>
          <w:sz w:val="24"/>
        </w:rPr>
        <w:t>Buying or selling your home. 2. Energy Performance Certificates</w:t>
      </w:r>
      <w:r>
        <w:rPr>
          <w:sz w:val="24"/>
        </w:rPr>
        <w:t xml:space="preserve">. Retrieved August 3, 2016, from </w:t>
      </w:r>
      <w:hyperlink r:id="rId105">
        <w:r>
          <w:rPr>
            <w:sz w:val="24"/>
          </w:rPr>
          <w:t>https://www.gov.uk/buy-sell-your-</w:t>
        </w:r>
      </w:hyperlink>
      <w:r>
        <w:rPr>
          <w:sz w:val="24"/>
        </w:rPr>
        <w:t xml:space="preserve"> </w:t>
      </w:r>
      <w:hyperlink r:id="rId106">
        <w:r>
          <w:rPr>
            <w:sz w:val="24"/>
          </w:rPr>
          <w:t>home/energy-performance-certificates</w:t>
        </w:r>
      </w:hyperlink>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spacing w:before="54"/>
        <w:ind w:left="584" w:right="65"/>
        <w:rPr>
          <w:sz w:val="24"/>
        </w:rPr>
      </w:pPr>
      <w:r>
        <w:rPr>
          <w:spacing w:val="-3"/>
          <w:sz w:val="24"/>
        </w:rPr>
        <w:lastRenderedPageBreak/>
        <w:t xml:space="preserve">Green Building </w:t>
      </w:r>
      <w:r>
        <w:rPr>
          <w:sz w:val="24"/>
        </w:rPr>
        <w:t xml:space="preserve">Council. </w:t>
      </w:r>
      <w:r>
        <w:rPr>
          <w:spacing w:val="-3"/>
          <w:sz w:val="24"/>
        </w:rPr>
        <w:t xml:space="preserve">(2011). </w:t>
      </w:r>
      <w:r>
        <w:rPr>
          <w:i/>
          <w:spacing w:val="-3"/>
          <w:sz w:val="24"/>
        </w:rPr>
        <w:t xml:space="preserve">Carbon </w:t>
      </w:r>
      <w:r>
        <w:rPr>
          <w:i/>
          <w:sz w:val="24"/>
        </w:rPr>
        <w:t xml:space="preserve">Reductions in </w:t>
      </w:r>
      <w:r>
        <w:rPr>
          <w:i/>
          <w:spacing w:val="-3"/>
          <w:sz w:val="24"/>
        </w:rPr>
        <w:t>Existing Non-</w:t>
      </w:r>
      <w:proofErr w:type="gramStart"/>
      <w:r>
        <w:rPr>
          <w:i/>
          <w:spacing w:val="-3"/>
          <w:sz w:val="24"/>
        </w:rPr>
        <w:t>domestic  Buildings</w:t>
      </w:r>
      <w:proofErr w:type="gramEnd"/>
      <w:r>
        <w:rPr>
          <w:spacing w:val="-3"/>
          <w:sz w:val="24"/>
        </w:rPr>
        <w:t>.</w:t>
      </w:r>
    </w:p>
    <w:p w:rsidR="00F3177F" w:rsidRDefault="0089671D">
      <w:pPr>
        <w:pStyle w:val="BodyText"/>
        <w:spacing w:before="137"/>
        <w:ind w:left="1124" w:right="65"/>
      </w:pPr>
      <w:r>
        <w:t>London, UK: Green Building Council.</w:t>
      </w:r>
    </w:p>
    <w:p w:rsidR="00F3177F" w:rsidRDefault="00F3177F">
      <w:pPr>
        <w:pStyle w:val="BodyText"/>
      </w:pPr>
    </w:p>
    <w:p w:rsidR="00F3177F" w:rsidRDefault="00F3177F">
      <w:pPr>
        <w:pStyle w:val="BodyText"/>
      </w:pPr>
    </w:p>
    <w:p w:rsidR="00F3177F" w:rsidRDefault="0089671D">
      <w:pPr>
        <w:pStyle w:val="BodyText"/>
        <w:ind w:left="584" w:right="65"/>
      </w:pPr>
      <w:r>
        <w:rPr>
          <w:spacing w:val="-3"/>
        </w:rPr>
        <w:t xml:space="preserve">Griffiths, </w:t>
      </w:r>
      <w:r>
        <w:t xml:space="preserve">M., &amp; </w:t>
      </w:r>
      <w:r>
        <w:rPr>
          <w:spacing w:val="-3"/>
        </w:rPr>
        <w:t xml:space="preserve">Eftekhari, </w:t>
      </w:r>
      <w:r>
        <w:t xml:space="preserve">M. </w:t>
      </w:r>
      <w:r>
        <w:rPr>
          <w:spacing w:val="-3"/>
        </w:rPr>
        <w:t xml:space="preserve">(2008). Control </w:t>
      </w:r>
      <w:r>
        <w:t xml:space="preserve">of CO2 in a naturally ventilated </w:t>
      </w:r>
      <w:r>
        <w:rPr>
          <w:spacing w:val="-3"/>
        </w:rPr>
        <w:t>classroom,</w:t>
      </w:r>
    </w:p>
    <w:p w:rsidR="00F3177F" w:rsidRDefault="0089671D">
      <w:pPr>
        <w:spacing w:before="139"/>
        <w:ind w:left="1124" w:right="65"/>
        <w:rPr>
          <w:sz w:val="24"/>
        </w:rPr>
      </w:pPr>
      <w:r>
        <w:rPr>
          <w:i/>
          <w:sz w:val="24"/>
        </w:rPr>
        <w:t xml:space="preserve">Energy and Buildings, 40, </w:t>
      </w:r>
      <w:r>
        <w:rPr>
          <w:sz w:val="24"/>
        </w:rPr>
        <w:t>556-560.</w:t>
      </w:r>
    </w:p>
    <w:p w:rsidR="00F3177F" w:rsidRDefault="00F3177F">
      <w:pPr>
        <w:pStyle w:val="BodyText"/>
      </w:pPr>
    </w:p>
    <w:p w:rsidR="00F3177F" w:rsidRDefault="00F3177F">
      <w:pPr>
        <w:pStyle w:val="BodyText"/>
      </w:pPr>
    </w:p>
    <w:p w:rsidR="00F3177F" w:rsidRDefault="0089671D">
      <w:pPr>
        <w:pStyle w:val="BodyText"/>
        <w:spacing w:line="360" w:lineRule="auto"/>
        <w:ind w:left="1124" w:right="114" w:hanging="540"/>
        <w:jc w:val="both"/>
      </w:pPr>
      <w:r>
        <w:t>Gul,</w:t>
      </w:r>
      <w:r>
        <w:rPr>
          <w:spacing w:val="-7"/>
        </w:rPr>
        <w:t xml:space="preserve"> </w:t>
      </w:r>
      <w:r>
        <w:rPr>
          <w:spacing w:val="-3"/>
        </w:rPr>
        <w:t>M.S.,</w:t>
      </w:r>
      <w:r>
        <w:rPr>
          <w:spacing w:val="-7"/>
        </w:rPr>
        <w:t xml:space="preserve"> </w:t>
      </w:r>
      <w:r>
        <w:t>&amp;</w:t>
      </w:r>
      <w:r>
        <w:rPr>
          <w:spacing w:val="-9"/>
        </w:rPr>
        <w:t xml:space="preserve"> </w:t>
      </w:r>
      <w:r>
        <w:rPr>
          <w:spacing w:val="-3"/>
        </w:rPr>
        <w:t>Patidar,</w:t>
      </w:r>
      <w:r>
        <w:rPr>
          <w:spacing w:val="-7"/>
        </w:rPr>
        <w:t xml:space="preserve"> </w:t>
      </w:r>
      <w:r>
        <w:t>S.</w:t>
      </w:r>
      <w:r>
        <w:rPr>
          <w:spacing w:val="-6"/>
        </w:rPr>
        <w:t xml:space="preserve"> </w:t>
      </w:r>
      <w:r>
        <w:rPr>
          <w:spacing w:val="-3"/>
        </w:rPr>
        <w:t>(2015).</w:t>
      </w:r>
      <w:r>
        <w:rPr>
          <w:spacing w:val="-7"/>
        </w:rPr>
        <w:t xml:space="preserve"> </w:t>
      </w:r>
      <w:r>
        <w:t>Understanding</w:t>
      </w:r>
      <w:r>
        <w:rPr>
          <w:spacing w:val="-9"/>
        </w:rPr>
        <w:t xml:space="preserve"> </w:t>
      </w:r>
      <w:r>
        <w:t>the</w:t>
      </w:r>
      <w:r>
        <w:rPr>
          <w:spacing w:val="-5"/>
        </w:rPr>
        <w:t xml:space="preserve"> </w:t>
      </w:r>
      <w:r>
        <w:t>energy</w:t>
      </w:r>
      <w:r>
        <w:rPr>
          <w:spacing w:val="-10"/>
        </w:rPr>
        <w:t xml:space="preserve"> </w:t>
      </w:r>
      <w:r>
        <w:rPr>
          <w:spacing w:val="-3"/>
        </w:rPr>
        <w:t>consumption</w:t>
      </w:r>
      <w:r>
        <w:rPr>
          <w:spacing w:val="-7"/>
        </w:rPr>
        <w:t xml:space="preserve"> </w:t>
      </w:r>
      <w:r>
        <w:rPr>
          <w:spacing w:val="-3"/>
        </w:rPr>
        <w:t>and</w:t>
      </w:r>
      <w:r>
        <w:rPr>
          <w:spacing w:val="-5"/>
        </w:rPr>
        <w:t xml:space="preserve"> </w:t>
      </w:r>
      <w:r>
        <w:t>occupancy</w:t>
      </w:r>
      <w:r>
        <w:rPr>
          <w:spacing w:val="-12"/>
        </w:rPr>
        <w:t xml:space="preserve"> </w:t>
      </w:r>
      <w:r>
        <w:t xml:space="preserve">of a </w:t>
      </w:r>
      <w:r>
        <w:rPr>
          <w:spacing w:val="-3"/>
        </w:rPr>
        <w:t xml:space="preserve">multi-purpose academic building, </w:t>
      </w:r>
      <w:r>
        <w:rPr>
          <w:i/>
        </w:rPr>
        <w:t xml:space="preserve">Energy and </w:t>
      </w:r>
      <w:r>
        <w:rPr>
          <w:i/>
          <w:spacing w:val="-3"/>
        </w:rPr>
        <w:t>Buildings</w:t>
      </w:r>
      <w:r>
        <w:rPr>
          <w:spacing w:val="-3"/>
        </w:rPr>
        <w:t xml:space="preserve">, </w:t>
      </w:r>
      <w:r>
        <w:rPr>
          <w:i/>
        </w:rPr>
        <w:t>87,</w:t>
      </w:r>
      <w:r>
        <w:rPr>
          <w:i/>
          <w:spacing w:val="-8"/>
        </w:rPr>
        <w:t xml:space="preserve"> </w:t>
      </w:r>
      <w:r>
        <w:rPr>
          <w:spacing w:val="-3"/>
        </w:rPr>
        <w:t>155-165.</w:t>
      </w:r>
    </w:p>
    <w:p w:rsidR="00F3177F" w:rsidRDefault="00F3177F">
      <w:pPr>
        <w:pStyle w:val="BodyText"/>
      </w:pPr>
    </w:p>
    <w:p w:rsidR="00F3177F" w:rsidRDefault="0089671D">
      <w:pPr>
        <w:pStyle w:val="BodyText"/>
        <w:spacing w:before="143" w:line="360" w:lineRule="auto"/>
        <w:ind w:left="1124" w:right="114" w:hanging="540"/>
        <w:jc w:val="both"/>
      </w:pPr>
      <w:r>
        <w:rPr>
          <w:spacing w:val="-3"/>
        </w:rPr>
        <w:t xml:space="preserve">Haddad, </w:t>
      </w:r>
      <w:r>
        <w:t xml:space="preserve">S., King, S., </w:t>
      </w:r>
      <w:r>
        <w:rPr>
          <w:spacing w:val="-3"/>
        </w:rPr>
        <w:t xml:space="preserve">Osmond, </w:t>
      </w:r>
      <w:r>
        <w:t xml:space="preserve">P., &amp; Heidari, S. </w:t>
      </w:r>
      <w:r>
        <w:rPr>
          <w:spacing w:val="-3"/>
        </w:rPr>
        <w:t xml:space="preserve">(2012). Questionnaire </w:t>
      </w:r>
      <w:r>
        <w:t xml:space="preserve">design to </w:t>
      </w:r>
      <w:r>
        <w:rPr>
          <w:spacing w:val="-3"/>
        </w:rPr>
        <w:t xml:space="preserve">determine children's </w:t>
      </w:r>
      <w:r>
        <w:t xml:space="preserve">thermal </w:t>
      </w:r>
      <w:r>
        <w:rPr>
          <w:spacing w:val="-3"/>
        </w:rPr>
        <w:t xml:space="preserve">sensation, </w:t>
      </w:r>
      <w:r>
        <w:t xml:space="preserve">preference and acceptability in the </w:t>
      </w:r>
      <w:r>
        <w:rPr>
          <w:spacing w:val="-3"/>
        </w:rPr>
        <w:t xml:space="preserve">classroom. </w:t>
      </w:r>
      <w:r>
        <w:t xml:space="preserve">Paper </w:t>
      </w:r>
      <w:r>
        <w:rPr>
          <w:spacing w:val="-3"/>
        </w:rPr>
        <w:t xml:space="preserve">presented </w:t>
      </w:r>
      <w:r>
        <w:t xml:space="preserve">at the </w:t>
      </w:r>
      <w:r>
        <w:rPr>
          <w:spacing w:val="-3"/>
        </w:rPr>
        <w:t xml:space="preserve">Proceedings </w:t>
      </w:r>
      <w:r>
        <w:t xml:space="preserve">PLEA - </w:t>
      </w:r>
      <w:proofErr w:type="gramStart"/>
      <w:r>
        <w:t xml:space="preserve">28th  </w:t>
      </w:r>
      <w:r>
        <w:rPr>
          <w:spacing w:val="-3"/>
        </w:rPr>
        <w:t>International</w:t>
      </w:r>
      <w:proofErr w:type="gramEnd"/>
      <w:r>
        <w:rPr>
          <w:spacing w:val="-3"/>
        </w:rPr>
        <w:t xml:space="preserve"> Conference </w:t>
      </w:r>
      <w:r>
        <w:t xml:space="preserve">on Sustainable Architecture + Urban </w:t>
      </w:r>
      <w:r>
        <w:rPr>
          <w:spacing w:val="-3"/>
        </w:rPr>
        <w:t xml:space="preserve">Design: Opportunities, </w:t>
      </w:r>
      <w:r>
        <w:t xml:space="preserve">Limits </w:t>
      </w:r>
      <w:r>
        <w:rPr>
          <w:spacing w:val="-3"/>
        </w:rPr>
        <w:t xml:space="preserve">and Needs </w:t>
      </w:r>
      <w:r>
        <w:t xml:space="preserve">- </w:t>
      </w:r>
      <w:r>
        <w:rPr>
          <w:spacing w:val="-3"/>
        </w:rPr>
        <w:t xml:space="preserve">Towards </w:t>
      </w:r>
      <w:r>
        <w:t xml:space="preserve">an </w:t>
      </w:r>
      <w:r>
        <w:rPr>
          <w:spacing w:val="-2"/>
        </w:rPr>
        <w:t xml:space="preserve">Environmentally </w:t>
      </w:r>
      <w:r>
        <w:t xml:space="preserve">Responsible </w:t>
      </w:r>
      <w:r>
        <w:rPr>
          <w:spacing w:val="-3"/>
        </w:rPr>
        <w:t xml:space="preserve">Architecture, </w:t>
      </w:r>
      <w:r>
        <w:t xml:space="preserve">7-9th November </w:t>
      </w:r>
      <w:r>
        <w:rPr>
          <w:spacing w:val="-3"/>
        </w:rPr>
        <w:t xml:space="preserve">2012, </w:t>
      </w:r>
      <w:r>
        <w:t>Lima, Peru.</w:t>
      </w:r>
    </w:p>
    <w:p w:rsidR="00F3177F" w:rsidRDefault="00F3177F">
      <w:pPr>
        <w:pStyle w:val="BodyText"/>
      </w:pPr>
    </w:p>
    <w:p w:rsidR="00F3177F" w:rsidRDefault="0089671D">
      <w:pPr>
        <w:spacing w:before="143" w:line="360" w:lineRule="auto"/>
        <w:ind w:left="1124" w:right="115" w:hanging="540"/>
        <w:jc w:val="both"/>
        <w:rPr>
          <w:sz w:val="24"/>
        </w:rPr>
      </w:pPr>
      <w:r>
        <w:rPr>
          <w:sz w:val="24"/>
        </w:rPr>
        <w:t xml:space="preserve">Hall, I., &amp; Higgins, S. (2005). Primary school students’ perceptions of interactive whiteboards. </w:t>
      </w:r>
      <w:r>
        <w:rPr>
          <w:i/>
          <w:sz w:val="24"/>
        </w:rPr>
        <w:t>Journal of Computer Assisted Learning</w:t>
      </w:r>
      <w:r>
        <w:rPr>
          <w:sz w:val="24"/>
        </w:rPr>
        <w:t xml:space="preserve">, </w:t>
      </w:r>
      <w:r>
        <w:rPr>
          <w:i/>
          <w:sz w:val="24"/>
        </w:rPr>
        <w:t xml:space="preserve">21 </w:t>
      </w:r>
      <w:r>
        <w:rPr>
          <w:sz w:val="24"/>
        </w:rPr>
        <w:t>(2), 102-117.</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Harle, </w:t>
      </w:r>
      <w:r>
        <w:t xml:space="preserve">D.E., </w:t>
      </w:r>
      <w:r>
        <w:rPr>
          <w:spacing w:val="-3"/>
        </w:rPr>
        <w:t xml:space="preserve">Shepherd, </w:t>
      </w:r>
      <w:r>
        <w:t xml:space="preserve">A.J., &amp; </w:t>
      </w:r>
      <w:r>
        <w:rPr>
          <w:spacing w:val="-3"/>
        </w:rPr>
        <w:t xml:space="preserve">Evans, </w:t>
      </w:r>
      <w:r>
        <w:rPr>
          <w:spacing w:val="-2"/>
        </w:rPr>
        <w:t xml:space="preserve">B.J.W. </w:t>
      </w:r>
      <w:r>
        <w:rPr>
          <w:spacing w:val="-3"/>
        </w:rPr>
        <w:t xml:space="preserve">(2006). Visual </w:t>
      </w:r>
      <w:r>
        <w:t xml:space="preserve">stimuli are common </w:t>
      </w:r>
      <w:r>
        <w:rPr>
          <w:spacing w:val="-3"/>
        </w:rPr>
        <w:t xml:space="preserve">triggers </w:t>
      </w:r>
      <w:r>
        <w:t xml:space="preserve">of migraine and are </w:t>
      </w:r>
      <w:r>
        <w:rPr>
          <w:spacing w:val="-3"/>
        </w:rPr>
        <w:t xml:space="preserve">associated </w:t>
      </w:r>
      <w:r>
        <w:t xml:space="preserve">with pattern </w:t>
      </w:r>
      <w:r>
        <w:rPr>
          <w:spacing w:val="-3"/>
        </w:rPr>
        <w:t xml:space="preserve">glare. </w:t>
      </w:r>
      <w:r>
        <w:rPr>
          <w:i/>
          <w:spacing w:val="-3"/>
        </w:rPr>
        <w:t>Headache</w:t>
      </w:r>
      <w:r>
        <w:rPr>
          <w:spacing w:val="-3"/>
        </w:rPr>
        <w:t xml:space="preserve">, </w:t>
      </w:r>
      <w:r>
        <w:rPr>
          <w:i/>
        </w:rPr>
        <w:t xml:space="preserve">46, </w:t>
      </w:r>
      <w:r>
        <w:t>1431-1440.</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Hathaway, </w:t>
      </w:r>
      <w:r>
        <w:t xml:space="preserve">W.E. </w:t>
      </w:r>
      <w:r>
        <w:rPr>
          <w:spacing w:val="-3"/>
        </w:rPr>
        <w:t xml:space="preserve">(1983, September 26-29). Lights, windows, color: elements </w:t>
      </w:r>
      <w:r>
        <w:t xml:space="preserve">of the </w:t>
      </w:r>
      <w:r>
        <w:rPr>
          <w:spacing w:val="-3"/>
        </w:rPr>
        <w:t xml:space="preserve">school environment, </w:t>
      </w:r>
      <w:r>
        <w:rPr>
          <w:spacing w:val="-2"/>
        </w:rPr>
        <w:t xml:space="preserve">presented </w:t>
      </w:r>
      <w:r>
        <w:t xml:space="preserve">at 59th </w:t>
      </w:r>
      <w:r>
        <w:rPr>
          <w:spacing w:val="-3"/>
        </w:rPr>
        <w:t xml:space="preserve">Annual </w:t>
      </w:r>
      <w:r>
        <w:t xml:space="preserve">meeting of the </w:t>
      </w:r>
      <w:r>
        <w:rPr>
          <w:spacing w:val="-3"/>
        </w:rPr>
        <w:t xml:space="preserve">Council </w:t>
      </w:r>
      <w:r>
        <w:t xml:space="preserve">of </w:t>
      </w:r>
      <w:r>
        <w:rPr>
          <w:spacing w:val="-3"/>
        </w:rPr>
        <w:t xml:space="preserve">Educational </w:t>
      </w:r>
      <w:r>
        <w:t xml:space="preserve">Facility Planners, Columbus, Ohio, 1983. The </w:t>
      </w:r>
      <w:r>
        <w:rPr>
          <w:spacing w:val="-3"/>
        </w:rPr>
        <w:t>Educational Resources Information Center.</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Hawkins, </w:t>
      </w:r>
      <w:r>
        <w:t xml:space="preserve">D., </w:t>
      </w:r>
      <w:r>
        <w:rPr>
          <w:spacing w:val="-3"/>
        </w:rPr>
        <w:t xml:space="preserve">Hong, </w:t>
      </w:r>
      <w:r>
        <w:t xml:space="preserve">S.M., </w:t>
      </w:r>
      <w:r>
        <w:rPr>
          <w:spacing w:val="-3"/>
        </w:rPr>
        <w:t xml:space="preserve">Raslan, </w:t>
      </w:r>
      <w:r>
        <w:t xml:space="preserve">R., </w:t>
      </w:r>
      <w:r>
        <w:rPr>
          <w:spacing w:val="-3"/>
        </w:rPr>
        <w:t xml:space="preserve">Mumovic, </w:t>
      </w:r>
      <w:r>
        <w:t xml:space="preserve">D., &amp; Hanna, S. </w:t>
      </w:r>
      <w:r>
        <w:rPr>
          <w:spacing w:val="-3"/>
        </w:rPr>
        <w:t xml:space="preserve">(2012). Determinants </w:t>
      </w:r>
      <w:r>
        <w:t xml:space="preserve">of energy use in UK </w:t>
      </w:r>
      <w:proofErr w:type="gramStart"/>
      <w:r>
        <w:rPr>
          <w:spacing w:val="-2"/>
        </w:rPr>
        <w:t xml:space="preserve">higher  </w:t>
      </w:r>
      <w:r>
        <w:rPr>
          <w:spacing w:val="-3"/>
        </w:rPr>
        <w:t>education</w:t>
      </w:r>
      <w:proofErr w:type="gramEnd"/>
      <w:r>
        <w:rPr>
          <w:spacing w:val="-3"/>
        </w:rPr>
        <w:t xml:space="preserve">  buildings  </w:t>
      </w:r>
      <w:r>
        <w:t xml:space="preserve">using </w:t>
      </w:r>
      <w:r>
        <w:rPr>
          <w:spacing w:val="-3"/>
        </w:rPr>
        <w:t>statistical  and  artificial neural</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spacing w:before="54" w:line="360" w:lineRule="auto"/>
        <w:ind w:left="1124" w:right="113"/>
        <w:rPr>
          <w:sz w:val="24"/>
        </w:rPr>
      </w:pPr>
      <w:proofErr w:type="gramStart"/>
      <w:r>
        <w:rPr>
          <w:sz w:val="24"/>
        </w:rPr>
        <w:lastRenderedPageBreak/>
        <w:t>network</w:t>
      </w:r>
      <w:proofErr w:type="gramEnd"/>
      <w:r>
        <w:rPr>
          <w:sz w:val="24"/>
        </w:rPr>
        <w:t xml:space="preserve"> methods. </w:t>
      </w:r>
      <w:r>
        <w:rPr>
          <w:i/>
          <w:sz w:val="24"/>
        </w:rPr>
        <w:t>International Journal of Sustainable. Built Environment</w:t>
      </w:r>
      <w:r>
        <w:rPr>
          <w:sz w:val="24"/>
        </w:rPr>
        <w:t xml:space="preserve">, </w:t>
      </w:r>
      <w:r>
        <w:rPr>
          <w:i/>
          <w:sz w:val="24"/>
        </w:rPr>
        <w:t xml:space="preserve">1 </w:t>
      </w:r>
      <w:r>
        <w:rPr>
          <w:sz w:val="24"/>
        </w:rPr>
        <w:t xml:space="preserve">(1), 50-63. </w:t>
      </w:r>
      <w:proofErr w:type="gramStart"/>
      <w:r>
        <w:rPr>
          <w:sz w:val="24"/>
        </w:rPr>
        <w:t>doi:</w:t>
      </w:r>
      <w:proofErr w:type="gramEnd"/>
      <w:r>
        <w:rPr>
          <w:sz w:val="24"/>
        </w:rPr>
        <w:t>10.1016/ j.ijsbe.2012.05.002</w:t>
      </w:r>
    </w:p>
    <w:p w:rsidR="00F3177F" w:rsidRDefault="00F3177F">
      <w:pPr>
        <w:pStyle w:val="BodyText"/>
        <w:spacing w:before="6"/>
      </w:pPr>
    </w:p>
    <w:p w:rsidR="00F3177F" w:rsidRDefault="00CA6556">
      <w:pPr>
        <w:pStyle w:val="BodyText"/>
        <w:spacing w:line="360" w:lineRule="auto"/>
        <w:ind w:left="1124" w:right="112" w:hanging="540"/>
        <w:jc w:val="both"/>
      </w:pPr>
      <w:hyperlink r:id="rId107">
        <w:r w:rsidR="0089671D">
          <w:t>Heiskanen,</w:t>
        </w:r>
      </w:hyperlink>
      <w:r w:rsidR="0089671D">
        <w:t xml:space="preserve"> E., </w:t>
      </w:r>
      <w:hyperlink r:id="rId108">
        <w:r w:rsidR="0089671D">
          <w:t>Johnson,</w:t>
        </w:r>
      </w:hyperlink>
      <w:r w:rsidR="0089671D">
        <w:t xml:space="preserve"> M., &amp; </w:t>
      </w:r>
      <w:hyperlink r:id="rId109">
        <w:r w:rsidR="0089671D">
          <w:t>Vadovics,</w:t>
        </w:r>
      </w:hyperlink>
      <w:r w:rsidR="0089671D">
        <w:t xml:space="preserve"> E. (2013, June). Learning about and involving users in energy saving on the local level. </w:t>
      </w:r>
      <w:hyperlink r:id="rId110">
        <w:r w:rsidR="0089671D">
          <w:rPr>
            <w:i/>
          </w:rPr>
          <w:t>Journal of Cleaner Production</w:t>
        </w:r>
      </w:hyperlink>
      <w:r w:rsidR="0089671D">
        <w:t xml:space="preserve">, </w:t>
      </w:r>
      <w:r w:rsidR="0089671D">
        <w:rPr>
          <w:i/>
        </w:rPr>
        <w:t xml:space="preserve">48, </w:t>
      </w:r>
      <w:r w:rsidR="0089671D">
        <w:t>241- 249.</w:t>
      </w:r>
    </w:p>
    <w:p w:rsidR="00F3177F" w:rsidRDefault="00F3177F">
      <w:pPr>
        <w:pStyle w:val="BodyText"/>
        <w:spacing w:before="3"/>
      </w:pPr>
    </w:p>
    <w:p w:rsidR="00F3177F" w:rsidRDefault="0089671D">
      <w:pPr>
        <w:pStyle w:val="BodyText"/>
        <w:spacing w:before="1" w:line="360" w:lineRule="auto"/>
        <w:ind w:left="1124" w:right="111" w:hanging="540"/>
        <w:jc w:val="both"/>
      </w:pPr>
      <w:r>
        <w:rPr>
          <w:spacing w:val="-3"/>
        </w:rPr>
        <w:t xml:space="preserve">Heiskanen, </w:t>
      </w:r>
      <w:r>
        <w:t xml:space="preserve">E., &amp; </w:t>
      </w:r>
      <w:r>
        <w:rPr>
          <w:spacing w:val="-3"/>
        </w:rPr>
        <w:t xml:space="preserve">Lovio, </w:t>
      </w:r>
      <w:r>
        <w:t xml:space="preserve">R. </w:t>
      </w:r>
      <w:r>
        <w:rPr>
          <w:spacing w:val="-3"/>
        </w:rPr>
        <w:t xml:space="preserve">(2010). Userproducer </w:t>
      </w:r>
      <w:r>
        <w:t xml:space="preserve">interaction in housing energy </w:t>
      </w:r>
      <w:r>
        <w:rPr>
          <w:spacing w:val="-3"/>
        </w:rPr>
        <w:t xml:space="preserve">innovations: </w:t>
      </w:r>
      <w:r>
        <w:t xml:space="preserve">energy </w:t>
      </w:r>
      <w:r>
        <w:rPr>
          <w:spacing w:val="-3"/>
        </w:rPr>
        <w:t xml:space="preserve">innovation </w:t>
      </w:r>
      <w:r>
        <w:t xml:space="preserve">as a </w:t>
      </w:r>
      <w:r>
        <w:rPr>
          <w:spacing w:val="-3"/>
        </w:rPr>
        <w:t xml:space="preserve">communication challenge. </w:t>
      </w:r>
      <w:r>
        <w:rPr>
          <w:i/>
          <w:spacing w:val="-3"/>
        </w:rPr>
        <w:t xml:space="preserve">Journal </w:t>
      </w:r>
      <w:r>
        <w:rPr>
          <w:i/>
        </w:rPr>
        <w:t xml:space="preserve">of </w:t>
      </w:r>
      <w:r>
        <w:rPr>
          <w:i/>
          <w:spacing w:val="-3"/>
        </w:rPr>
        <w:t xml:space="preserve">Industrial Ecology, </w:t>
      </w:r>
      <w:r>
        <w:rPr>
          <w:i/>
        </w:rPr>
        <w:t xml:space="preserve">14, </w:t>
      </w:r>
      <w:r>
        <w:t>91-102.</w:t>
      </w:r>
    </w:p>
    <w:p w:rsidR="00F3177F" w:rsidRDefault="00F3177F">
      <w:pPr>
        <w:pStyle w:val="BodyText"/>
      </w:pPr>
    </w:p>
    <w:p w:rsidR="00F3177F" w:rsidRDefault="0089671D">
      <w:pPr>
        <w:pStyle w:val="BodyText"/>
        <w:spacing w:before="143" w:line="360" w:lineRule="auto"/>
        <w:ind w:left="1124" w:right="117" w:hanging="540"/>
        <w:jc w:val="both"/>
      </w:pPr>
      <w:r>
        <w:t xml:space="preserve">Hellwig, </w:t>
      </w:r>
      <w:r>
        <w:rPr>
          <w:spacing w:val="-3"/>
        </w:rPr>
        <w:t xml:space="preserve">R.T., Antretter, F., </w:t>
      </w:r>
      <w:r>
        <w:t xml:space="preserve">Holm, A., &amp; Sedlbauer, K. </w:t>
      </w:r>
      <w:r>
        <w:rPr>
          <w:spacing w:val="-3"/>
        </w:rPr>
        <w:t xml:space="preserve">(2009). Investigations </w:t>
      </w:r>
      <w:r>
        <w:t xml:space="preserve">into </w:t>
      </w:r>
      <w:r>
        <w:rPr>
          <w:spacing w:val="-3"/>
        </w:rPr>
        <w:t xml:space="preserve">Indoor Environment </w:t>
      </w:r>
      <w:r>
        <w:t xml:space="preserve">Conditions </w:t>
      </w:r>
      <w:r>
        <w:rPr>
          <w:spacing w:val="-3"/>
        </w:rPr>
        <w:t xml:space="preserve">and Natural Ventilation </w:t>
      </w:r>
      <w:r>
        <w:t xml:space="preserve">in </w:t>
      </w:r>
      <w:r>
        <w:rPr>
          <w:spacing w:val="-3"/>
        </w:rPr>
        <w:t>School Buildings</w:t>
      </w:r>
      <w:proofErr w:type="gramStart"/>
      <w:r>
        <w:rPr>
          <w:spacing w:val="-3"/>
        </w:rPr>
        <w:t xml:space="preserve">,  </w:t>
      </w:r>
      <w:r>
        <w:rPr>
          <w:i/>
          <w:spacing w:val="-3"/>
        </w:rPr>
        <w:t>Bauphysik</w:t>
      </w:r>
      <w:proofErr w:type="gramEnd"/>
      <w:r>
        <w:rPr>
          <w:spacing w:val="-3"/>
        </w:rPr>
        <w:t xml:space="preserve">, </w:t>
      </w:r>
      <w:r>
        <w:rPr>
          <w:i/>
        </w:rPr>
        <w:t xml:space="preserve">31, </w:t>
      </w:r>
      <w:r>
        <w:rPr>
          <w:spacing w:val="-3"/>
        </w:rPr>
        <w:t>89-98.</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Hernandez, </w:t>
      </w:r>
      <w:r>
        <w:t xml:space="preserve">O., </w:t>
      </w:r>
      <w:r>
        <w:rPr>
          <w:spacing w:val="-3"/>
        </w:rPr>
        <w:t xml:space="preserve">Burke, </w:t>
      </w:r>
      <w:r>
        <w:t xml:space="preserve">K., &amp; </w:t>
      </w:r>
      <w:r>
        <w:rPr>
          <w:spacing w:val="-3"/>
        </w:rPr>
        <w:t xml:space="preserve">Lewis, </w:t>
      </w:r>
      <w:r>
        <w:t xml:space="preserve">J.O. (2008). </w:t>
      </w:r>
      <w:r>
        <w:rPr>
          <w:spacing w:val="-3"/>
        </w:rPr>
        <w:t xml:space="preserve">Development </w:t>
      </w:r>
      <w:r>
        <w:t xml:space="preserve">of energy </w:t>
      </w:r>
      <w:r>
        <w:rPr>
          <w:spacing w:val="-3"/>
        </w:rPr>
        <w:t>performance</w:t>
      </w:r>
      <w:r>
        <w:rPr>
          <w:spacing w:val="54"/>
        </w:rPr>
        <w:t xml:space="preserve"> </w:t>
      </w:r>
      <w:r>
        <w:rPr>
          <w:spacing w:val="-3"/>
        </w:rPr>
        <w:t xml:space="preserve">benchmarks and </w:t>
      </w:r>
      <w:r>
        <w:t xml:space="preserve">building energy ratings </w:t>
      </w:r>
      <w:r>
        <w:rPr>
          <w:spacing w:val="-3"/>
        </w:rPr>
        <w:t xml:space="preserve">for </w:t>
      </w:r>
      <w:r>
        <w:t xml:space="preserve">non-domestic </w:t>
      </w:r>
      <w:r>
        <w:rPr>
          <w:spacing w:val="-3"/>
        </w:rPr>
        <w:t xml:space="preserve">buildings: </w:t>
      </w:r>
      <w:r>
        <w:t xml:space="preserve">An </w:t>
      </w:r>
      <w:r>
        <w:rPr>
          <w:spacing w:val="-3"/>
        </w:rPr>
        <w:t xml:space="preserve">example for Irish </w:t>
      </w:r>
      <w:r>
        <w:t xml:space="preserve">primary </w:t>
      </w:r>
      <w:r>
        <w:rPr>
          <w:spacing w:val="-3"/>
        </w:rPr>
        <w:t xml:space="preserve">schools. </w:t>
      </w:r>
      <w:r>
        <w:rPr>
          <w:i/>
          <w:spacing w:val="-3"/>
        </w:rPr>
        <w:t xml:space="preserve">Energy </w:t>
      </w:r>
      <w:proofErr w:type="gramStart"/>
      <w:r>
        <w:rPr>
          <w:i/>
        </w:rPr>
        <w:t>Build</w:t>
      </w:r>
      <w:r>
        <w:t>.,</w:t>
      </w:r>
      <w:proofErr w:type="gramEnd"/>
      <w:r>
        <w:t xml:space="preserve"> </w:t>
      </w:r>
      <w:r>
        <w:rPr>
          <w:i/>
        </w:rPr>
        <w:t xml:space="preserve">40, </w:t>
      </w:r>
      <w:r>
        <w:t>249-254.</w:t>
      </w:r>
    </w:p>
    <w:p w:rsidR="00F3177F" w:rsidRDefault="00F3177F">
      <w:pPr>
        <w:pStyle w:val="BodyText"/>
      </w:pPr>
    </w:p>
    <w:p w:rsidR="00F3177F" w:rsidRDefault="0089671D">
      <w:pPr>
        <w:pStyle w:val="BodyText"/>
        <w:spacing w:before="143" w:line="360" w:lineRule="auto"/>
        <w:ind w:left="1124" w:right="117" w:hanging="540"/>
        <w:jc w:val="both"/>
      </w:pPr>
      <w:r>
        <w:t xml:space="preserve">Hirst, E., &amp; Brown, M. (1990, June). Closing the efficiency gap: barriers to the efficient use of energy. Resources, </w:t>
      </w:r>
      <w:r>
        <w:rPr>
          <w:i/>
        </w:rPr>
        <w:t>Conservation and Recycling</w:t>
      </w:r>
      <w:r>
        <w:t xml:space="preserve">, </w:t>
      </w:r>
      <w:r>
        <w:rPr>
          <w:i/>
        </w:rPr>
        <w:t xml:space="preserve">3, </w:t>
      </w:r>
      <w:r>
        <w:t>267-281.</w:t>
      </w:r>
    </w:p>
    <w:p w:rsidR="00F3177F" w:rsidRDefault="00F3177F">
      <w:pPr>
        <w:pStyle w:val="BodyText"/>
        <w:spacing w:before="3"/>
      </w:pPr>
    </w:p>
    <w:p w:rsidR="00F3177F" w:rsidRDefault="0089671D">
      <w:pPr>
        <w:pStyle w:val="BodyText"/>
        <w:spacing w:before="1" w:line="360" w:lineRule="auto"/>
        <w:ind w:left="1124" w:right="116" w:hanging="540"/>
        <w:jc w:val="both"/>
      </w:pPr>
      <w:r>
        <w:t xml:space="preserve">Holmberg, I., &amp; Wyon, D.P. (1969). The dependence of performance in school on classroom temperature. In: Educational and psychological interactions, Malmö, Sweden. </w:t>
      </w:r>
      <w:r>
        <w:rPr>
          <w:i/>
        </w:rPr>
        <w:t>School of Education</w:t>
      </w:r>
      <w:r>
        <w:t xml:space="preserve">, </w:t>
      </w:r>
      <w:r>
        <w:rPr>
          <w:i/>
        </w:rPr>
        <w:t xml:space="preserve">31, </w:t>
      </w:r>
      <w:r>
        <w:t>20.</w:t>
      </w:r>
    </w:p>
    <w:p w:rsidR="00F3177F" w:rsidRDefault="00F3177F">
      <w:pPr>
        <w:pStyle w:val="BodyText"/>
      </w:pPr>
    </w:p>
    <w:p w:rsidR="00F3177F" w:rsidRDefault="0089671D">
      <w:pPr>
        <w:pStyle w:val="BodyText"/>
        <w:spacing w:before="143" w:line="360" w:lineRule="auto"/>
        <w:ind w:left="1124" w:right="113" w:hanging="540"/>
        <w:jc w:val="both"/>
      </w:pPr>
      <w:r>
        <w:rPr>
          <w:spacing w:val="-3"/>
        </w:rPr>
        <w:t xml:space="preserve">Hong, </w:t>
      </w:r>
      <w:r>
        <w:t xml:space="preserve">S.M., </w:t>
      </w:r>
      <w:r>
        <w:rPr>
          <w:spacing w:val="-3"/>
        </w:rPr>
        <w:t xml:space="preserve">Paterson, </w:t>
      </w:r>
      <w:r>
        <w:t xml:space="preserve">G., </w:t>
      </w:r>
      <w:r>
        <w:rPr>
          <w:spacing w:val="-3"/>
        </w:rPr>
        <w:t xml:space="preserve">Burman, </w:t>
      </w:r>
      <w:r>
        <w:t xml:space="preserve">E., Steadman, Ph., &amp; Mumovic, D. (2013). A </w:t>
      </w:r>
      <w:r>
        <w:rPr>
          <w:spacing w:val="-3"/>
        </w:rPr>
        <w:t xml:space="preserve">comparative </w:t>
      </w:r>
      <w:r>
        <w:t xml:space="preserve">study of </w:t>
      </w:r>
      <w:r>
        <w:rPr>
          <w:spacing w:val="-3"/>
        </w:rPr>
        <w:t xml:space="preserve">benchmarking approaches </w:t>
      </w:r>
      <w:r>
        <w:t xml:space="preserve">for </w:t>
      </w:r>
      <w:r>
        <w:rPr>
          <w:spacing w:val="-2"/>
        </w:rPr>
        <w:t xml:space="preserve">non-domestic </w:t>
      </w:r>
      <w:r>
        <w:rPr>
          <w:spacing w:val="-3"/>
        </w:rPr>
        <w:t xml:space="preserve">buildings: Part   </w:t>
      </w:r>
      <w:r>
        <w:t>1</w:t>
      </w:r>
    </w:p>
    <w:p w:rsidR="00F3177F" w:rsidRDefault="0089671D">
      <w:pPr>
        <w:spacing w:before="4"/>
        <w:ind w:left="1124" w:right="65"/>
        <w:rPr>
          <w:i/>
          <w:sz w:val="24"/>
        </w:rPr>
      </w:pPr>
      <w:r>
        <w:rPr>
          <w:sz w:val="24"/>
        </w:rPr>
        <w:t xml:space="preserve">– </w:t>
      </w:r>
      <w:r>
        <w:rPr>
          <w:spacing w:val="-3"/>
          <w:sz w:val="24"/>
        </w:rPr>
        <w:t>Top-</w:t>
      </w:r>
      <w:proofErr w:type="gramStart"/>
      <w:r>
        <w:rPr>
          <w:spacing w:val="-3"/>
          <w:sz w:val="24"/>
        </w:rPr>
        <w:t>down  approach</w:t>
      </w:r>
      <w:proofErr w:type="gramEnd"/>
      <w:r>
        <w:rPr>
          <w:spacing w:val="-3"/>
          <w:sz w:val="24"/>
        </w:rPr>
        <w:t xml:space="preserve">,  </w:t>
      </w:r>
      <w:r>
        <w:rPr>
          <w:i/>
          <w:spacing w:val="-3"/>
          <w:sz w:val="24"/>
        </w:rPr>
        <w:t xml:space="preserve">International  Journal  </w:t>
      </w:r>
      <w:r>
        <w:rPr>
          <w:i/>
          <w:sz w:val="24"/>
        </w:rPr>
        <w:t xml:space="preserve">of </w:t>
      </w:r>
      <w:r>
        <w:rPr>
          <w:i/>
          <w:spacing w:val="-3"/>
          <w:sz w:val="24"/>
        </w:rPr>
        <w:t xml:space="preserve">Sustainable </w:t>
      </w:r>
      <w:r>
        <w:rPr>
          <w:i/>
          <w:sz w:val="24"/>
        </w:rPr>
        <w:t xml:space="preserve">Built </w:t>
      </w:r>
      <w:r>
        <w:rPr>
          <w:i/>
          <w:spacing w:val="-3"/>
          <w:sz w:val="24"/>
        </w:rPr>
        <w:t>Environment</w:t>
      </w:r>
      <w:r>
        <w:rPr>
          <w:spacing w:val="-3"/>
          <w:sz w:val="24"/>
        </w:rPr>
        <w:t xml:space="preserve">, </w:t>
      </w:r>
      <w:r>
        <w:rPr>
          <w:i/>
          <w:sz w:val="24"/>
        </w:rPr>
        <w:t>2,</w:t>
      </w:r>
    </w:p>
    <w:p w:rsidR="00F3177F" w:rsidRDefault="0089671D">
      <w:pPr>
        <w:pStyle w:val="BodyText"/>
        <w:spacing w:before="139"/>
        <w:ind w:left="1124" w:right="65"/>
      </w:pPr>
      <w:r>
        <w:t>119-130.</w:t>
      </w:r>
    </w:p>
    <w:p w:rsidR="00F3177F" w:rsidRDefault="00F3177F">
      <w:pPr>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3" w:hanging="540"/>
        <w:jc w:val="both"/>
      </w:pPr>
      <w:r>
        <w:rPr>
          <w:spacing w:val="-3"/>
        </w:rPr>
        <w:lastRenderedPageBreak/>
        <w:t xml:space="preserve">Hong, </w:t>
      </w:r>
      <w:r>
        <w:t xml:space="preserve">S.M., </w:t>
      </w:r>
      <w:r>
        <w:rPr>
          <w:spacing w:val="-3"/>
        </w:rPr>
        <w:t xml:space="preserve">Paterson, </w:t>
      </w:r>
      <w:r>
        <w:t xml:space="preserve">G., </w:t>
      </w:r>
      <w:r>
        <w:rPr>
          <w:spacing w:val="-3"/>
        </w:rPr>
        <w:t xml:space="preserve">Burman, </w:t>
      </w:r>
      <w:r>
        <w:t xml:space="preserve">E., Steadman, Ph., &amp; </w:t>
      </w:r>
      <w:r>
        <w:rPr>
          <w:spacing w:val="-3"/>
        </w:rPr>
        <w:t xml:space="preserve">Mumovic, </w:t>
      </w:r>
      <w:r>
        <w:t xml:space="preserve">D. (2014). </w:t>
      </w:r>
      <w:r>
        <w:rPr>
          <w:spacing w:val="-3"/>
        </w:rPr>
        <w:t xml:space="preserve">Improved benchmarking </w:t>
      </w:r>
      <w:r>
        <w:t xml:space="preserve">comparability for energy consumption in </w:t>
      </w:r>
      <w:r>
        <w:rPr>
          <w:spacing w:val="-3"/>
        </w:rPr>
        <w:t xml:space="preserve">schools, </w:t>
      </w:r>
      <w:r>
        <w:rPr>
          <w:i/>
        </w:rPr>
        <w:t xml:space="preserve">Building </w:t>
      </w:r>
      <w:r>
        <w:rPr>
          <w:i/>
          <w:spacing w:val="-3"/>
        </w:rPr>
        <w:t xml:space="preserve">Research </w:t>
      </w:r>
      <w:r>
        <w:rPr>
          <w:i/>
        </w:rPr>
        <w:t xml:space="preserve">&amp; </w:t>
      </w:r>
      <w:r>
        <w:rPr>
          <w:i/>
          <w:spacing w:val="-2"/>
        </w:rPr>
        <w:t>Information</w:t>
      </w:r>
      <w:r>
        <w:rPr>
          <w:spacing w:val="-2"/>
        </w:rPr>
        <w:t xml:space="preserve">, </w:t>
      </w:r>
      <w:r>
        <w:rPr>
          <w:i/>
        </w:rPr>
        <w:t xml:space="preserve">42 </w:t>
      </w:r>
      <w:r>
        <w:t xml:space="preserve">(1), </w:t>
      </w:r>
      <w:r>
        <w:rPr>
          <w:spacing w:val="-3"/>
        </w:rPr>
        <w:t xml:space="preserve">47-61. </w:t>
      </w:r>
      <w:proofErr w:type="gramStart"/>
      <w:r>
        <w:t>doi</w:t>
      </w:r>
      <w:proofErr w:type="gramEnd"/>
      <w:r>
        <w:t xml:space="preserve">: </w:t>
      </w:r>
      <w:r>
        <w:rPr>
          <w:spacing w:val="-3"/>
        </w:rPr>
        <w:t>10.1080/09613218.2013.814746</w:t>
      </w:r>
    </w:p>
    <w:p w:rsidR="00F3177F" w:rsidRDefault="00F3177F">
      <w:pPr>
        <w:pStyle w:val="BodyText"/>
      </w:pPr>
    </w:p>
    <w:p w:rsidR="00F3177F" w:rsidRDefault="0089671D">
      <w:pPr>
        <w:pStyle w:val="BodyText"/>
        <w:spacing w:before="143" w:line="360" w:lineRule="auto"/>
        <w:ind w:left="1124" w:right="118" w:hanging="540"/>
        <w:jc w:val="both"/>
      </w:pPr>
      <w:r>
        <w:t xml:space="preserve">Hong, T., Koo, Ch., &amp; Jeong, K. (2012). A decision support model for reducing electric energy consumption in elementary school facilities. </w:t>
      </w:r>
      <w:r>
        <w:rPr>
          <w:i/>
        </w:rPr>
        <w:t xml:space="preserve">Applied Energy, 95, </w:t>
      </w:r>
      <w:r>
        <w:t>253-266.</w:t>
      </w:r>
    </w:p>
    <w:p w:rsidR="00F3177F" w:rsidRDefault="00F3177F">
      <w:pPr>
        <w:pStyle w:val="BodyText"/>
      </w:pPr>
    </w:p>
    <w:p w:rsidR="00F3177F" w:rsidRDefault="0089671D">
      <w:pPr>
        <w:spacing w:before="143" w:line="360" w:lineRule="auto"/>
        <w:ind w:left="1124" w:right="115" w:hanging="540"/>
        <w:jc w:val="both"/>
        <w:rPr>
          <w:sz w:val="24"/>
        </w:rPr>
      </w:pPr>
      <w:r>
        <w:rPr>
          <w:sz w:val="24"/>
        </w:rPr>
        <w:t xml:space="preserve">Hu, M., Weir, J. D., &amp; Wu, T. (2012). Decentralized operation strategies for an integrated building energy system using a memetic algorithm. </w:t>
      </w:r>
      <w:r>
        <w:rPr>
          <w:i/>
          <w:sz w:val="24"/>
        </w:rPr>
        <w:t xml:space="preserve">European </w:t>
      </w:r>
      <w:proofErr w:type="gramStart"/>
      <w:r>
        <w:rPr>
          <w:i/>
          <w:sz w:val="24"/>
        </w:rPr>
        <w:t>Journal  of</w:t>
      </w:r>
      <w:proofErr w:type="gramEnd"/>
      <w:r>
        <w:rPr>
          <w:i/>
          <w:sz w:val="24"/>
        </w:rPr>
        <w:t xml:space="preserve"> Operational Research</w:t>
      </w:r>
      <w:r>
        <w:rPr>
          <w:sz w:val="24"/>
        </w:rPr>
        <w:t xml:space="preserve">, </w:t>
      </w:r>
      <w:r>
        <w:rPr>
          <w:i/>
          <w:sz w:val="24"/>
        </w:rPr>
        <w:t xml:space="preserve">217 </w:t>
      </w:r>
      <w:r>
        <w:rPr>
          <w:sz w:val="24"/>
        </w:rPr>
        <w:t>(1),</w:t>
      </w:r>
      <w:r>
        <w:rPr>
          <w:spacing w:val="-4"/>
          <w:sz w:val="24"/>
        </w:rPr>
        <w:t xml:space="preserve"> </w:t>
      </w:r>
      <w:r>
        <w:rPr>
          <w:sz w:val="24"/>
        </w:rPr>
        <w:t>185-197.</w:t>
      </w:r>
    </w:p>
    <w:p w:rsidR="00F3177F" w:rsidRDefault="00F3177F">
      <w:pPr>
        <w:pStyle w:val="BodyText"/>
      </w:pPr>
    </w:p>
    <w:p w:rsidR="00F3177F" w:rsidRDefault="0089671D">
      <w:pPr>
        <w:pStyle w:val="BodyText"/>
        <w:spacing w:before="143" w:line="360" w:lineRule="auto"/>
        <w:ind w:left="1124" w:right="118" w:hanging="540"/>
        <w:jc w:val="both"/>
      </w:pPr>
      <w:r>
        <w:rPr>
          <w:spacing w:val="-3"/>
        </w:rPr>
        <w:t xml:space="preserve">Humphreys, </w:t>
      </w:r>
      <w:r>
        <w:t xml:space="preserve">M.A., &amp; Nicol, J.F. </w:t>
      </w:r>
      <w:r>
        <w:rPr>
          <w:spacing w:val="-3"/>
        </w:rPr>
        <w:t xml:space="preserve">(1998). Understanding </w:t>
      </w:r>
      <w:r>
        <w:t xml:space="preserve">the </w:t>
      </w:r>
      <w:r>
        <w:rPr>
          <w:spacing w:val="-3"/>
        </w:rPr>
        <w:t xml:space="preserve">adaptive </w:t>
      </w:r>
      <w:r>
        <w:t xml:space="preserve">approach to </w:t>
      </w:r>
      <w:r>
        <w:rPr>
          <w:spacing w:val="-3"/>
        </w:rPr>
        <w:t xml:space="preserve">thermal comfort. </w:t>
      </w:r>
      <w:r>
        <w:rPr>
          <w:i/>
        </w:rPr>
        <w:t xml:space="preserve">ASHRAE </w:t>
      </w:r>
      <w:r>
        <w:rPr>
          <w:i/>
          <w:spacing w:val="-3"/>
        </w:rPr>
        <w:t xml:space="preserve">Transactions, </w:t>
      </w:r>
      <w:r>
        <w:rPr>
          <w:i/>
        </w:rPr>
        <w:t xml:space="preserve">104 </w:t>
      </w:r>
      <w:r>
        <w:t xml:space="preserve">(1), </w:t>
      </w:r>
      <w:r>
        <w:rPr>
          <w:spacing w:val="-3"/>
        </w:rPr>
        <w:t>991-1004.</w:t>
      </w:r>
    </w:p>
    <w:p w:rsidR="00F3177F" w:rsidRDefault="00F3177F">
      <w:pPr>
        <w:pStyle w:val="BodyText"/>
      </w:pPr>
    </w:p>
    <w:p w:rsidR="00F3177F" w:rsidRDefault="0089671D">
      <w:pPr>
        <w:pStyle w:val="BodyText"/>
        <w:spacing w:before="143"/>
        <w:ind w:left="584" w:right="65"/>
      </w:pPr>
      <w:r>
        <w:rPr>
          <w:spacing w:val="-3"/>
        </w:rPr>
        <w:t>Hussein</w:t>
      </w:r>
      <w:proofErr w:type="gramStart"/>
      <w:r>
        <w:rPr>
          <w:spacing w:val="-3"/>
        </w:rPr>
        <w:t>,  I</w:t>
      </w:r>
      <w:proofErr w:type="gramEnd"/>
      <w:r>
        <w:rPr>
          <w:spacing w:val="-3"/>
        </w:rPr>
        <w:t xml:space="preserve">.,  </w:t>
      </w:r>
      <w:r>
        <w:t xml:space="preserve">&amp; </w:t>
      </w:r>
      <w:r>
        <w:rPr>
          <w:spacing w:val="-3"/>
        </w:rPr>
        <w:t>Rahman,  M.H.A.  (2009)</w:t>
      </w:r>
      <w:proofErr w:type="gramStart"/>
      <w:r>
        <w:rPr>
          <w:spacing w:val="-3"/>
        </w:rPr>
        <w:t>.  Field</w:t>
      </w:r>
      <w:proofErr w:type="gramEnd"/>
      <w:r>
        <w:rPr>
          <w:spacing w:val="-3"/>
        </w:rPr>
        <w:t xml:space="preserve">  </w:t>
      </w:r>
      <w:r>
        <w:t xml:space="preserve">study on </w:t>
      </w:r>
      <w:r>
        <w:rPr>
          <w:spacing w:val="-3"/>
        </w:rPr>
        <w:t xml:space="preserve">thermal  </w:t>
      </w:r>
      <w:r>
        <w:t xml:space="preserve">comfort in </w:t>
      </w:r>
      <w:r>
        <w:rPr>
          <w:spacing w:val="-3"/>
        </w:rPr>
        <w:t xml:space="preserve">Malaysia  </w:t>
      </w:r>
      <w:r>
        <w:t>,</w:t>
      </w:r>
    </w:p>
    <w:p w:rsidR="00F3177F" w:rsidRDefault="0089671D">
      <w:pPr>
        <w:spacing w:before="137"/>
        <w:ind w:left="1124" w:right="65"/>
        <w:rPr>
          <w:sz w:val="24"/>
        </w:rPr>
      </w:pPr>
      <w:r>
        <w:rPr>
          <w:i/>
          <w:sz w:val="24"/>
        </w:rPr>
        <w:t>European Journal of Scientific Research</w:t>
      </w:r>
      <w:r>
        <w:rPr>
          <w:sz w:val="24"/>
        </w:rPr>
        <w:t xml:space="preserve">, </w:t>
      </w:r>
      <w:r>
        <w:rPr>
          <w:i/>
          <w:sz w:val="24"/>
        </w:rPr>
        <w:t xml:space="preserve">37 </w:t>
      </w:r>
      <w:r>
        <w:rPr>
          <w:sz w:val="24"/>
        </w:rPr>
        <w:t>(1), 134-153.</w:t>
      </w:r>
    </w:p>
    <w:p w:rsidR="00F3177F" w:rsidRDefault="00F3177F">
      <w:pPr>
        <w:pStyle w:val="BodyText"/>
      </w:pPr>
    </w:p>
    <w:p w:rsidR="00F3177F" w:rsidRDefault="0089671D">
      <w:pPr>
        <w:spacing w:before="180" w:line="360" w:lineRule="auto"/>
        <w:ind w:left="1124" w:right="117" w:hanging="540"/>
        <w:jc w:val="both"/>
        <w:rPr>
          <w:sz w:val="24"/>
        </w:rPr>
      </w:pPr>
      <w:r>
        <w:rPr>
          <w:sz w:val="24"/>
        </w:rPr>
        <w:t xml:space="preserve">Inner City </w:t>
      </w:r>
      <w:r>
        <w:rPr>
          <w:spacing w:val="-3"/>
          <w:sz w:val="24"/>
        </w:rPr>
        <w:t xml:space="preserve">Fund International. (2008). </w:t>
      </w:r>
      <w:r>
        <w:rPr>
          <w:i/>
          <w:spacing w:val="-3"/>
          <w:sz w:val="24"/>
        </w:rPr>
        <w:t xml:space="preserve">Water </w:t>
      </w:r>
      <w:r>
        <w:rPr>
          <w:i/>
          <w:sz w:val="24"/>
        </w:rPr>
        <w:t xml:space="preserve">and </w:t>
      </w:r>
      <w:r>
        <w:rPr>
          <w:i/>
          <w:spacing w:val="-3"/>
          <w:sz w:val="24"/>
        </w:rPr>
        <w:t xml:space="preserve">Energy: </w:t>
      </w:r>
      <w:r>
        <w:rPr>
          <w:i/>
          <w:sz w:val="24"/>
        </w:rPr>
        <w:t xml:space="preserve">Leveraging </w:t>
      </w:r>
      <w:r>
        <w:rPr>
          <w:i/>
          <w:spacing w:val="-3"/>
          <w:sz w:val="24"/>
        </w:rPr>
        <w:t xml:space="preserve">Voluntary Programs </w:t>
      </w:r>
      <w:r>
        <w:rPr>
          <w:i/>
          <w:sz w:val="24"/>
        </w:rPr>
        <w:t xml:space="preserve">to Save Both </w:t>
      </w:r>
      <w:r>
        <w:rPr>
          <w:i/>
          <w:spacing w:val="-3"/>
          <w:sz w:val="24"/>
        </w:rPr>
        <w:t xml:space="preserve">Water </w:t>
      </w:r>
      <w:r>
        <w:rPr>
          <w:i/>
          <w:sz w:val="24"/>
        </w:rPr>
        <w:t>and Energy</w:t>
      </w:r>
      <w:r>
        <w:rPr>
          <w:sz w:val="24"/>
        </w:rPr>
        <w:t xml:space="preserve">. </w:t>
      </w:r>
      <w:r>
        <w:rPr>
          <w:spacing w:val="-3"/>
          <w:sz w:val="24"/>
        </w:rPr>
        <w:t xml:space="preserve">1725 Eye </w:t>
      </w:r>
      <w:r>
        <w:rPr>
          <w:sz w:val="24"/>
        </w:rPr>
        <w:t xml:space="preserve">Street, Suite </w:t>
      </w:r>
      <w:r>
        <w:rPr>
          <w:spacing w:val="-3"/>
          <w:sz w:val="24"/>
        </w:rPr>
        <w:t xml:space="preserve">1000 Washington, </w:t>
      </w:r>
      <w:r>
        <w:rPr>
          <w:sz w:val="24"/>
        </w:rPr>
        <w:t>DC,</w:t>
      </w:r>
      <w:r>
        <w:rPr>
          <w:spacing w:val="-15"/>
          <w:sz w:val="24"/>
        </w:rPr>
        <w:t xml:space="preserve"> </w:t>
      </w:r>
      <w:r>
        <w:rPr>
          <w:sz w:val="24"/>
        </w:rPr>
        <w:t>20006.</w:t>
      </w:r>
    </w:p>
    <w:p w:rsidR="00F3177F" w:rsidRDefault="00F3177F">
      <w:pPr>
        <w:pStyle w:val="BodyText"/>
      </w:pPr>
    </w:p>
    <w:p w:rsidR="00F3177F" w:rsidRDefault="0089671D">
      <w:pPr>
        <w:tabs>
          <w:tab w:val="left" w:pos="2204"/>
          <w:tab w:val="left" w:pos="3606"/>
          <w:tab w:val="left" w:pos="4959"/>
          <w:tab w:val="left" w:pos="6018"/>
          <w:tab w:val="left" w:pos="6752"/>
          <w:tab w:val="left" w:pos="7721"/>
          <w:tab w:val="left" w:pos="8623"/>
        </w:tabs>
        <w:spacing w:before="143" w:line="360" w:lineRule="auto"/>
        <w:ind w:left="1124" w:right="116" w:hanging="540"/>
        <w:rPr>
          <w:sz w:val="24"/>
        </w:rPr>
      </w:pPr>
      <w:r>
        <w:rPr>
          <w:spacing w:val="-3"/>
          <w:sz w:val="24"/>
        </w:rPr>
        <w:t xml:space="preserve">IEA. </w:t>
      </w:r>
      <w:r>
        <w:rPr>
          <w:sz w:val="24"/>
        </w:rPr>
        <w:t xml:space="preserve">(2010). </w:t>
      </w:r>
      <w:r>
        <w:rPr>
          <w:i/>
          <w:spacing w:val="-3"/>
          <w:sz w:val="24"/>
        </w:rPr>
        <w:t xml:space="preserve">Energy Performance Certification </w:t>
      </w:r>
      <w:r>
        <w:rPr>
          <w:i/>
          <w:sz w:val="24"/>
        </w:rPr>
        <w:t xml:space="preserve">of </w:t>
      </w:r>
      <w:r>
        <w:rPr>
          <w:i/>
          <w:spacing w:val="-3"/>
          <w:sz w:val="24"/>
        </w:rPr>
        <w:t xml:space="preserve">Buildings: </w:t>
      </w:r>
      <w:r>
        <w:rPr>
          <w:i/>
          <w:sz w:val="24"/>
        </w:rPr>
        <w:t xml:space="preserve">A policy tool to </w:t>
      </w:r>
      <w:r>
        <w:rPr>
          <w:i/>
          <w:spacing w:val="-3"/>
          <w:sz w:val="24"/>
        </w:rPr>
        <w:t>improve energy</w:t>
      </w:r>
      <w:r>
        <w:rPr>
          <w:i/>
          <w:spacing w:val="-3"/>
          <w:sz w:val="24"/>
        </w:rPr>
        <w:tab/>
      </w:r>
      <w:r>
        <w:rPr>
          <w:i/>
          <w:sz w:val="24"/>
        </w:rPr>
        <w:t>efficiency</w:t>
      </w:r>
      <w:r>
        <w:rPr>
          <w:sz w:val="24"/>
        </w:rPr>
        <w:t>.</w:t>
      </w:r>
      <w:r>
        <w:rPr>
          <w:sz w:val="24"/>
        </w:rPr>
        <w:tab/>
      </w:r>
      <w:r>
        <w:rPr>
          <w:spacing w:val="-3"/>
          <w:sz w:val="24"/>
        </w:rPr>
        <w:t>Retrieved</w:t>
      </w:r>
      <w:r>
        <w:rPr>
          <w:spacing w:val="-3"/>
          <w:sz w:val="24"/>
        </w:rPr>
        <w:tab/>
        <w:t>March</w:t>
      </w:r>
      <w:r>
        <w:rPr>
          <w:spacing w:val="-3"/>
          <w:sz w:val="24"/>
        </w:rPr>
        <w:tab/>
      </w:r>
      <w:r>
        <w:rPr>
          <w:sz w:val="24"/>
        </w:rPr>
        <w:t>17,</w:t>
      </w:r>
      <w:r>
        <w:rPr>
          <w:sz w:val="24"/>
        </w:rPr>
        <w:tab/>
      </w:r>
      <w:r>
        <w:rPr>
          <w:spacing w:val="-3"/>
          <w:sz w:val="24"/>
        </w:rPr>
        <w:t>2015,</w:t>
      </w:r>
      <w:r>
        <w:rPr>
          <w:spacing w:val="-3"/>
          <w:sz w:val="24"/>
        </w:rPr>
        <w:tab/>
      </w:r>
      <w:r>
        <w:rPr>
          <w:sz w:val="24"/>
        </w:rPr>
        <w:t>from</w:t>
      </w:r>
      <w:r>
        <w:rPr>
          <w:sz w:val="24"/>
        </w:rPr>
        <w:tab/>
      </w:r>
      <w:r>
        <w:rPr>
          <w:spacing w:val="-3"/>
          <w:sz w:val="24"/>
        </w:rPr>
        <w:t>IEA: https://</w:t>
      </w:r>
      <w:hyperlink r:id="rId111">
        <w:r>
          <w:rPr>
            <w:spacing w:val="-3"/>
            <w:sz w:val="24"/>
          </w:rPr>
          <w:t>www.iea.org/publications/freepublications/publication/buildings_certificatio</w:t>
        </w:r>
      </w:hyperlink>
      <w:r>
        <w:rPr>
          <w:spacing w:val="-3"/>
          <w:sz w:val="24"/>
        </w:rPr>
        <w:t xml:space="preserve"> n.pdf</w:t>
      </w:r>
    </w:p>
    <w:p w:rsidR="00F3177F" w:rsidRDefault="00F3177F">
      <w:pPr>
        <w:pStyle w:val="BodyText"/>
        <w:spacing w:before="1"/>
        <w:rPr>
          <w:sz w:val="28"/>
        </w:rPr>
      </w:pPr>
    </w:p>
    <w:p w:rsidR="00F3177F" w:rsidRDefault="0089671D">
      <w:pPr>
        <w:pStyle w:val="BodyText"/>
        <w:spacing w:line="360" w:lineRule="auto"/>
        <w:ind w:left="1124" w:right="114" w:hanging="540"/>
        <w:jc w:val="both"/>
      </w:pPr>
      <w:r>
        <w:rPr>
          <w:spacing w:val="-3"/>
        </w:rPr>
        <w:t xml:space="preserve">IEA. (2012). </w:t>
      </w:r>
      <w:r>
        <w:t xml:space="preserve">Energy Statistics of </w:t>
      </w:r>
      <w:r>
        <w:rPr>
          <w:spacing w:val="-3"/>
        </w:rPr>
        <w:t xml:space="preserve">non-OECD Countries, </w:t>
      </w:r>
      <w:r>
        <w:rPr>
          <w:spacing w:val="-2"/>
        </w:rPr>
        <w:t xml:space="preserve">Retrieved </w:t>
      </w:r>
      <w:r>
        <w:t xml:space="preserve">March 30, </w:t>
      </w:r>
      <w:r>
        <w:rPr>
          <w:spacing w:val="-3"/>
        </w:rPr>
        <w:t xml:space="preserve">2015, </w:t>
      </w:r>
      <w:r>
        <w:t xml:space="preserve">from </w:t>
      </w:r>
      <w:r>
        <w:rPr>
          <w:spacing w:val="-3"/>
        </w:rPr>
        <w:t xml:space="preserve">IEA: </w:t>
      </w:r>
      <w:hyperlink r:id="rId112">
        <w:r>
          <w:rPr>
            <w:spacing w:val="-3"/>
            <w:u w:val="single"/>
          </w:rPr>
          <w:t>http://www.iea.org/w/bookshop/add.aspx?id=611</w:t>
        </w:r>
      </w:hyperlink>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CA6556">
      <w:pPr>
        <w:tabs>
          <w:tab w:val="left" w:pos="2725"/>
          <w:tab w:val="left" w:pos="4259"/>
          <w:tab w:val="left" w:pos="5547"/>
          <w:tab w:val="left" w:pos="6459"/>
          <w:tab w:val="left" w:pos="7546"/>
          <w:tab w:val="left" w:pos="8623"/>
        </w:tabs>
        <w:spacing w:before="54" w:line="360" w:lineRule="auto"/>
        <w:ind w:left="1124" w:right="117" w:hanging="540"/>
        <w:rPr>
          <w:sz w:val="24"/>
        </w:rPr>
      </w:pPr>
      <w:hyperlink r:id="rId113">
        <w:r w:rsidR="0089671D">
          <w:rPr>
            <w:spacing w:val="-3"/>
            <w:sz w:val="24"/>
          </w:rPr>
          <w:t xml:space="preserve">IEA. </w:t>
        </w:r>
        <w:r w:rsidR="0089671D">
          <w:rPr>
            <w:sz w:val="24"/>
          </w:rPr>
          <w:t xml:space="preserve">(2013). </w:t>
        </w:r>
        <w:r w:rsidR="0089671D">
          <w:rPr>
            <w:i/>
            <w:spacing w:val="-3"/>
            <w:sz w:val="24"/>
          </w:rPr>
          <w:t>Technology Roadmap: Technology Roadmap: Energy efficient building</w:t>
        </w:r>
      </w:hyperlink>
      <w:r w:rsidR="0089671D">
        <w:rPr>
          <w:i/>
          <w:spacing w:val="-3"/>
          <w:sz w:val="24"/>
        </w:rPr>
        <w:t xml:space="preserve"> </w:t>
      </w:r>
      <w:hyperlink r:id="rId114">
        <w:r w:rsidR="0089671D">
          <w:rPr>
            <w:i/>
            <w:spacing w:val="-3"/>
            <w:sz w:val="24"/>
          </w:rPr>
          <w:t>envelopes</w:t>
        </w:r>
        <w:r w:rsidR="0089671D">
          <w:rPr>
            <w:spacing w:val="-3"/>
            <w:sz w:val="24"/>
          </w:rPr>
          <w:t>.</w:t>
        </w:r>
        <w:r w:rsidR="0089671D">
          <w:rPr>
            <w:spacing w:val="-3"/>
            <w:sz w:val="24"/>
          </w:rPr>
          <w:tab/>
        </w:r>
        <w:r w:rsidR="0089671D">
          <w:rPr>
            <w:sz w:val="24"/>
          </w:rPr>
          <w:t>Retrieved</w:t>
        </w:r>
        <w:r w:rsidR="0089671D">
          <w:rPr>
            <w:sz w:val="24"/>
          </w:rPr>
          <w:tab/>
        </w:r>
        <w:r w:rsidR="0089671D">
          <w:rPr>
            <w:spacing w:val="-3"/>
            <w:sz w:val="24"/>
          </w:rPr>
          <w:t>March,</w:t>
        </w:r>
        <w:r w:rsidR="0089671D">
          <w:rPr>
            <w:spacing w:val="-3"/>
            <w:sz w:val="24"/>
          </w:rPr>
          <w:tab/>
        </w:r>
        <w:r w:rsidR="0089671D">
          <w:rPr>
            <w:sz w:val="24"/>
          </w:rPr>
          <w:t>17,</w:t>
        </w:r>
        <w:r w:rsidR="0089671D">
          <w:rPr>
            <w:sz w:val="24"/>
          </w:rPr>
          <w:tab/>
        </w:r>
        <w:r w:rsidR="0089671D">
          <w:rPr>
            <w:spacing w:val="-3"/>
            <w:sz w:val="24"/>
          </w:rPr>
          <w:t>2015</w:t>
        </w:r>
        <w:r w:rsidR="0089671D">
          <w:rPr>
            <w:spacing w:val="-3"/>
            <w:sz w:val="24"/>
          </w:rPr>
          <w:tab/>
          <w:t>from</w:t>
        </w:r>
        <w:r w:rsidR="0089671D">
          <w:rPr>
            <w:spacing w:val="-3"/>
            <w:sz w:val="24"/>
          </w:rPr>
          <w:tab/>
          <w:t>IEA:</w:t>
        </w:r>
      </w:hyperlink>
      <w:r w:rsidR="0089671D">
        <w:rPr>
          <w:spacing w:val="-3"/>
          <w:sz w:val="24"/>
        </w:rPr>
        <w:t xml:space="preserve"> https://</w:t>
      </w:r>
      <w:hyperlink r:id="rId115">
        <w:r w:rsidR="0089671D">
          <w:rPr>
            <w:spacing w:val="-3"/>
            <w:sz w:val="24"/>
          </w:rPr>
          <w:t>www.iea.org/publications/freepublications/publication/TechnologyRoadmap</w:t>
        </w:r>
      </w:hyperlink>
      <w:r w:rsidR="0089671D">
        <w:rPr>
          <w:spacing w:val="-3"/>
          <w:sz w:val="24"/>
        </w:rPr>
        <w:t xml:space="preserve"> EnergyEfficientBuildingEnvelopes.pdf</w:t>
      </w:r>
    </w:p>
    <w:p w:rsidR="00F3177F" w:rsidRDefault="00F3177F">
      <w:pPr>
        <w:pStyle w:val="BodyText"/>
      </w:pPr>
    </w:p>
    <w:p w:rsidR="00F3177F" w:rsidRDefault="0089671D">
      <w:pPr>
        <w:spacing w:before="143" w:line="360" w:lineRule="auto"/>
        <w:ind w:left="1124" w:right="115" w:hanging="540"/>
        <w:jc w:val="both"/>
        <w:rPr>
          <w:sz w:val="24"/>
        </w:rPr>
      </w:pPr>
      <w:r>
        <w:rPr>
          <w:sz w:val="24"/>
        </w:rPr>
        <w:t xml:space="preserve">IEA. (2014). </w:t>
      </w:r>
      <w:r>
        <w:rPr>
          <w:i/>
          <w:sz w:val="24"/>
        </w:rPr>
        <w:t>Capturing the Multiple Benefits of Energy Efficiency</w:t>
      </w:r>
      <w:r>
        <w:rPr>
          <w:sz w:val="24"/>
        </w:rPr>
        <w:t xml:space="preserve">. Retrieved May 17, 2015, from IEA: </w:t>
      </w:r>
      <w:hyperlink r:id="rId116">
        <w:r>
          <w:rPr>
            <w:sz w:val="24"/>
          </w:rPr>
          <w:t>http://www.iea.org/publications/freepublications/publication/</w:t>
        </w:r>
      </w:hyperlink>
      <w:r>
        <w:rPr>
          <w:sz w:val="24"/>
        </w:rPr>
        <w:t xml:space="preserve"> Captur_the_MultiplBenef_ofEnergyEficiency.pdf</w:t>
      </w:r>
    </w:p>
    <w:p w:rsidR="00F3177F" w:rsidRDefault="00F3177F">
      <w:pPr>
        <w:pStyle w:val="BodyText"/>
      </w:pPr>
    </w:p>
    <w:p w:rsidR="00F3177F" w:rsidRDefault="0089671D">
      <w:pPr>
        <w:pStyle w:val="BodyText"/>
        <w:spacing w:before="143" w:line="360" w:lineRule="auto"/>
        <w:ind w:left="1124" w:right="118" w:hanging="540"/>
        <w:jc w:val="both"/>
      </w:pPr>
      <w:r>
        <w:rPr>
          <w:spacing w:val="-3"/>
        </w:rPr>
        <w:t xml:space="preserve">IEA. </w:t>
      </w:r>
      <w:r>
        <w:t xml:space="preserve">(2015). </w:t>
      </w:r>
      <w:r>
        <w:rPr>
          <w:i/>
        </w:rPr>
        <w:t xml:space="preserve">Key </w:t>
      </w:r>
      <w:r>
        <w:rPr>
          <w:i/>
          <w:spacing w:val="-3"/>
        </w:rPr>
        <w:t xml:space="preserve">World Energy </w:t>
      </w:r>
      <w:r>
        <w:rPr>
          <w:i/>
        </w:rPr>
        <w:t>Statistics</w:t>
      </w:r>
      <w:r>
        <w:t xml:space="preserve">. Retrieved March 08, </w:t>
      </w:r>
      <w:r>
        <w:rPr>
          <w:spacing w:val="-3"/>
        </w:rPr>
        <w:t xml:space="preserve">2016, </w:t>
      </w:r>
      <w:r>
        <w:t xml:space="preserve">from </w:t>
      </w:r>
      <w:r>
        <w:rPr>
          <w:spacing w:val="-3"/>
        </w:rPr>
        <w:t xml:space="preserve">IEA: </w:t>
      </w:r>
      <w:hyperlink r:id="rId117">
        <w:r>
          <w:rPr>
            <w:spacing w:val="-3"/>
          </w:rPr>
          <w:t>https://www.iea.org/publications/freepublications/publication/KeyWorld_Statistics_</w:t>
        </w:r>
      </w:hyperlink>
      <w:r>
        <w:rPr>
          <w:spacing w:val="-3"/>
        </w:rPr>
        <w:t xml:space="preserve"> </w:t>
      </w:r>
      <w:hyperlink r:id="rId118">
        <w:r>
          <w:rPr>
            <w:spacing w:val="-3"/>
          </w:rPr>
          <w:t>2015.pdf</w:t>
        </w:r>
      </w:hyperlink>
    </w:p>
    <w:p w:rsidR="00F3177F" w:rsidRDefault="00F3177F">
      <w:pPr>
        <w:pStyle w:val="BodyText"/>
      </w:pPr>
    </w:p>
    <w:p w:rsidR="00F3177F" w:rsidRDefault="0089671D">
      <w:pPr>
        <w:spacing w:before="143" w:line="360" w:lineRule="auto"/>
        <w:ind w:left="1124" w:right="114" w:hanging="540"/>
        <w:jc w:val="both"/>
        <w:rPr>
          <w:i/>
          <w:sz w:val="24"/>
        </w:rPr>
      </w:pPr>
      <w:r>
        <w:rPr>
          <w:spacing w:val="-3"/>
          <w:sz w:val="24"/>
        </w:rPr>
        <w:t xml:space="preserve">Ismail, </w:t>
      </w:r>
      <w:r>
        <w:rPr>
          <w:sz w:val="24"/>
        </w:rPr>
        <w:t xml:space="preserve">M., </w:t>
      </w:r>
      <w:r>
        <w:rPr>
          <w:spacing w:val="-3"/>
          <w:sz w:val="24"/>
        </w:rPr>
        <w:t xml:space="preserve">Rahman, </w:t>
      </w:r>
      <w:r>
        <w:rPr>
          <w:sz w:val="24"/>
        </w:rPr>
        <w:t xml:space="preserve">A.M.A., &amp; </w:t>
      </w:r>
      <w:r>
        <w:rPr>
          <w:spacing w:val="-3"/>
          <w:sz w:val="24"/>
        </w:rPr>
        <w:t xml:space="preserve">Ismail, </w:t>
      </w:r>
      <w:r>
        <w:rPr>
          <w:sz w:val="24"/>
        </w:rPr>
        <w:t xml:space="preserve">M.R. (2009). </w:t>
      </w:r>
      <w:r>
        <w:rPr>
          <w:spacing w:val="-3"/>
          <w:sz w:val="24"/>
        </w:rPr>
        <w:t xml:space="preserve">Field </w:t>
      </w:r>
      <w:r>
        <w:rPr>
          <w:sz w:val="24"/>
        </w:rPr>
        <w:t xml:space="preserve">Study </w:t>
      </w:r>
      <w:proofErr w:type="gramStart"/>
      <w:r>
        <w:rPr>
          <w:sz w:val="24"/>
        </w:rPr>
        <w:t>On</w:t>
      </w:r>
      <w:proofErr w:type="gramEnd"/>
      <w:r>
        <w:rPr>
          <w:sz w:val="24"/>
        </w:rPr>
        <w:t xml:space="preserve"> The </w:t>
      </w:r>
      <w:r>
        <w:rPr>
          <w:spacing w:val="-3"/>
          <w:sz w:val="24"/>
        </w:rPr>
        <w:t>Ventilation</w:t>
      </w:r>
      <w:r>
        <w:rPr>
          <w:spacing w:val="54"/>
          <w:sz w:val="24"/>
        </w:rPr>
        <w:t xml:space="preserve"> </w:t>
      </w:r>
      <w:r>
        <w:rPr>
          <w:spacing w:val="-3"/>
          <w:sz w:val="24"/>
        </w:rPr>
        <w:t xml:space="preserve">Performance </w:t>
      </w:r>
      <w:r>
        <w:rPr>
          <w:sz w:val="24"/>
        </w:rPr>
        <w:t xml:space="preserve">Of The </w:t>
      </w:r>
      <w:r>
        <w:rPr>
          <w:spacing w:val="-3"/>
          <w:sz w:val="24"/>
        </w:rPr>
        <w:t xml:space="preserve">Hybrid </w:t>
      </w:r>
      <w:r>
        <w:rPr>
          <w:sz w:val="24"/>
        </w:rPr>
        <w:t xml:space="preserve">Turbine Ventilator (Htv) </w:t>
      </w:r>
      <w:r>
        <w:rPr>
          <w:spacing w:val="-3"/>
          <w:sz w:val="24"/>
        </w:rPr>
        <w:t xml:space="preserve">In </w:t>
      </w:r>
      <w:r>
        <w:rPr>
          <w:sz w:val="24"/>
        </w:rPr>
        <w:t xml:space="preserve">The Tropics. </w:t>
      </w:r>
      <w:r>
        <w:rPr>
          <w:i/>
          <w:spacing w:val="-3"/>
          <w:sz w:val="24"/>
        </w:rPr>
        <w:t xml:space="preserve">International Journal </w:t>
      </w:r>
      <w:r>
        <w:rPr>
          <w:i/>
          <w:sz w:val="24"/>
        </w:rPr>
        <w:t xml:space="preserve">on Design </w:t>
      </w:r>
      <w:proofErr w:type="gramStart"/>
      <w:r>
        <w:rPr>
          <w:i/>
          <w:sz w:val="24"/>
        </w:rPr>
        <w:t>And</w:t>
      </w:r>
      <w:proofErr w:type="gramEnd"/>
      <w:r>
        <w:rPr>
          <w:i/>
          <w:sz w:val="24"/>
        </w:rPr>
        <w:t xml:space="preserve"> </w:t>
      </w:r>
      <w:r>
        <w:rPr>
          <w:i/>
          <w:spacing w:val="-3"/>
          <w:sz w:val="24"/>
        </w:rPr>
        <w:t xml:space="preserve">Manufacturing Technologies, </w:t>
      </w:r>
      <w:r>
        <w:rPr>
          <w:sz w:val="24"/>
        </w:rPr>
        <w:t>p. 3</w:t>
      </w:r>
      <w:r>
        <w:rPr>
          <w:i/>
          <w:sz w:val="24"/>
        </w:rPr>
        <w:t>.</w:t>
      </w:r>
    </w:p>
    <w:p w:rsidR="00F3177F" w:rsidRDefault="00F3177F">
      <w:pPr>
        <w:pStyle w:val="BodyText"/>
        <w:rPr>
          <w:i/>
        </w:rPr>
      </w:pPr>
    </w:p>
    <w:p w:rsidR="00F3177F" w:rsidRDefault="0089671D">
      <w:pPr>
        <w:pStyle w:val="BodyText"/>
        <w:spacing w:before="143" w:line="360" w:lineRule="auto"/>
        <w:ind w:left="1124" w:right="117" w:hanging="540"/>
        <w:jc w:val="both"/>
      </w:pPr>
      <w:r>
        <w:rPr>
          <w:spacing w:val="-3"/>
        </w:rPr>
        <w:t xml:space="preserve">Jaen, </w:t>
      </w:r>
      <w:r>
        <w:t xml:space="preserve">M., </w:t>
      </w:r>
      <w:r>
        <w:rPr>
          <w:spacing w:val="-3"/>
        </w:rPr>
        <w:t xml:space="preserve">Sandoval, </w:t>
      </w:r>
      <w:r>
        <w:t xml:space="preserve">J., </w:t>
      </w:r>
      <w:r>
        <w:rPr>
          <w:spacing w:val="-3"/>
        </w:rPr>
        <w:t xml:space="preserve">Colombo, </w:t>
      </w:r>
      <w:r>
        <w:t xml:space="preserve">E., &amp; </w:t>
      </w:r>
      <w:r>
        <w:rPr>
          <w:spacing w:val="-3"/>
        </w:rPr>
        <w:t xml:space="preserve">Troscianko, </w:t>
      </w:r>
      <w:r>
        <w:t xml:space="preserve">T. </w:t>
      </w:r>
      <w:r>
        <w:rPr>
          <w:spacing w:val="-3"/>
        </w:rPr>
        <w:t xml:space="preserve">(2005). </w:t>
      </w:r>
      <w:r>
        <w:t xml:space="preserve">Ofﬁce </w:t>
      </w:r>
      <w:r>
        <w:rPr>
          <w:spacing w:val="-3"/>
        </w:rPr>
        <w:t xml:space="preserve">workers’ </w:t>
      </w:r>
      <w:r>
        <w:rPr>
          <w:spacing w:val="-2"/>
        </w:rPr>
        <w:t xml:space="preserve">visual </w:t>
      </w:r>
      <w:r>
        <w:rPr>
          <w:spacing w:val="-3"/>
        </w:rPr>
        <w:t xml:space="preserve">performance and </w:t>
      </w:r>
      <w:r>
        <w:t xml:space="preserve">temporal </w:t>
      </w:r>
      <w:r>
        <w:rPr>
          <w:spacing w:val="-3"/>
        </w:rPr>
        <w:t xml:space="preserve">modulation </w:t>
      </w:r>
      <w:r>
        <w:t xml:space="preserve">of ﬂuorescent </w:t>
      </w:r>
      <w:r>
        <w:rPr>
          <w:spacing w:val="-3"/>
        </w:rPr>
        <w:t xml:space="preserve">lighting. </w:t>
      </w:r>
      <w:r>
        <w:rPr>
          <w:i/>
        </w:rPr>
        <w:t>Leukos</w:t>
      </w:r>
      <w:r>
        <w:t xml:space="preserve">, </w:t>
      </w:r>
      <w:r>
        <w:rPr>
          <w:i/>
        </w:rPr>
        <w:t xml:space="preserve">1 </w:t>
      </w:r>
      <w:r>
        <w:rPr>
          <w:spacing w:val="-3"/>
        </w:rPr>
        <w:t xml:space="preserve">(4), </w:t>
      </w:r>
      <w:r>
        <w:rPr>
          <w:spacing w:val="-4"/>
        </w:rPr>
        <w:t>27-46.</w:t>
      </w:r>
    </w:p>
    <w:p w:rsidR="00F3177F" w:rsidRDefault="00F3177F">
      <w:pPr>
        <w:pStyle w:val="BodyText"/>
      </w:pPr>
    </w:p>
    <w:p w:rsidR="00F3177F" w:rsidRDefault="0089671D">
      <w:pPr>
        <w:pStyle w:val="BodyText"/>
        <w:spacing w:before="143" w:line="360" w:lineRule="auto"/>
        <w:ind w:left="1124" w:right="114" w:hanging="540"/>
        <w:jc w:val="both"/>
      </w:pPr>
      <w:r>
        <w:t xml:space="preserve">Jalaei, F., &amp; Jrade, A. (2014). An Automated BIM Model to Conceptually Design, Analyze, Simulate, and Assess Sustainable Building Projects. </w:t>
      </w:r>
      <w:r>
        <w:rPr>
          <w:i/>
        </w:rPr>
        <w:t xml:space="preserve">Journal of Construction Engineering, </w:t>
      </w:r>
      <w:r>
        <w:t>Article ID 672896.</w:t>
      </w:r>
    </w:p>
    <w:p w:rsidR="00F3177F" w:rsidRDefault="00F3177F">
      <w:pPr>
        <w:pStyle w:val="BodyText"/>
      </w:pPr>
    </w:p>
    <w:p w:rsidR="00F3177F" w:rsidRDefault="0089671D">
      <w:pPr>
        <w:spacing w:before="143" w:line="360" w:lineRule="auto"/>
        <w:ind w:left="1124" w:right="112" w:hanging="540"/>
        <w:jc w:val="both"/>
        <w:rPr>
          <w:sz w:val="24"/>
        </w:rPr>
      </w:pPr>
      <w:r>
        <w:rPr>
          <w:sz w:val="24"/>
        </w:rPr>
        <w:t xml:space="preserve">Jefferson, M. (2014). Closing the gap between energy research and modelling. </w:t>
      </w:r>
      <w:r>
        <w:rPr>
          <w:i/>
          <w:sz w:val="24"/>
        </w:rPr>
        <w:t>Energy Research &amp; Social Science</w:t>
      </w:r>
      <w:r>
        <w:rPr>
          <w:sz w:val="24"/>
        </w:rPr>
        <w:t xml:space="preserve">, </w:t>
      </w:r>
      <w:r>
        <w:rPr>
          <w:i/>
          <w:sz w:val="24"/>
        </w:rPr>
        <w:t xml:space="preserve">4, </w:t>
      </w:r>
      <w:r>
        <w:rPr>
          <w:sz w:val="24"/>
        </w:rPr>
        <w:t>42-52.</w:t>
      </w:r>
    </w:p>
    <w:p w:rsidR="00F3177F" w:rsidRDefault="00F3177F">
      <w:pPr>
        <w:pStyle w:val="BodyText"/>
      </w:pPr>
    </w:p>
    <w:p w:rsidR="00F3177F" w:rsidRDefault="0089671D">
      <w:pPr>
        <w:pStyle w:val="BodyText"/>
        <w:spacing w:before="143" w:line="360" w:lineRule="auto"/>
        <w:ind w:left="1124" w:right="110" w:hanging="540"/>
        <w:jc w:val="both"/>
      </w:pPr>
      <w:r>
        <w:t>Jones, P.G., Turner, R.N., Browne, D.W.J., &amp; Illingworth, P.J. (2000).  Energy benchmarks for public sector buildings in Northern Ireland.</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7" w:hanging="540"/>
        <w:jc w:val="both"/>
      </w:pPr>
      <w:r>
        <w:rPr>
          <w:spacing w:val="-3"/>
        </w:rPr>
        <w:lastRenderedPageBreak/>
        <w:t xml:space="preserve">Jones, B.M., </w:t>
      </w:r>
      <w:r>
        <w:t xml:space="preserve">&amp; Kirby, R. </w:t>
      </w:r>
      <w:r>
        <w:rPr>
          <w:spacing w:val="-3"/>
        </w:rPr>
        <w:t xml:space="preserve">(2012). </w:t>
      </w:r>
      <w:r>
        <w:t xml:space="preserve">Indoor Air Quality in </w:t>
      </w:r>
      <w:r>
        <w:rPr>
          <w:spacing w:val="-3"/>
        </w:rPr>
        <w:t xml:space="preserve">U.K. </w:t>
      </w:r>
      <w:r>
        <w:t xml:space="preserve">School </w:t>
      </w:r>
      <w:r>
        <w:rPr>
          <w:spacing w:val="-3"/>
        </w:rPr>
        <w:t xml:space="preserve">Classrooms Ventilated </w:t>
      </w:r>
      <w:r>
        <w:t xml:space="preserve">by </w:t>
      </w:r>
      <w:r>
        <w:rPr>
          <w:spacing w:val="-3"/>
        </w:rPr>
        <w:t xml:space="preserve">Natural Ventilation Windcatchers. </w:t>
      </w:r>
      <w:r>
        <w:rPr>
          <w:i/>
          <w:spacing w:val="-3"/>
        </w:rPr>
        <w:t xml:space="preserve">International Journal </w:t>
      </w:r>
      <w:proofErr w:type="gramStart"/>
      <w:r>
        <w:rPr>
          <w:i/>
        </w:rPr>
        <w:t xml:space="preserve">of  </w:t>
      </w:r>
      <w:r>
        <w:rPr>
          <w:i/>
          <w:spacing w:val="-3"/>
        </w:rPr>
        <w:t>Ventilation</w:t>
      </w:r>
      <w:proofErr w:type="gramEnd"/>
      <w:r>
        <w:rPr>
          <w:i/>
          <w:spacing w:val="-3"/>
        </w:rPr>
        <w:t xml:space="preserve"> </w:t>
      </w:r>
      <w:r>
        <w:rPr>
          <w:i/>
        </w:rPr>
        <w:t xml:space="preserve">10 </w:t>
      </w:r>
      <w:r>
        <w:t xml:space="preserve">(4), 323-337. </w:t>
      </w:r>
      <w:proofErr w:type="gramStart"/>
      <w:r>
        <w:t>doi</w:t>
      </w:r>
      <w:proofErr w:type="gramEnd"/>
      <w:r>
        <w:t>:</w:t>
      </w:r>
      <w:r>
        <w:rPr>
          <w:spacing w:val="-29"/>
        </w:rPr>
        <w:t xml:space="preserve"> </w:t>
      </w:r>
      <w:r>
        <w:rPr>
          <w:spacing w:val="-3"/>
        </w:rPr>
        <w:t>10.1080/14733315.2012.11683959</w:t>
      </w:r>
    </w:p>
    <w:p w:rsidR="00F3177F" w:rsidRDefault="00F3177F">
      <w:pPr>
        <w:pStyle w:val="BodyText"/>
      </w:pPr>
    </w:p>
    <w:p w:rsidR="00F3177F" w:rsidRDefault="0089671D">
      <w:pPr>
        <w:pStyle w:val="BodyText"/>
        <w:spacing w:before="143" w:line="360" w:lineRule="auto"/>
        <w:ind w:left="1124" w:right="367" w:hanging="540"/>
      </w:pPr>
      <w:r>
        <w:rPr>
          <w:spacing w:val="-3"/>
        </w:rPr>
        <w:t xml:space="preserve">Judson, R.A., Schmalensee, </w:t>
      </w:r>
      <w:r>
        <w:t xml:space="preserve">R., &amp; </w:t>
      </w:r>
      <w:r>
        <w:rPr>
          <w:spacing w:val="-3"/>
        </w:rPr>
        <w:t xml:space="preserve">Stoker, T.M. (1999). Economic </w:t>
      </w:r>
      <w:r>
        <w:t xml:space="preserve">development and the </w:t>
      </w:r>
      <w:r>
        <w:rPr>
          <w:spacing w:val="-3"/>
        </w:rPr>
        <w:t xml:space="preserve">structure </w:t>
      </w:r>
      <w:r>
        <w:t xml:space="preserve">of </w:t>
      </w:r>
      <w:r>
        <w:rPr>
          <w:spacing w:val="-3"/>
        </w:rPr>
        <w:t xml:space="preserve">demand for commercial energy. </w:t>
      </w:r>
      <w:r>
        <w:rPr>
          <w:i/>
        </w:rPr>
        <w:t xml:space="preserve">The Energy </w:t>
      </w:r>
      <w:r>
        <w:rPr>
          <w:i/>
          <w:spacing w:val="-3"/>
        </w:rPr>
        <w:t xml:space="preserve">Journal, </w:t>
      </w:r>
      <w:r>
        <w:rPr>
          <w:i/>
        </w:rPr>
        <w:t xml:space="preserve">20 </w:t>
      </w:r>
      <w:r>
        <w:t xml:space="preserve">(2), </w:t>
      </w:r>
      <w:r>
        <w:rPr>
          <w:spacing w:val="-3"/>
        </w:rPr>
        <w:t>29-57.</w:t>
      </w:r>
    </w:p>
    <w:p w:rsidR="00F3177F" w:rsidRDefault="00F3177F">
      <w:pPr>
        <w:pStyle w:val="BodyText"/>
      </w:pPr>
    </w:p>
    <w:p w:rsidR="00F3177F" w:rsidRDefault="0089671D">
      <w:pPr>
        <w:spacing w:before="143" w:line="360" w:lineRule="auto"/>
        <w:ind w:left="1124" w:right="117" w:hanging="540"/>
        <w:rPr>
          <w:sz w:val="24"/>
        </w:rPr>
      </w:pPr>
      <w:r>
        <w:rPr>
          <w:sz w:val="24"/>
        </w:rPr>
        <w:t xml:space="preserve">Kamarruzzaman, K., &amp; Tazila A.S.B.M. (2013). </w:t>
      </w:r>
      <w:r>
        <w:rPr>
          <w:i/>
          <w:sz w:val="24"/>
        </w:rPr>
        <w:t>Thermal Comfort Assessment of a Classroom in Tropical Climate Conditions</w:t>
      </w:r>
      <w:r>
        <w:rPr>
          <w:sz w:val="24"/>
        </w:rPr>
        <w:t xml:space="preserve">. Retrieved May 05, 2016, from </w:t>
      </w:r>
      <w:hyperlink r:id="rId119">
        <w:r>
          <w:rPr>
            <w:sz w:val="24"/>
            <w:u w:val="single"/>
          </w:rPr>
          <w:t>http://www.wseas.us/e-library/conferences/2013/CambridgeUSA/ENVMECH/</w:t>
        </w:r>
      </w:hyperlink>
      <w:r>
        <w:rPr>
          <w:sz w:val="24"/>
          <w:u w:val="single"/>
        </w:rPr>
        <w:t xml:space="preserve"> </w:t>
      </w:r>
      <w:r>
        <w:rPr>
          <w:sz w:val="24"/>
        </w:rPr>
        <w:t>ENVMECH-12.pdf</w:t>
      </w:r>
    </w:p>
    <w:p w:rsidR="00F3177F" w:rsidRDefault="00F3177F">
      <w:pPr>
        <w:pStyle w:val="BodyText"/>
      </w:pPr>
    </w:p>
    <w:p w:rsidR="00F3177F" w:rsidRDefault="0089671D">
      <w:pPr>
        <w:spacing w:before="143" w:line="360" w:lineRule="auto"/>
        <w:ind w:left="1124" w:right="117" w:hanging="540"/>
        <w:jc w:val="both"/>
        <w:rPr>
          <w:sz w:val="24"/>
        </w:rPr>
      </w:pPr>
      <w:r>
        <w:rPr>
          <w:sz w:val="24"/>
        </w:rPr>
        <w:t xml:space="preserve">Kandar, M.Z., Ahmad, H., &amp; Ariffin, S.A.I.S. (2009). Energy Conservation </w:t>
      </w:r>
      <w:proofErr w:type="gramStart"/>
      <w:r>
        <w:rPr>
          <w:sz w:val="24"/>
        </w:rPr>
        <w:t>In</w:t>
      </w:r>
      <w:proofErr w:type="gramEnd"/>
      <w:r>
        <w:rPr>
          <w:sz w:val="24"/>
        </w:rPr>
        <w:t xml:space="preserve"> Building: Study On Awareness And Practices Among Malaysian Government Employees. </w:t>
      </w:r>
      <w:r>
        <w:rPr>
          <w:i/>
          <w:sz w:val="24"/>
        </w:rPr>
        <w:t xml:space="preserve">International Conference </w:t>
      </w:r>
      <w:proofErr w:type="gramStart"/>
      <w:r>
        <w:rPr>
          <w:i/>
          <w:sz w:val="24"/>
        </w:rPr>
        <w:t>On</w:t>
      </w:r>
      <w:proofErr w:type="gramEnd"/>
      <w:r>
        <w:rPr>
          <w:i/>
          <w:sz w:val="24"/>
        </w:rPr>
        <w:t xml:space="preserve"> Construction Industry 2009 (Icci 2009)</w:t>
      </w:r>
      <w:r>
        <w:rPr>
          <w:sz w:val="24"/>
        </w:rPr>
        <w:t>. Padang, Sumatera: Universiti Teknologi Malaysia.</w:t>
      </w:r>
    </w:p>
    <w:p w:rsidR="00F3177F" w:rsidRDefault="00F3177F">
      <w:pPr>
        <w:pStyle w:val="BodyText"/>
      </w:pPr>
    </w:p>
    <w:p w:rsidR="00F3177F" w:rsidRDefault="0089671D">
      <w:pPr>
        <w:pStyle w:val="BodyText"/>
        <w:spacing w:before="143" w:line="360" w:lineRule="auto"/>
        <w:ind w:left="1124" w:right="114" w:hanging="540"/>
        <w:jc w:val="both"/>
      </w:pPr>
      <w:r>
        <w:t xml:space="preserve">Kaplan, R.S., &amp; Norton, D.P. (1996). </w:t>
      </w:r>
      <w:r>
        <w:rPr>
          <w:i/>
        </w:rPr>
        <w:t>The Balanced Scorecard</w:t>
      </w:r>
      <w:r>
        <w:t>. Boston, Mass.: Harvard Business School Press. p. 148.</w:t>
      </w:r>
    </w:p>
    <w:p w:rsidR="00F3177F" w:rsidRDefault="00F3177F">
      <w:pPr>
        <w:pStyle w:val="BodyText"/>
        <w:spacing w:before="3"/>
      </w:pPr>
    </w:p>
    <w:p w:rsidR="00F3177F" w:rsidRDefault="0089671D">
      <w:pPr>
        <w:pStyle w:val="BodyText"/>
        <w:spacing w:before="1" w:line="360" w:lineRule="auto"/>
        <w:ind w:left="1124" w:right="117" w:hanging="540"/>
        <w:jc w:val="both"/>
      </w:pPr>
      <w:r>
        <w:rPr>
          <w:spacing w:val="-3"/>
        </w:rPr>
        <w:t xml:space="preserve">Katafygiotou, </w:t>
      </w:r>
      <w:r>
        <w:t xml:space="preserve">M.C., &amp; </w:t>
      </w:r>
      <w:r>
        <w:rPr>
          <w:spacing w:val="-3"/>
        </w:rPr>
        <w:t xml:space="preserve">Serghides, D.K. (2014). Analysis </w:t>
      </w:r>
      <w:r>
        <w:t xml:space="preserve">of </w:t>
      </w:r>
      <w:r>
        <w:rPr>
          <w:spacing w:val="-3"/>
        </w:rPr>
        <w:t xml:space="preserve">structural elements </w:t>
      </w:r>
      <w:proofErr w:type="gramStart"/>
      <w:r>
        <w:rPr>
          <w:spacing w:val="-3"/>
        </w:rPr>
        <w:t xml:space="preserve">and  </w:t>
      </w:r>
      <w:r>
        <w:t>energy</w:t>
      </w:r>
      <w:proofErr w:type="gramEnd"/>
      <w:r>
        <w:t xml:space="preserve"> </w:t>
      </w:r>
      <w:r>
        <w:rPr>
          <w:spacing w:val="-3"/>
        </w:rPr>
        <w:t xml:space="preserve">consumption </w:t>
      </w:r>
      <w:r>
        <w:t xml:space="preserve">of </w:t>
      </w:r>
      <w:r>
        <w:rPr>
          <w:spacing w:val="-3"/>
        </w:rPr>
        <w:t xml:space="preserve">school </w:t>
      </w:r>
      <w:r>
        <w:t xml:space="preserve">building stock in </w:t>
      </w:r>
      <w:r>
        <w:rPr>
          <w:spacing w:val="-3"/>
        </w:rPr>
        <w:t xml:space="preserve">Cyprus: </w:t>
      </w:r>
      <w:r>
        <w:t xml:space="preserve">energy simulations </w:t>
      </w:r>
      <w:r>
        <w:rPr>
          <w:spacing w:val="-3"/>
        </w:rPr>
        <w:t>and upgrade</w:t>
      </w:r>
      <w:r>
        <w:rPr>
          <w:spacing w:val="-7"/>
        </w:rPr>
        <w:t xml:space="preserve"> </w:t>
      </w:r>
      <w:r>
        <w:rPr>
          <w:spacing w:val="-3"/>
        </w:rPr>
        <w:t>scenarios</w:t>
      </w:r>
      <w:r>
        <w:rPr>
          <w:spacing w:val="-8"/>
        </w:rPr>
        <w:t xml:space="preserve"> </w:t>
      </w:r>
      <w:r>
        <w:t>of</w:t>
      </w:r>
      <w:r>
        <w:rPr>
          <w:spacing w:val="-7"/>
        </w:rPr>
        <w:t xml:space="preserve"> </w:t>
      </w:r>
      <w:r>
        <w:t>a</w:t>
      </w:r>
      <w:r>
        <w:rPr>
          <w:spacing w:val="-9"/>
        </w:rPr>
        <w:t xml:space="preserve"> </w:t>
      </w:r>
      <w:r>
        <w:rPr>
          <w:spacing w:val="-3"/>
        </w:rPr>
        <w:t>typical</w:t>
      </w:r>
      <w:r>
        <w:rPr>
          <w:spacing w:val="-8"/>
        </w:rPr>
        <w:t xml:space="preserve"> </w:t>
      </w:r>
      <w:r>
        <w:t>school.</w:t>
      </w:r>
      <w:r>
        <w:rPr>
          <w:spacing w:val="-7"/>
        </w:rPr>
        <w:t xml:space="preserve"> </w:t>
      </w:r>
      <w:r>
        <w:rPr>
          <w:i/>
        </w:rPr>
        <w:t>Energy</w:t>
      </w:r>
      <w:r>
        <w:rPr>
          <w:i/>
          <w:spacing w:val="-9"/>
        </w:rPr>
        <w:t xml:space="preserve"> </w:t>
      </w:r>
      <w:r>
        <w:rPr>
          <w:i/>
        </w:rPr>
        <w:t>Build,</w:t>
      </w:r>
      <w:r>
        <w:rPr>
          <w:i/>
          <w:spacing w:val="-8"/>
        </w:rPr>
        <w:t xml:space="preserve"> </w:t>
      </w:r>
      <w:r>
        <w:rPr>
          <w:i/>
        </w:rPr>
        <w:t>72,</w:t>
      </w:r>
      <w:r>
        <w:rPr>
          <w:i/>
          <w:spacing w:val="-8"/>
        </w:rPr>
        <w:t xml:space="preserve"> </w:t>
      </w:r>
      <w:r>
        <w:rPr>
          <w:spacing w:val="-3"/>
        </w:rPr>
        <w:t>8-16.</w:t>
      </w:r>
    </w:p>
    <w:p w:rsidR="00F3177F" w:rsidRDefault="00F3177F">
      <w:pPr>
        <w:pStyle w:val="BodyText"/>
      </w:pPr>
    </w:p>
    <w:p w:rsidR="00F3177F" w:rsidRDefault="0089671D">
      <w:pPr>
        <w:pStyle w:val="BodyText"/>
        <w:spacing w:before="143" w:line="360" w:lineRule="auto"/>
        <w:ind w:left="1124" w:right="113" w:hanging="540"/>
        <w:jc w:val="both"/>
      </w:pPr>
      <w:r>
        <w:t xml:space="preserve">Kogalniceanu, V., &amp; Raicevic, B. (2013, June 3-8). Energy efficiency policies in contracting parties of the energy community – an integrative and innovative approach. </w:t>
      </w:r>
      <w:proofErr w:type="gramStart"/>
      <w:r>
        <w:rPr>
          <w:i/>
        </w:rPr>
        <w:t>eceee</w:t>
      </w:r>
      <w:proofErr w:type="gramEnd"/>
      <w:r>
        <w:rPr>
          <w:i/>
        </w:rPr>
        <w:t xml:space="preserve"> 2013 Summer Study Rethink, renew, restart </w:t>
      </w:r>
      <w:r>
        <w:t>(p. 449-458). Toulon/Hyères, France: eceee.</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spacing w:before="54" w:line="360" w:lineRule="auto"/>
        <w:ind w:left="1124" w:right="114" w:hanging="540"/>
        <w:jc w:val="both"/>
        <w:rPr>
          <w:sz w:val="24"/>
        </w:rPr>
      </w:pPr>
      <w:r>
        <w:rPr>
          <w:sz w:val="24"/>
        </w:rPr>
        <w:lastRenderedPageBreak/>
        <w:t xml:space="preserve">Krejcie, R.V., Daryle, D., &amp; Morgan, W. (1970). </w:t>
      </w:r>
      <w:r>
        <w:rPr>
          <w:i/>
          <w:sz w:val="24"/>
        </w:rPr>
        <w:t xml:space="preserve">Educational and Psychological Measurement, Determining Sample Size for Research Activities </w:t>
      </w:r>
      <w:r>
        <w:rPr>
          <w:sz w:val="24"/>
        </w:rPr>
        <w:t>(p. 607-610). Minnesota, U.S.: University of Minnesota.</w:t>
      </w:r>
    </w:p>
    <w:p w:rsidR="00F3177F" w:rsidRDefault="00F3177F">
      <w:pPr>
        <w:pStyle w:val="BodyText"/>
      </w:pPr>
    </w:p>
    <w:p w:rsidR="00F3177F" w:rsidRDefault="0089671D">
      <w:pPr>
        <w:pStyle w:val="BodyText"/>
        <w:spacing w:before="143" w:line="360" w:lineRule="auto"/>
        <w:ind w:left="1124" w:right="118" w:hanging="540"/>
        <w:jc w:val="both"/>
      </w:pPr>
      <w:r>
        <w:t xml:space="preserve">Küller, R., &amp; Laike, T. (1998). The impact of ﬂicker from ﬂuorescent lighting on wellbeing, performance and physiological arousal. </w:t>
      </w:r>
      <w:r>
        <w:rPr>
          <w:i/>
        </w:rPr>
        <w:t>Ergonomics</w:t>
      </w:r>
      <w:r>
        <w:t xml:space="preserve">, </w:t>
      </w:r>
      <w:r>
        <w:rPr>
          <w:i/>
        </w:rPr>
        <w:t xml:space="preserve">41 </w:t>
      </w:r>
      <w:r>
        <w:t>(4), 433-447.</w:t>
      </w:r>
    </w:p>
    <w:p w:rsidR="00F3177F" w:rsidRDefault="00F3177F">
      <w:pPr>
        <w:pStyle w:val="BodyText"/>
      </w:pPr>
    </w:p>
    <w:p w:rsidR="00F3177F" w:rsidRDefault="0089671D">
      <w:pPr>
        <w:pStyle w:val="BodyText"/>
        <w:spacing w:before="143" w:line="360" w:lineRule="auto"/>
        <w:ind w:left="1124" w:right="115" w:hanging="540"/>
        <w:jc w:val="both"/>
      </w:pPr>
      <w:r>
        <w:rPr>
          <w:spacing w:val="-3"/>
        </w:rPr>
        <w:t>Kwok,</w:t>
      </w:r>
      <w:r>
        <w:rPr>
          <w:spacing w:val="-7"/>
        </w:rPr>
        <w:t xml:space="preserve"> </w:t>
      </w:r>
      <w:r>
        <w:t>A.,</w:t>
      </w:r>
      <w:r>
        <w:rPr>
          <w:spacing w:val="-4"/>
        </w:rPr>
        <w:t xml:space="preserve"> </w:t>
      </w:r>
      <w:r>
        <w:t>&amp;</w:t>
      </w:r>
      <w:r>
        <w:rPr>
          <w:spacing w:val="-11"/>
        </w:rPr>
        <w:t xml:space="preserve"> </w:t>
      </w:r>
      <w:r>
        <w:t>Chun,</w:t>
      </w:r>
      <w:r>
        <w:rPr>
          <w:spacing w:val="-9"/>
        </w:rPr>
        <w:t xml:space="preserve"> </w:t>
      </w:r>
      <w:r>
        <w:t>C.</w:t>
      </w:r>
      <w:r>
        <w:rPr>
          <w:spacing w:val="-6"/>
        </w:rPr>
        <w:t xml:space="preserve"> </w:t>
      </w:r>
      <w:r>
        <w:rPr>
          <w:spacing w:val="-3"/>
        </w:rPr>
        <w:t>(2003).</w:t>
      </w:r>
      <w:r>
        <w:rPr>
          <w:spacing w:val="-7"/>
        </w:rPr>
        <w:t xml:space="preserve"> </w:t>
      </w:r>
      <w:r>
        <w:t>Thermal</w:t>
      </w:r>
      <w:r>
        <w:rPr>
          <w:spacing w:val="-6"/>
        </w:rPr>
        <w:t xml:space="preserve"> </w:t>
      </w:r>
      <w:r>
        <w:rPr>
          <w:spacing w:val="-3"/>
        </w:rPr>
        <w:t>comfort</w:t>
      </w:r>
      <w:r>
        <w:rPr>
          <w:spacing w:val="-9"/>
        </w:rPr>
        <w:t xml:space="preserve"> </w:t>
      </w:r>
      <w:r>
        <w:t>in</w:t>
      </w:r>
      <w:r>
        <w:rPr>
          <w:spacing w:val="-4"/>
        </w:rPr>
        <w:t xml:space="preserve"> </w:t>
      </w:r>
      <w:r>
        <w:rPr>
          <w:spacing w:val="-3"/>
        </w:rPr>
        <w:t>Japanese</w:t>
      </w:r>
      <w:r>
        <w:rPr>
          <w:spacing w:val="-10"/>
        </w:rPr>
        <w:t xml:space="preserve"> </w:t>
      </w:r>
      <w:r>
        <w:t>schools.</w:t>
      </w:r>
      <w:r>
        <w:rPr>
          <w:spacing w:val="-9"/>
        </w:rPr>
        <w:t xml:space="preserve"> </w:t>
      </w:r>
      <w:r>
        <w:rPr>
          <w:i/>
        </w:rPr>
        <w:t>Sol</w:t>
      </w:r>
      <w:r>
        <w:rPr>
          <w:i/>
          <w:spacing w:val="-6"/>
        </w:rPr>
        <w:t xml:space="preserve"> </w:t>
      </w:r>
      <w:r>
        <w:rPr>
          <w:i/>
        </w:rPr>
        <w:t>Energy</w:t>
      </w:r>
      <w:r>
        <w:t>,</w:t>
      </w:r>
      <w:r>
        <w:rPr>
          <w:spacing w:val="-7"/>
        </w:rPr>
        <w:t xml:space="preserve"> </w:t>
      </w:r>
      <w:r>
        <w:rPr>
          <w:i/>
        </w:rPr>
        <w:t>74,</w:t>
      </w:r>
      <w:r>
        <w:rPr>
          <w:i/>
          <w:spacing w:val="-7"/>
        </w:rPr>
        <w:t xml:space="preserve"> </w:t>
      </w:r>
      <w:r>
        <w:rPr>
          <w:spacing w:val="-3"/>
        </w:rPr>
        <w:t>245- 252.</w:t>
      </w:r>
    </w:p>
    <w:p w:rsidR="00F3177F" w:rsidRDefault="00F3177F">
      <w:pPr>
        <w:pStyle w:val="BodyText"/>
      </w:pPr>
    </w:p>
    <w:p w:rsidR="00F3177F" w:rsidRDefault="0089671D">
      <w:pPr>
        <w:pStyle w:val="BodyText"/>
        <w:spacing w:before="143" w:line="360" w:lineRule="auto"/>
        <w:ind w:left="1124" w:right="115" w:hanging="540"/>
        <w:jc w:val="both"/>
      </w:pPr>
      <w:r>
        <w:t xml:space="preserve">Lane, J.F., Floress, K., &amp; Rickert, M. (2014). Development of school energy policy and energy education plans: A comparative case study in three Wisconsin school communities. </w:t>
      </w:r>
      <w:r>
        <w:rPr>
          <w:i/>
        </w:rPr>
        <w:t>Energy Policy</w:t>
      </w:r>
      <w:r>
        <w:t xml:space="preserve">, </w:t>
      </w:r>
      <w:r>
        <w:rPr>
          <w:i/>
        </w:rPr>
        <w:t xml:space="preserve">65, </w:t>
      </w:r>
      <w:r>
        <w:t>323-331.</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Lang, </w:t>
      </w:r>
      <w:r>
        <w:t xml:space="preserve">D.C. </w:t>
      </w:r>
      <w:r>
        <w:rPr>
          <w:spacing w:val="-3"/>
        </w:rPr>
        <w:t xml:space="preserve">(2002). </w:t>
      </w:r>
      <w:r>
        <w:t xml:space="preserve">Teacher </w:t>
      </w:r>
      <w:r>
        <w:rPr>
          <w:spacing w:val="-3"/>
        </w:rPr>
        <w:t xml:space="preserve">interactions </w:t>
      </w:r>
      <w:r>
        <w:t xml:space="preserve">within the </w:t>
      </w:r>
      <w:r>
        <w:rPr>
          <w:spacing w:val="-3"/>
        </w:rPr>
        <w:t xml:space="preserve">physical environment: </w:t>
      </w:r>
      <w:r>
        <w:t xml:space="preserve">How teachers </w:t>
      </w:r>
      <w:r>
        <w:rPr>
          <w:spacing w:val="-3"/>
        </w:rPr>
        <w:t xml:space="preserve">alter </w:t>
      </w:r>
      <w:r>
        <w:t xml:space="preserve">their space </w:t>
      </w:r>
      <w:r>
        <w:rPr>
          <w:spacing w:val="-3"/>
        </w:rPr>
        <w:t xml:space="preserve">and/or routines because </w:t>
      </w:r>
      <w:r>
        <w:t xml:space="preserve">of classroom </w:t>
      </w:r>
      <w:r>
        <w:rPr>
          <w:spacing w:val="-3"/>
        </w:rPr>
        <w:t xml:space="preserve">character. Seattle: </w:t>
      </w:r>
      <w:r>
        <w:t xml:space="preserve">University of </w:t>
      </w:r>
      <w:r>
        <w:rPr>
          <w:spacing w:val="-3"/>
        </w:rPr>
        <w:t>Washington.</w:t>
      </w:r>
    </w:p>
    <w:p w:rsidR="00F3177F" w:rsidRDefault="00F3177F">
      <w:pPr>
        <w:pStyle w:val="BodyText"/>
      </w:pPr>
    </w:p>
    <w:p w:rsidR="00F3177F" w:rsidRDefault="0089671D">
      <w:pPr>
        <w:pStyle w:val="BodyText"/>
        <w:spacing w:before="143" w:line="360" w:lineRule="auto"/>
        <w:ind w:left="1124" w:right="113" w:hanging="540"/>
        <w:jc w:val="both"/>
      </w:pPr>
      <w:r>
        <w:t xml:space="preserve">Lara, R.A., Pernigotto, G., Cappelletti, F., Romagnoni, P., &amp; Gasparella, A. (2015). Energy audit of schools by means of cluster analysis. </w:t>
      </w:r>
      <w:r>
        <w:rPr>
          <w:i/>
        </w:rPr>
        <w:t>Energy and Buildings</w:t>
      </w:r>
      <w:r>
        <w:t xml:space="preserve">, </w:t>
      </w:r>
      <w:r>
        <w:rPr>
          <w:i/>
        </w:rPr>
        <w:t xml:space="preserve">95, </w:t>
      </w:r>
      <w:r>
        <w:t>160-171</w:t>
      </w:r>
    </w:p>
    <w:p w:rsidR="00F3177F" w:rsidRDefault="00F3177F">
      <w:pPr>
        <w:pStyle w:val="BodyText"/>
      </w:pPr>
    </w:p>
    <w:p w:rsidR="00F3177F" w:rsidRDefault="0089671D">
      <w:pPr>
        <w:spacing w:before="143" w:line="360" w:lineRule="auto"/>
        <w:ind w:left="1124" w:right="114" w:hanging="540"/>
        <w:jc w:val="both"/>
        <w:rPr>
          <w:sz w:val="24"/>
        </w:rPr>
      </w:pPr>
      <w:r>
        <w:rPr>
          <w:sz w:val="24"/>
        </w:rPr>
        <w:t xml:space="preserve">Larsen, T.S. (2011). </w:t>
      </w:r>
      <w:r>
        <w:rPr>
          <w:i/>
          <w:sz w:val="24"/>
        </w:rPr>
        <w:t>Assessment of indoor climate in existing low-energy buildings with regard to improvements in future low-energy buildings</w:t>
      </w:r>
      <w:r>
        <w:rPr>
          <w:sz w:val="24"/>
        </w:rPr>
        <w:t>. Copenhagen, Denmark: Aalborg University.</w:t>
      </w:r>
    </w:p>
    <w:p w:rsidR="00F3177F" w:rsidRDefault="00F3177F">
      <w:pPr>
        <w:pStyle w:val="BodyText"/>
      </w:pPr>
    </w:p>
    <w:p w:rsidR="00F3177F" w:rsidRDefault="0089671D">
      <w:pPr>
        <w:pStyle w:val="BodyText"/>
        <w:spacing w:before="143" w:line="360" w:lineRule="auto"/>
        <w:ind w:left="1124" w:right="117" w:hanging="540"/>
        <w:jc w:val="both"/>
      </w:pPr>
      <w:r>
        <w:t xml:space="preserve">Lee, M.C., Mui, K.W., Wong, L.T., et al. (2012). Student learning performance and indoor environmental quality (IEQ) in air-conditioned university teaching rooms. </w:t>
      </w:r>
      <w:r>
        <w:rPr>
          <w:i/>
        </w:rPr>
        <w:t xml:space="preserve">Build Environ, 49, </w:t>
      </w:r>
      <w:r>
        <w:t>238-44.</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2"/>
        <w:ind w:left="1124" w:right="595" w:hanging="540"/>
        <w:jc w:val="both"/>
      </w:pPr>
      <w:r>
        <w:lastRenderedPageBreak/>
        <w:t xml:space="preserve">Lee, </w:t>
      </w:r>
      <w:hyperlink r:id="rId120">
        <w:r>
          <w:t>S. M.,</w:t>
        </w:r>
      </w:hyperlink>
      <w:r>
        <w:t xml:space="preserve"> Tha, </w:t>
      </w:r>
      <w:hyperlink r:id="rId121">
        <w:r>
          <w:t>A. E.,</w:t>
        </w:r>
      </w:hyperlink>
      <w:r>
        <w:t xml:space="preserve"> Unger, </w:t>
      </w:r>
      <w:hyperlink r:id="rId122">
        <w:r>
          <w:t>E. J.,</w:t>
        </w:r>
      </w:hyperlink>
      <w:r>
        <w:t xml:space="preserve"> &amp; White, </w:t>
      </w:r>
      <w:hyperlink r:id="rId123">
        <w:r>
          <w:t>E. D.</w:t>
        </w:r>
      </w:hyperlink>
      <w:r>
        <w:t xml:space="preserve"> (2015). Daylighting Strategies: Life-Cycle Cost Modeling and Policy Implications for Emerging</w:t>
      </w:r>
      <w:r>
        <w:rPr>
          <w:spacing w:val="-21"/>
        </w:rPr>
        <w:t xml:space="preserve"> </w:t>
      </w:r>
      <w:r>
        <w:t xml:space="preserve">Technology. </w:t>
      </w:r>
      <w:r>
        <w:rPr>
          <w:i/>
        </w:rPr>
        <w:t>Engineering Management Journal, 24,</w:t>
      </w:r>
      <w:r>
        <w:rPr>
          <w:i/>
          <w:spacing w:val="-2"/>
        </w:rPr>
        <w:t xml:space="preserve"> </w:t>
      </w:r>
      <w:r>
        <w:t>3-17.</w:t>
      </w:r>
    </w:p>
    <w:p w:rsidR="00F3177F" w:rsidRDefault="00F3177F">
      <w:pPr>
        <w:pStyle w:val="BodyText"/>
      </w:pPr>
    </w:p>
    <w:p w:rsidR="00F3177F" w:rsidRDefault="0089671D">
      <w:pPr>
        <w:pStyle w:val="BodyText"/>
        <w:spacing w:before="139"/>
        <w:ind w:left="584" w:right="65"/>
      </w:pPr>
      <w:r>
        <w:t>Lemire, N. (2010). School and more. ASHRAE, 52, 34-38.</w:t>
      </w:r>
    </w:p>
    <w:p w:rsidR="00F3177F" w:rsidRDefault="00F3177F">
      <w:pPr>
        <w:pStyle w:val="BodyText"/>
      </w:pPr>
    </w:p>
    <w:p w:rsidR="00F3177F" w:rsidRDefault="00F3177F">
      <w:pPr>
        <w:pStyle w:val="BodyText"/>
      </w:pPr>
    </w:p>
    <w:p w:rsidR="00F3177F" w:rsidRDefault="0089671D">
      <w:pPr>
        <w:ind w:left="584" w:right="65"/>
        <w:rPr>
          <w:i/>
          <w:sz w:val="24"/>
        </w:rPr>
      </w:pPr>
      <w:r>
        <w:rPr>
          <w:spacing w:val="-3"/>
          <w:sz w:val="24"/>
        </w:rPr>
        <w:t>Levin</w:t>
      </w:r>
      <w:proofErr w:type="gramStart"/>
      <w:r>
        <w:rPr>
          <w:spacing w:val="-3"/>
          <w:sz w:val="24"/>
        </w:rPr>
        <w:t xml:space="preserve">,  </w:t>
      </w:r>
      <w:r>
        <w:rPr>
          <w:sz w:val="24"/>
        </w:rPr>
        <w:t>H</w:t>
      </w:r>
      <w:proofErr w:type="gramEnd"/>
      <w:r>
        <w:rPr>
          <w:sz w:val="24"/>
        </w:rPr>
        <w:t xml:space="preserve">. </w:t>
      </w:r>
      <w:r>
        <w:rPr>
          <w:spacing w:val="-3"/>
          <w:sz w:val="24"/>
        </w:rPr>
        <w:t xml:space="preserve">(1995).  </w:t>
      </w:r>
      <w:proofErr w:type="gramStart"/>
      <w:r>
        <w:rPr>
          <w:spacing w:val="-3"/>
          <w:sz w:val="24"/>
        </w:rPr>
        <w:t>Physical  factors</w:t>
      </w:r>
      <w:proofErr w:type="gramEnd"/>
      <w:r>
        <w:rPr>
          <w:spacing w:val="-3"/>
          <w:sz w:val="24"/>
        </w:rPr>
        <w:t xml:space="preserve">  </w:t>
      </w:r>
      <w:r>
        <w:rPr>
          <w:sz w:val="24"/>
        </w:rPr>
        <w:t xml:space="preserve">in the indoor </w:t>
      </w:r>
      <w:r>
        <w:rPr>
          <w:spacing w:val="-3"/>
          <w:sz w:val="24"/>
        </w:rPr>
        <w:t xml:space="preserve">environment.  </w:t>
      </w:r>
      <w:r>
        <w:rPr>
          <w:i/>
          <w:sz w:val="24"/>
        </w:rPr>
        <w:t xml:space="preserve">Occupational  </w:t>
      </w:r>
      <w:r>
        <w:rPr>
          <w:i/>
          <w:spacing w:val="53"/>
          <w:sz w:val="24"/>
        </w:rPr>
        <w:t xml:space="preserve"> </w:t>
      </w:r>
      <w:r>
        <w:rPr>
          <w:i/>
          <w:spacing w:val="-3"/>
          <w:sz w:val="24"/>
        </w:rPr>
        <w:t>medicine</w:t>
      </w:r>
    </w:p>
    <w:p w:rsidR="00F3177F" w:rsidRDefault="0089671D">
      <w:pPr>
        <w:pStyle w:val="BodyText"/>
        <w:spacing w:before="139"/>
        <w:ind w:left="1124" w:right="65"/>
      </w:pPr>
      <w:r>
        <w:t xml:space="preserve">(Philadelphia, Pa.), </w:t>
      </w:r>
      <w:r>
        <w:rPr>
          <w:i/>
        </w:rPr>
        <w:t xml:space="preserve">10 </w:t>
      </w:r>
      <w:r>
        <w:t>(1), 59.</w:t>
      </w:r>
    </w:p>
    <w:p w:rsidR="00F3177F" w:rsidRDefault="00F3177F">
      <w:pPr>
        <w:pStyle w:val="BodyText"/>
      </w:pPr>
    </w:p>
    <w:p w:rsidR="00F3177F" w:rsidRDefault="00F3177F">
      <w:pPr>
        <w:pStyle w:val="BodyText"/>
      </w:pPr>
    </w:p>
    <w:p w:rsidR="00F3177F" w:rsidRDefault="0089671D">
      <w:pPr>
        <w:pStyle w:val="BodyText"/>
        <w:spacing w:line="360" w:lineRule="auto"/>
        <w:ind w:left="1124" w:right="116" w:hanging="540"/>
        <w:jc w:val="both"/>
      </w:pPr>
      <w:r>
        <w:t xml:space="preserve">Li, D.H.W., &amp; Wong, S.L. (2007). Day-lighting and energy implications due to shading effects from nearby buildings. </w:t>
      </w:r>
      <w:r>
        <w:rPr>
          <w:i/>
        </w:rPr>
        <w:t>Applied Energy</w:t>
      </w:r>
      <w:r>
        <w:t xml:space="preserve">, </w:t>
      </w:r>
      <w:r>
        <w:rPr>
          <w:i/>
        </w:rPr>
        <w:t>84</w:t>
      </w:r>
      <w:r>
        <w:t>, 1199-1209.</w:t>
      </w:r>
    </w:p>
    <w:p w:rsidR="00F3177F" w:rsidRDefault="00F3177F">
      <w:pPr>
        <w:pStyle w:val="BodyText"/>
      </w:pPr>
    </w:p>
    <w:p w:rsidR="00F3177F" w:rsidRDefault="0089671D">
      <w:pPr>
        <w:pStyle w:val="BodyText"/>
        <w:spacing w:before="143" w:line="360" w:lineRule="auto"/>
        <w:ind w:left="1124" w:right="118" w:hanging="540"/>
        <w:jc w:val="both"/>
      </w:pPr>
      <w:r>
        <w:t xml:space="preserve">Li, D.H.W., &amp; Lam, J.C. (2001). Evaluation of lighting performance in office buildings with day-lighting controls. </w:t>
      </w:r>
      <w:r>
        <w:rPr>
          <w:i/>
        </w:rPr>
        <w:t>Energy and Buildings</w:t>
      </w:r>
      <w:r>
        <w:t xml:space="preserve">, </w:t>
      </w:r>
      <w:r>
        <w:rPr>
          <w:i/>
        </w:rPr>
        <w:t xml:space="preserve">33, </w:t>
      </w:r>
      <w:r>
        <w:t>793-803.</w:t>
      </w:r>
    </w:p>
    <w:p w:rsidR="00F3177F" w:rsidRDefault="00F3177F">
      <w:pPr>
        <w:pStyle w:val="BodyText"/>
      </w:pPr>
    </w:p>
    <w:p w:rsidR="00F3177F" w:rsidRDefault="0089671D">
      <w:pPr>
        <w:pStyle w:val="BodyText"/>
        <w:spacing w:before="143" w:line="360" w:lineRule="auto"/>
        <w:ind w:left="1124" w:right="117" w:hanging="540"/>
        <w:jc w:val="both"/>
      </w:pPr>
      <w:r>
        <w:t xml:space="preserve">Lo, </w:t>
      </w:r>
      <w:r>
        <w:rPr>
          <w:spacing w:val="-3"/>
        </w:rPr>
        <w:t xml:space="preserve">S.H., Peters, G.J.Y., </w:t>
      </w:r>
      <w:r>
        <w:t xml:space="preserve">&amp; </w:t>
      </w:r>
      <w:r>
        <w:rPr>
          <w:spacing w:val="-3"/>
        </w:rPr>
        <w:t xml:space="preserve">Kok, </w:t>
      </w:r>
      <w:r>
        <w:t xml:space="preserve">G. </w:t>
      </w:r>
      <w:r>
        <w:rPr>
          <w:spacing w:val="-3"/>
        </w:rPr>
        <w:t xml:space="preserve">(2012). Energy-related behaviors </w:t>
      </w:r>
      <w:r>
        <w:t xml:space="preserve">in </w:t>
      </w:r>
      <w:r>
        <w:rPr>
          <w:spacing w:val="-3"/>
        </w:rPr>
        <w:t xml:space="preserve">office buildings: aqualitative </w:t>
      </w:r>
      <w:r>
        <w:t xml:space="preserve">study on </w:t>
      </w:r>
      <w:r>
        <w:rPr>
          <w:spacing w:val="-3"/>
        </w:rPr>
        <w:t xml:space="preserve">individual </w:t>
      </w:r>
      <w:r>
        <w:t xml:space="preserve">and </w:t>
      </w:r>
      <w:r>
        <w:rPr>
          <w:spacing w:val="-3"/>
        </w:rPr>
        <w:t xml:space="preserve">organisational </w:t>
      </w:r>
      <w:r>
        <w:t xml:space="preserve">determinants. </w:t>
      </w:r>
      <w:r>
        <w:rPr>
          <w:i/>
        </w:rPr>
        <w:t xml:space="preserve">Applied </w:t>
      </w:r>
      <w:r>
        <w:rPr>
          <w:i/>
          <w:spacing w:val="-3"/>
        </w:rPr>
        <w:t>Psychology</w:t>
      </w:r>
      <w:r>
        <w:rPr>
          <w:spacing w:val="-3"/>
        </w:rPr>
        <w:t xml:space="preserve">, </w:t>
      </w:r>
      <w:r>
        <w:rPr>
          <w:i/>
        </w:rPr>
        <w:t xml:space="preserve">61, </w:t>
      </w:r>
      <w:r>
        <w:rPr>
          <w:spacing w:val="-3"/>
        </w:rPr>
        <w:t>227-249.</w:t>
      </w:r>
    </w:p>
    <w:p w:rsidR="00F3177F" w:rsidRDefault="00F3177F">
      <w:pPr>
        <w:pStyle w:val="BodyText"/>
      </w:pPr>
    </w:p>
    <w:p w:rsidR="00F3177F" w:rsidRDefault="0089671D">
      <w:pPr>
        <w:pStyle w:val="BodyText"/>
        <w:spacing w:before="143" w:line="360" w:lineRule="auto"/>
        <w:ind w:left="1124" w:right="114" w:hanging="540"/>
        <w:jc w:val="both"/>
      </w:pPr>
      <w:r>
        <w:t xml:space="preserve">Lourenço, P., Pinheiro, M.D., &amp; Heitor, T. (2014). From indicators to strategies: Key Performance Strategies for sustainable energy use in Portuguese school buildings. </w:t>
      </w:r>
      <w:hyperlink r:id="rId124">
        <w:r>
          <w:rPr>
            <w:i/>
          </w:rPr>
          <w:t>Energy and Buildings,</w:t>
        </w:r>
      </w:hyperlink>
      <w:r>
        <w:rPr>
          <w:i/>
        </w:rPr>
        <w:t xml:space="preserve"> 85, </w:t>
      </w:r>
      <w:r>
        <w:t>212-224.</w:t>
      </w:r>
    </w:p>
    <w:p w:rsidR="00F3177F" w:rsidRDefault="00F3177F">
      <w:pPr>
        <w:pStyle w:val="BodyText"/>
      </w:pPr>
    </w:p>
    <w:p w:rsidR="00F3177F" w:rsidRDefault="0089671D">
      <w:pPr>
        <w:pStyle w:val="BodyText"/>
        <w:spacing w:before="143" w:line="360" w:lineRule="auto"/>
        <w:ind w:left="1124" w:right="117" w:hanging="540"/>
        <w:jc w:val="both"/>
      </w:pPr>
      <w:r>
        <w:t xml:space="preserve">Lyons, J.B. (2002). The learning environment: do school facilities really affect a child’s education? </w:t>
      </w:r>
      <w:r>
        <w:rPr>
          <w:i/>
        </w:rPr>
        <w:t>Learning by Design</w:t>
      </w:r>
      <w:r>
        <w:t xml:space="preserve">, </w:t>
      </w:r>
      <w:r>
        <w:rPr>
          <w:i/>
        </w:rPr>
        <w:t xml:space="preserve">11, </w:t>
      </w:r>
      <w:r>
        <w:t>10-13.</w:t>
      </w:r>
    </w:p>
    <w:p w:rsidR="00F3177F" w:rsidRDefault="00F3177F">
      <w:pPr>
        <w:pStyle w:val="BodyText"/>
      </w:pPr>
    </w:p>
    <w:p w:rsidR="00F3177F" w:rsidRDefault="0089671D">
      <w:pPr>
        <w:spacing w:before="143" w:line="360" w:lineRule="auto"/>
        <w:ind w:left="1124" w:right="118" w:hanging="540"/>
        <w:jc w:val="both"/>
        <w:rPr>
          <w:sz w:val="24"/>
        </w:rPr>
      </w:pPr>
      <w:r>
        <w:rPr>
          <w:sz w:val="24"/>
        </w:rPr>
        <w:t xml:space="preserve">Maldonado, E. (editor) (2011). </w:t>
      </w:r>
      <w:r>
        <w:rPr>
          <w:i/>
          <w:sz w:val="24"/>
        </w:rPr>
        <w:t>Implementing the Energy Performance of Buildings Directive (EPBD) – featuring country reports 2010</w:t>
      </w:r>
      <w:r>
        <w:rPr>
          <w:sz w:val="24"/>
        </w:rPr>
        <w:t>. Brussels; European U. p. 482.</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spacing w:before="54" w:line="360" w:lineRule="auto"/>
        <w:ind w:left="1124" w:right="118" w:hanging="540"/>
        <w:jc w:val="both"/>
        <w:rPr>
          <w:sz w:val="24"/>
        </w:rPr>
      </w:pPr>
      <w:r>
        <w:rPr>
          <w:sz w:val="24"/>
        </w:rPr>
        <w:lastRenderedPageBreak/>
        <w:t xml:space="preserve">Maldonado, E. (editor) (2013). </w:t>
      </w:r>
      <w:r>
        <w:rPr>
          <w:i/>
          <w:sz w:val="24"/>
        </w:rPr>
        <w:t>Implementing the Energy Performance of Buildings Directive (EPBD) – featuring country reports 2012</w:t>
      </w:r>
      <w:r>
        <w:rPr>
          <w:sz w:val="24"/>
        </w:rPr>
        <w:t>. Brussels; European U. p. 372.</w:t>
      </w:r>
    </w:p>
    <w:p w:rsidR="00F3177F" w:rsidRDefault="00F3177F">
      <w:pPr>
        <w:pStyle w:val="BodyText"/>
      </w:pPr>
    </w:p>
    <w:p w:rsidR="00F3177F" w:rsidRDefault="0089671D">
      <w:pPr>
        <w:pStyle w:val="BodyText"/>
        <w:spacing w:before="143" w:line="360" w:lineRule="auto"/>
        <w:ind w:left="1124" w:right="111" w:hanging="540"/>
        <w:jc w:val="both"/>
      </w:pPr>
      <w:r>
        <w:t>Mairie de Paris. (2012). Energy Renovation of Parisian Schools through the Energy Performance Contract of Partenariatet. Paris, France: CPPE. p. 8.</w:t>
      </w:r>
    </w:p>
    <w:p w:rsidR="00F3177F" w:rsidRDefault="00F3177F">
      <w:pPr>
        <w:pStyle w:val="BodyText"/>
      </w:pPr>
    </w:p>
    <w:p w:rsidR="00F3177F" w:rsidRDefault="0089671D">
      <w:pPr>
        <w:pStyle w:val="BodyText"/>
        <w:spacing w:before="143" w:line="360" w:lineRule="auto"/>
        <w:ind w:left="1124" w:right="116" w:hanging="540"/>
        <w:jc w:val="both"/>
      </w:pPr>
      <w:r>
        <w:t xml:space="preserve">Masoso, O.T., &amp; Grobler, L.J. (2010). The Dark Side </w:t>
      </w:r>
      <w:proofErr w:type="gramStart"/>
      <w:r>
        <w:t>Of</w:t>
      </w:r>
      <w:proofErr w:type="gramEnd"/>
      <w:r>
        <w:t xml:space="preserve"> Occupants' Behaviour On Building Energy Use. </w:t>
      </w:r>
      <w:r>
        <w:rPr>
          <w:i/>
        </w:rPr>
        <w:t xml:space="preserve">Energy </w:t>
      </w:r>
      <w:proofErr w:type="gramStart"/>
      <w:r>
        <w:rPr>
          <w:i/>
        </w:rPr>
        <w:t>And</w:t>
      </w:r>
      <w:proofErr w:type="gramEnd"/>
      <w:r>
        <w:rPr>
          <w:i/>
        </w:rPr>
        <w:t xml:space="preserve"> Buildings, 42, </w:t>
      </w:r>
      <w:r>
        <w:t>173-177.</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Menå, H.M., </w:t>
      </w:r>
      <w:r>
        <w:t xml:space="preserve">&amp; Larsen, </w:t>
      </w:r>
      <w:r>
        <w:rPr>
          <w:spacing w:val="-3"/>
        </w:rPr>
        <w:t xml:space="preserve">E.M. (2010). Indoor environment </w:t>
      </w:r>
      <w:r>
        <w:t xml:space="preserve">in </w:t>
      </w:r>
      <w:r>
        <w:rPr>
          <w:spacing w:val="-3"/>
        </w:rPr>
        <w:t xml:space="preserve">schools. </w:t>
      </w:r>
      <w:r>
        <w:t xml:space="preserve">MSc </w:t>
      </w:r>
      <w:proofErr w:type="gramStart"/>
      <w:r>
        <w:rPr>
          <w:spacing w:val="-3"/>
        </w:rPr>
        <w:t>thesis  presented</w:t>
      </w:r>
      <w:proofErr w:type="gramEnd"/>
      <w:r>
        <w:rPr>
          <w:spacing w:val="-3"/>
        </w:rPr>
        <w:t xml:space="preserve"> </w:t>
      </w:r>
      <w:r>
        <w:t xml:space="preserve">in March 2010. </w:t>
      </w:r>
      <w:r>
        <w:rPr>
          <w:spacing w:val="-3"/>
        </w:rPr>
        <w:t xml:space="preserve">Technical </w:t>
      </w:r>
      <w:r>
        <w:t>University of Denmark. (</w:t>
      </w:r>
      <w:proofErr w:type="gramStart"/>
      <w:r>
        <w:t>as</w:t>
      </w:r>
      <w:proofErr w:type="gramEnd"/>
      <w:r>
        <w:t xml:space="preserve"> in </w:t>
      </w:r>
      <w:r>
        <w:rPr>
          <w:spacing w:val="-3"/>
        </w:rPr>
        <w:t xml:space="preserve">“Wargocki, </w:t>
      </w:r>
      <w:r>
        <w:t xml:space="preserve">P., &amp; </w:t>
      </w:r>
      <w:r>
        <w:rPr>
          <w:spacing w:val="-3"/>
        </w:rPr>
        <w:t xml:space="preserve">Wyon, </w:t>
      </w:r>
      <w:r>
        <w:t xml:space="preserve">D.P. </w:t>
      </w:r>
      <w:r>
        <w:rPr>
          <w:spacing w:val="-3"/>
        </w:rPr>
        <w:t xml:space="preserve">(2013). </w:t>
      </w:r>
      <w:r>
        <w:t xml:space="preserve">Providing better thermal and </w:t>
      </w:r>
      <w:r>
        <w:rPr>
          <w:spacing w:val="-2"/>
        </w:rPr>
        <w:t xml:space="preserve">air </w:t>
      </w:r>
      <w:r>
        <w:t xml:space="preserve">quality </w:t>
      </w:r>
      <w:r>
        <w:rPr>
          <w:spacing w:val="-3"/>
        </w:rPr>
        <w:t xml:space="preserve">conditions </w:t>
      </w:r>
      <w:r>
        <w:t xml:space="preserve">in </w:t>
      </w:r>
      <w:r>
        <w:rPr>
          <w:spacing w:val="-3"/>
        </w:rPr>
        <w:t xml:space="preserve">school classrooms would </w:t>
      </w:r>
      <w:r>
        <w:t xml:space="preserve">be </w:t>
      </w:r>
      <w:r>
        <w:rPr>
          <w:spacing w:val="-3"/>
        </w:rPr>
        <w:t xml:space="preserve">cost-effective, </w:t>
      </w:r>
      <w:r>
        <w:rPr>
          <w:i/>
        </w:rPr>
        <w:t xml:space="preserve">Building and </w:t>
      </w:r>
      <w:r>
        <w:rPr>
          <w:i/>
          <w:spacing w:val="-3"/>
        </w:rPr>
        <w:t xml:space="preserve">Environment, </w:t>
      </w:r>
      <w:r>
        <w:rPr>
          <w:i/>
        </w:rPr>
        <w:t>59,</w:t>
      </w:r>
      <w:r>
        <w:rPr>
          <w:i/>
          <w:spacing w:val="-35"/>
        </w:rPr>
        <w:t xml:space="preserve"> </w:t>
      </w:r>
      <w:r>
        <w:t>581-589”)</w:t>
      </w:r>
    </w:p>
    <w:p w:rsidR="00F3177F" w:rsidRDefault="00F3177F">
      <w:pPr>
        <w:pStyle w:val="BodyText"/>
      </w:pPr>
    </w:p>
    <w:p w:rsidR="00F3177F" w:rsidRDefault="0089671D">
      <w:pPr>
        <w:pStyle w:val="BodyText"/>
        <w:spacing w:before="143" w:line="360" w:lineRule="auto"/>
        <w:ind w:left="1124" w:right="112" w:hanging="540"/>
        <w:jc w:val="both"/>
      </w:pPr>
      <w:r>
        <w:rPr>
          <w:spacing w:val="-3"/>
        </w:rPr>
        <w:t xml:space="preserve">Mendell, </w:t>
      </w:r>
      <w:r>
        <w:t xml:space="preserve">M.J., &amp; </w:t>
      </w:r>
      <w:r>
        <w:rPr>
          <w:spacing w:val="-3"/>
        </w:rPr>
        <w:t xml:space="preserve">Heath, G.A. (2013). </w:t>
      </w:r>
      <w:r>
        <w:t xml:space="preserve">Do </w:t>
      </w:r>
      <w:r>
        <w:rPr>
          <w:spacing w:val="-3"/>
        </w:rPr>
        <w:t xml:space="preserve">indoor pollutants and </w:t>
      </w:r>
      <w:r>
        <w:t xml:space="preserve">thermal </w:t>
      </w:r>
      <w:r>
        <w:rPr>
          <w:spacing w:val="-3"/>
        </w:rPr>
        <w:t xml:space="preserve">conditions </w:t>
      </w:r>
      <w:r>
        <w:t xml:space="preserve">in </w:t>
      </w:r>
      <w:r>
        <w:rPr>
          <w:spacing w:val="-3"/>
        </w:rPr>
        <w:t xml:space="preserve">schools’ Influence </w:t>
      </w:r>
      <w:r>
        <w:t xml:space="preserve">on </w:t>
      </w:r>
      <w:r>
        <w:rPr>
          <w:spacing w:val="-3"/>
        </w:rPr>
        <w:t xml:space="preserve">student performance? </w:t>
      </w:r>
      <w:r>
        <w:t xml:space="preserve">A </w:t>
      </w:r>
      <w:r>
        <w:rPr>
          <w:spacing w:val="-3"/>
        </w:rPr>
        <w:t xml:space="preserve">critical </w:t>
      </w:r>
      <w:r>
        <w:t xml:space="preserve">review of the </w:t>
      </w:r>
      <w:r>
        <w:rPr>
          <w:spacing w:val="-3"/>
        </w:rPr>
        <w:t xml:space="preserve">literature. </w:t>
      </w:r>
      <w:r>
        <w:rPr>
          <w:i/>
          <w:spacing w:val="-3"/>
        </w:rPr>
        <w:t xml:space="preserve">Indoor </w:t>
      </w:r>
      <w:r>
        <w:rPr>
          <w:i/>
        </w:rPr>
        <w:t xml:space="preserve">Air, 15 </w:t>
      </w:r>
      <w:r>
        <w:rPr>
          <w:spacing w:val="-3"/>
        </w:rPr>
        <w:t xml:space="preserve">(1), </w:t>
      </w:r>
      <w:r>
        <w:t xml:space="preserve">27-52 </w:t>
      </w:r>
      <w:r>
        <w:rPr>
          <w:spacing w:val="-3"/>
        </w:rPr>
        <w:t xml:space="preserve">(as </w:t>
      </w:r>
      <w:r>
        <w:t xml:space="preserve">in </w:t>
      </w:r>
      <w:r>
        <w:rPr>
          <w:spacing w:val="-3"/>
        </w:rPr>
        <w:t xml:space="preserve">“Wargocki, </w:t>
      </w:r>
      <w:r>
        <w:t xml:space="preserve">P., &amp; </w:t>
      </w:r>
      <w:r>
        <w:rPr>
          <w:spacing w:val="-3"/>
        </w:rPr>
        <w:t xml:space="preserve">Wyon, </w:t>
      </w:r>
      <w:r>
        <w:t xml:space="preserve">D.P. (2013). Providing </w:t>
      </w:r>
      <w:r>
        <w:rPr>
          <w:spacing w:val="-2"/>
        </w:rPr>
        <w:t xml:space="preserve">better </w:t>
      </w:r>
      <w:r>
        <w:rPr>
          <w:spacing w:val="-3"/>
        </w:rPr>
        <w:t xml:space="preserve">thermal and </w:t>
      </w:r>
      <w:r>
        <w:t xml:space="preserve">air quality </w:t>
      </w:r>
      <w:r>
        <w:rPr>
          <w:spacing w:val="-3"/>
        </w:rPr>
        <w:t xml:space="preserve">conditions </w:t>
      </w:r>
      <w:r>
        <w:t xml:space="preserve">in school </w:t>
      </w:r>
      <w:r>
        <w:rPr>
          <w:spacing w:val="-3"/>
        </w:rPr>
        <w:t xml:space="preserve">classrooms would </w:t>
      </w:r>
      <w:r>
        <w:t xml:space="preserve">be cost- </w:t>
      </w:r>
      <w:r>
        <w:rPr>
          <w:spacing w:val="-3"/>
        </w:rPr>
        <w:t xml:space="preserve">effective, </w:t>
      </w:r>
      <w:r>
        <w:rPr>
          <w:i/>
          <w:spacing w:val="-3"/>
        </w:rPr>
        <w:t xml:space="preserve">Building </w:t>
      </w:r>
      <w:r>
        <w:rPr>
          <w:i/>
        </w:rPr>
        <w:t xml:space="preserve">and </w:t>
      </w:r>
      <w:r>
        <w:rPr>
          <w:i/>
          <w:spacing w:val="-3"/>
        </w:rPr>
        <w:t xml:space="preserve">Environment, </w:t>
      </w:r>
      <w:r>
        <w:rPr>
          <w:i/>
        </w:rPr>
        <w:t>59,</w:t>
      </w:r>
      <w:r>
        <w:rPr>
          <w:i/>
          <w:spacing w:val="-18"/>
        </w:rPr>
        <w:t xml:space="preserve"> </w:t>
      </w:r>
      <w:r>
        <w:t>581-589”)</w:t>
      </w:r>
    </w:p>
    <w:p w:rsidR="00F3177F" w:rsidRDefault="00F3177F">
      <w:pPr>
        <w:pStyle w:val="BodyText"/>
      </w:pPr>
    </w:p>
    <w:p w:rsidR="00F3177F" w:rsidRDefault="0089671D">
      <w:pPr>
        <w:pStyle w:val="BodyText"/>
        <w:spacing w:before="143" w:line="360" w:lineRule="auto"/>
        <w:ind w:left="1124" w:right="113" w:hanging="540"/>
        <w:jc w:val="both"/>
      </w:pPr>
      <w:r>
        <w:rPr>
          <w:spacing w:val="-3"/>
        </w:rPr>
        <w:t xml:space="preserve">Menezes, </w:t>
      </w:r>
      <w:r>
        <w:t xml:space="preserve">C.A., Cripps, A., </w:t>
      </w:r>
      <w:r>
        <w:rPr>
          <w:spacing w:val="-3"/>
        </w:rPr>
        <w:t xml:space="preserve">Bouchlaghem, </w:t>
      </w:r>
      <w:r>
        <w:t xml:space="preserve">D., &amp; </w:t>
      </w:r>
      <w:r>
        <w:rPr>
          <w:spacing w:val="-3"/>
        </w:rPr>
        <w:t xml:space="preserve">Buswell, </w:t>
      </w:r>
      <w:r>
        <w:t xml:space="preserve">R. (2011, </w:t>
      </w:r>
      <w:r>
        <w:rPr>
          <w:spacing w:val="-2"/>
        </w:rPr>
        <w:t xml:space="preserve">September </w:t>
      </w:r>
      <w:r>
        <w:rPr>
          <w:spacing w:val="-3"/>
        </w:rPr>
        <w:t>6-7). Analysis</w:t>
      </w:r>
      <w:r>
        <w:rPr>
          <w:spacing w:val="-9"/>
        </w:rPr>
        <w:t xml:space="preserve"> </w:t>
      </w:r>
      <w:r>
        <w:t>of</w:t>
      </w:r>
      <w:r>
        <w:rPr>
          <w:spacing w:val="-9"/>
        </w:rPr>
        <w:t xml:space="preserve"> </w:t>
      </w:r>
      <w:r>
        <w:t>electricity</w:t>
      </w:r>
      <w:r>
        <w:rPr>
          <w:spacing w:val="-12"/>
        </w:rPr>
        <w:t xml:space="preserve"> </w:t>
      </w:r>
      <w:r>
        <w:t>consumption</w:t>
      </w:r>
      <w:r>
        <w:rPr>
          <w:spacing w:val="-10"/>
        </w:rPr>
        <w:t xml:space="preserve"> </w:t>
      </w:r>
      <w:r>
        <w:rPr>
          <w:spacing w:val="-3"/>
        </w:rPr>
        <w:t>for</w:t>
      </w:r>
      <w:r>
        <w:rPr>
          <w:spacing w:val="-9"/>
        </w:rPr>
        <w:t xml:space="preserve"> </w:t>
      </w:r>
      <w:r>
        <w:t>lighting</w:t>
      </w:r>
      <w:r>
        <w:rPr>
          <w:spacing w:val="-11"/>
        </w:rPr>
        <w:t xml:space="preserve"> </w:t>
      </w:r>
      <w:r>
        <w:t>and</w:t>
      </w:r>
      <w:r>
        <w:rPr>
          <w:spacing w:val="-11"/>
        </w:rPr>
        <w:t xml:space="preserve"> </w:t>
      </w:r>
      <w:r>
        <w:rPr>
          <w:spacing w:val="-3"/>
        </w:rPr>
        <w:t>small</w:t>
      </w:r>
      <w:r>
        <w:rPr>
          <w:spacing w:val="-9"/>
        </w:rPr>
        <w:t xml:space="preserve"> </w:t>
      </w:r>
      <w:r>
        <w:t>power</w:t>
      </w:r>
      <w:r>
        <w:rPr>
          <w:spacing w:val="-9"/>
        </w:rPr>
        <w:t xml:space="preserve"> </w:t>
      </w:r>
      <w:r>
        <w:t>in</w:t>
      </w:r>
      <w:r>
        <w:rPr>
          <w:spacing w:val="-10"/>
        </w:rPr>
        <w:t xml:space="preserve"> </w:t>
      </w:r>
      <w:r>
        <w:t>office</w:t>
      </w:r>
      <w:r>
        <w:rPr>
          <w:spacing w:val="-12"/>
        </w:rPr>
        <w:t xml:space="preserve"> </w:t>
      </w:r>
      <w:r>
        <w:t>buildings, in:</w:t>
      </w:r>
      <w:r>
        <w:rPr>
          <w:spacing w:val="-9"/>
        </w:rPr>
        <w:t xml:space="preserve"> </w:t>
      </w:r>
      <w:r>
        <w:rPr>
          <w:i/>
          <w:spacing w:val="-3"/>
        </w:rPr>
        <w:t>CIBSE</w:t>
      </w:r>
      <w:r>
        <w:rPr>
          <w:i/>
          <w:spacing w:val="-9"/>
        </w:rPr>
        <w:t xml:space="preserve"> </w:t>
      </w:r>
      <w:r>
        <w:rPr>
          <w:i/>
          <w:spacing w:val="-3"/>
        </w:rPr>
        <w:t>Technical</w:t>
      </w:r>
      <w:r>
        <w:rPr>
          <w:i/>
          <w:spacing w:val="-6"/>
        </w:rPr>
        <w:t xml:space="preserve"> </w:t>
      </w:r>
      <w:r>
        <w:rPr>
          <w:i/>
        </w:rPr>
        <w:t>Symposium</w:t>
      </w:r>
      <w:r>
        <w:rPr>
          <w:i/>
          <w:spacing w:val="-7"/>
        </w:rPr>
        <w:t xml:space="preserve"> </w:t>
      </w:r>
      <w:r>
        <w:rPr>
          <w:spacing w:val="-3"/>
        </w:rPr>
        <w:t>(p.</w:t>
      </w:r>
      <w:r>
        <w:rPr>
          <w:spacing w:val="-9"/>
        </w:rPr>
        <w:t xml:space="preserve"> </w:t>
      </w:r>
      <w:r>
        <w:t>1-15).</w:t>
      </w:r>
      <w:r>
        <w:rPr>
          <w:spacing w:val="-6"/>
        </w:rPr>
        <w:t xml:space="preserve"> </w:t>
      </w:r>
      <w:r>
        <w:rPr>
          <w:spacing w:val="-3"/>
        </w:rPr>
        <w:t>Leicester,</w:t>
      </w:r>
      <w:r>
        <w:rPr>
          <w:spacing w:val="-7"/>
        </w:rPr>
        <w:t xml:space="preserve"> </w:t>
      </w:r>
      <w:r>
        <w:t>UK:</w:t>
      </w:r>
      <w:r>
        <w:rPr>
          <w:spacing w:val="-6"/>
        </w:rPr>
        <w:t xml:space="preserve"> </w:t>
      </w:r>
      <w:r>
        <w:t>De</w:t>
      </w:r>
      <w:r>
        <w:rPr>
          <w:spacing w:val="-10"/>
        </w:rPr>
        <w:t xml:space="preserve"> </w:t>
      </w:r>
      <w:r>
        <w:t>Montfort</w:t>
      </w:r>
      <w:r>
        <w:rPr>
          <w:spacing w:val="-9"/>
        </w:rPr>
        <w:t xml:space="preserve"> </w:t>
      </w:r>
      <w:r>
        <w:rPr>
          <w:spacing w:val="-3"/>
        </w:rPr>
        <w:t>University.</w:t>
      </w:r>
    </w:p>
    <w:p w:rsidR="00F3177F" w:rsidRDefault="00F3177F">
      <w:pPr>
        <w:pStyle w:val="BodyText"/>
      </w:pPr>
    </w:p>
    <w:p w:rsidR="00F3177F" w:rsidRDefault="0089671D">
      <w:pPr>
        <w:pStyle w:val="BodyText"/>
        <w:spacing w:before="143" w:line="360" w:lineRule="auto"/>
        <w:ind w:left="1124" w:right="115" w:hanging="540"/>
        <w:jc w:val="both"/>
      </w:pPr>
      <w:proofErr w:type="gramStart"/>
      <w:r>
        <w:rPr>
          <w:spacing w:val="-3"/>
        </w:rPr>
        <w:t>mother</w:t>
      </w:r>
      <w:proofErr w:type="gramEnd"/>
      <w:r>
        <w:rPr>
          <w:spacing w:val="-3"/>
        </w:rPr>
        <w:t xml:space="preserve"> nature network. (2011). </w:t>
      </w:r>
      <w:hyperlink r:id="rId125">
        <w:r>
          <w:rPr>
            <w:spacing w:val="-7"/>
          </w:rPr>
          <w:t xml:space="preserve">CFL </w:t>
        </w:r>
        <w:r>
          <w:rPr>
            <w:spacing w:val="-8"/>
          </w:rPr>
          <w:t xml:space="preserve">vs. </w:t>
        </w:r>
        <w:r>
          <w:rPr>
            <w:spacing w:val="-12"/>
          </w:rPr>
          <w:t>incandescent</w:t>
        </w:r>
      </w:hyperlink>
      <w:r>
        <w:rPr>
          <w:spacing w:val="-12"/>
        </w:rPr>
        <w:t xml:space="preserve">: </w:t>
      </w:r>
      <w:hyperlink r:id="rId126">
        <w:r>
          <w:rPr>
            <w:spacing w:val="-11"/>
          </w:rPr>
          <w:t xml:space="preserve">Battle </w:t>
        </w:r>
        <w:r>
          <w:rPr>
            <w:spacing w:val="-6"/>
          </w:rPr>
          <w:t xml:space="preserve">of </w:t>
        </w:r>
        <w:r>
          <w:rPr>
            <w:spacing w:val="-8"/>
          </w:rPr>
          <w:t xml:space="preserve">the </w:t>
        </w:r>
        <w:r>
          <w:rPr>
            <w:spacing w:val="-10"/>
          </w:rPr>
          <w:t>bulb.</w:t>
        </w:r>
      </w:hyperlink>
      <w:r>
        <w:rPr>
          <w:spacing w:val="-10"/>
        </w:rPr>
        <w:t xml:space="preserve"> </w:t>
      </w:r>
      <w:r>
        <w:rPr>
          <w:spacing w:val="-11"/>
        </w:rPr>
        <w:t xml:space="preserve">Retrieved </w:t>
      </w:r>
      <w:r>
        <w:t xml:space="preserve">May 12, </w:t>
      </w:r>
      <w:r>
        <w:rPr>
          <w:spacing w:val="-3"/>
        </w:rPr>
        <w:t xml:space="preserve">2016, from </w:t>
      </w:r>
      <w:hyperlink r:id="rId127">
        <w:r>
          <w:rPr>
            <w:spacing w:val="-3"/>
          </w:rPr>
          <w:t>http://www.mnn.com/earth-matters/translating-uncle-sam/stories/cfl-vs-</w:t>
        </w:r>
      </w:hyperlink>
      <w:r>
        <w:rPr>
          <w:spacing w:val="-3"/>
        </w:rPr>
        <w:t xml:space="preserve"> </w:t>
      </w:r>
      <w:hyperlink r:id="rId128">
        <w:r>
          <w:rPr>
            <w:spacing w:val="-3"/>
          </w:rPr>
          <w:t>incandescent-battle-of-the-bulb</w:t>
        </w:r>
      </w:hyperlink>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57" w:hanging="540"/>
      </w:pPr>
      <w:r>
        <w:lastRenderedPageBreak/>
        <w:t xml:space="preserve">Myhren, J.A., &amp; Holmberg, S. (2007). Flow patterns and thermal comfort in a room with panel, floor and wall heating. </w:t>
      </w:r>
      <w:r>
        <w:rPr>
          <w:i/>
        </w:rPr>
        <w:t>Energy and Buildings</w:t>
      </w:r>
      <w:r>
        <w:t xml:space="preserve">, </w:t>
      </w:r>
      <w:r>
        <w:rPr>
          <w:i/>
        </w:rPr>
        <w:t xml:space="preserve">40 </w:t>
      </w:r>
      <w:r>
        <w:t>(4), 524.</w:t>
      </w:r>
    </w:p>
    <w:p w:rsidR="00F3177F" w:rsidRDefault="00F3177F">
      <w:pPr>
        <w:pStyle w:val="BodyText"/>
      </w:pPr>
    </w:p>
    <w:p w:rsidR="00F3177F" w:rsidRDefault="0089671D">
      <w:pPr>
        <w:spacing w:before="143" w:line="360" w:lineRule="auto"/>
        <w:ind w:left="1124" w:right="112" w:hanging="540"/>
        <w:jc w:val="both"/>
        <w:rPr>
          <w:sz w:val="24"/>
        </w:rPr>
      </w:pPr>
      <w:r>
        <w:rPr>
          <w:sz w:val="24"/>
        </w:rPr>
        <w:t xml:space="preserve">National Building Specification. (1993). </w:t>
      </w:r>
      <w:r>
        <w:rPr>
          <w:i/>
          <w:sz w:val="24"/>
        </w:rPr>
        <w:t xml:space="preserve">Energy Management Guide: Organisational Aspects of Energy Management, GIR 12, </w:t>
      </w:r>
      <w:proofErr w:type="gramStart"/>
      <w:r>
        <w:rPr>
          <w:i/>
          <w:sz w:val="24"/>
        </w:rPr>
        <w:t>BRECSU</w:t>
      </w:r>
      <w:proofErr w:type="gramEnd"/>
      <w:r>
        <w:rPr>
          <w:sz w:val="24"/>
        </w:rPr>
        <w:t>. Building Research Energy Conservation Support Unit. Newcastle, UK: RIBA Enterprises Ltd.</w:t>
      </w:r>
    </w:p>
    <w:p w:rsidR="00F3177F" w:rsidRDefault="00F3177F">
      <w:pPr>
        <w:pStyle w:val="BodyText"/>
      </w:pPr>
    </w:p>
    <w:p w:rsidR="00F3177F" w:rsidRDefault="0089671D">
      <w:pPr>
        <w:tabs>
          <w:tab w:val="left" w:pos="1899"/>
          <w:tab w:val="left" w:pos="3413"/>
          <w:tab w:val="left" w:pos="4254"/>
          <w:tab w:val="left" w:pos="5797"/>
          <w:tab w:val="left" w:pos="6956"/>
          <w:tab w:val="left" w:pos="7692"/>
          <w:tab w:val="left" w:pos="8462"/>
        </w:tabs>
        <w:spacing w:before="143" w:line="360" w:lineRule="auto"/>
        <w:ind w:left="1124" w:right="267" w:hanging="540"/>
        <w:rPr>
          <w:sz w:val="24"/>
        </w:rPr>
      </w:pPr>
      <w:r>
        <w:rPr>
          <w:sz w:val="24"/>
        </w:rPr>
        <w:t xml:space="preserve">National College for Teaching &amp; Leadership. (n.d.). </w:t>
      </w:r>
      <w:r>
        <w:rPr>
          <w:i/>
          <w:sz w:val="24"/>
        </w:rPr>
        <w:t>Section 04: Unit 3: Energy and water</w:t>
      </w:r>
      <w:r>
        <w:rPr>
          <w:i/>
          <w:sz w:val="24"/>
        </w:rPr>
        <w:tab/>
        <w:t>management.</w:t>
      </w:r>
      <w:r>
        <w:rPr>
          <w:i/>
          <w:sz w:val="24"/>
        </w:rPr>
        <w:tab/>
        <w:t>Utility</w:t>
      </w:r>
      <w:r>
        <w:rPr>
          <w:i/>
          <w:sz w:val="24"/>
        </w:rPr>
        <w:tab/>
        <w:t>Management</w:t>
      </w:r>
      <w:r>
        <w:rPr>
          <w:sz w:val="24"/>
        </w:rPr>
        <w:t>.</w:t>
      </w:r>
      <w:r>
        <w:rPr>
          <w:sz w:val="24"/>
        </w:rPr>
        <w:tab/>
        <w:t>Retrieved</w:t>
      </w:r>
      <w:r>
        <w:rPr>
          <w:sz w:val="24"/>
        </w:rPr>
        <w:tab/>
        <w:t>April</w:t>
      </w:r>
      <w:r>
        <w:rPr>
          <w:sz w:val="24"/>
        </w:rPr>
        <w:tab/>
        <w:t>2016,</w:t>
      </w:r>
      <w:r>
        <w:rPr>
          <w:sz w:val="24"/>
        </w:rPr>
        <w:tab/>
        <w:t xml:space="preserve">from </w:t>
      </w:r>
      <w:hyperlink r:id="rId129">
        <w:r>
          <w:rPr>
            <w:sz w:val="24"/>
            <w:u w:val="single"/>
          </w:rPr>
          <w:t>https://www.nationalcollege.org.uk/transfer/open/csbm-managing-the-school-</w:t>
        </w:r>
      </w:hyperlink>
      <w:r>
        <w:rPr>
          <w:sz w:val="24"/>
          <w:u w:val="single"/>
        </w:rPr>
        <w:t xml:space="preserve"> </w:t>
      </w:r>
      <w:hyperlink r:id="rId130">
        <w:r>
          <w:rPr>
            <w:sz w:val="24"/>
            <w:u w:val="single"/>
          </w:rPr>
          <w:t>environment/csbm8env-s4/csbm8env-s4t2.html</w:t>
        </w:r>
      </w:hyperlink>
    </w:p>
    <w:p w:rsidR="00F3177F" w:rsidRDefault="00F3177F">
      <w:pPr>
        <w:pStyle w:val="BodyText"/>
        <w:rPr>
          <w:sz w:val="20"/>
        </w:rPr>
      </w:pPr>
    </w:p>
    <w:p w:rsidR="00F3177F" w:rsidRDefault="0089671D">
      <w:pPr>
        <w:pStyle w:val="BodyText"/>
        <w:spacing w:before="189" w:line="360" w:lineRule="auto"/>
        <w:ind w:left="1124" w:right="112" w:hanging="540"/>
        <w:jc w:val="both"/>
      </w:pPr>
      <w:r>
        <w:t xml:space="preserve">Nelson, P. (1999). The changing demand for improved acoustics in our schools.  </w:t>
      </w:r>
      <w:r>
        <w:rPr>
          <w:i/>
        </w:rPr>
        <w:t>The Volta Review</w:t>
      </w:r>
      <w:r>
        <w:t xml:space="preserve">, </w:t>
      </w:r>
      <w:r>
        <w:rPr>
          <w:i/>
        </w:rPr>
        <w:t xml:space="preserve">101 </w:t>
      </w:r>
      <w:r>
        <w:t>(5), 23-31.</w:t>
      </w:r>
    </w:p>
    <w:p w:rsidR="00F3177F" w:rsidRDefault="00F3177F">
      <w:pPr>
        <w:pStyle w:val="BodyText"/>
      </w:pPr>
    </w:p>
    <w:p w:rsidR="00F3177F" w:rsidRDefault="0089671D">
      <w:pPr>
        <w:pStyle w:val="BodyText"/>
        <w:spacing w:before="143" w:line="360" w:lineRule="auto"/>
        <w:ind w:left="1124" w:right="113" w:hanging="540"/>
        <w:jc w:val="both"/>
      </w:pPr>
      <w:r>
        <w:t xml:space="preserve">Nelson, P. (2003). Sound in the classroom: Why children need quiet. </w:t>
      </w:r>
      <w:r>
        <w:rPr>
          <w:i/>
        </w:rPr>
        <w:t>ASHRAE Journal</w:t>
      </w:r>
      <w:r>
        <w:t xml:space="preserve">, </w:t>
      </w:r>
      <w:r>
        <w:rPr>
          <w:i/>
        </w:rPr>
        <w:t xml:space="preserve">45, </w:t>
      </w:r>
      <w:r>
        <w:t>22-28.</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Nguyen, </w:t>
      </w:r>
      <w:r>
        <w:t xml:space="preserve">T.A., &amp; Aiello, M. </w:t>
      </w:r>
      <w:r>
        <w:rPr>
          <w:spacing w:val="-3"/>
        </w:rPr>
        <w:t xml:space="preserve">(2013). </w:t>
      </w:r>
      <w:r>
        <w:t xml:space="preserve">Energy intelligent buildings </w:t>
      </w:r>
      <w:r>
        <w:rPr>
          <w:spacing w:val="-3"/>
        </w:rPr>
        <w:t xml:space="preserve">based </w:t>
      </w:r>
      <w:r>
        <w:t xml:space="preserve">on user </w:t>
      </w:r>
      <w:r>
        <w:rPr>
          <w:spacing w:val="-3"/>
        </w:rPr>
        <w:t xml:space="preserve">activity: </w:t>
      </w:r>
      <w:r>
        <w:t xml:space="preserve">a </w:t>
      </w:r>
      <w:r>
        <w:rPr>
          <w:spacing w:val="-3"/>
        </w:rPr>
        <w:t xml:space="preserve">survey, </w:t>
      </w:r>
      <w:r>
        <w:rPr>
          <w:i/>
        </w:rPr>
        <w:t>Energy Build.</w:t>
      </w:r>
      <w:r>
        <w:t xml:space="preserve">, </w:t>
      </w:r>
      <w:r>
        <w:rPr>
          <w:i/>
        </w:rPr>
        <w:t xml:space="preserve">56, </w:t>
      </w:r>
      <w:r>
        <w:rPr>
          <w:spacing w:val="-3"/>
        </w:rPr>
        <w:t>244-257.</w:t>
      </w:r>
    </w:p>
    <w:p w:rsidR="00F3177F" w:rsidRDefault="00F3177F">
      <w:pPr>
        <w:pStyle w:val="BodyText"/>
      </w:pPr>
    </w:p>
    <w:p w:rsidR="00F3177F" w:rsidRDefault="0089671D">
      <w:pPr>
        <w:spacing w:before="143" w:line="355" w:lineRule="auto"/>
        <w:ind w:left="1124" w:right="114" w:hanging="540"/>
        <w:jc w:val="both"/>
        <w:rPr>
          <w:sz w:val="24"/>
        </w:rPr>
      </w:pPr>
      <w:r>
        <w:rPr>
          <w:spacing w:val="-3"/>
          <w:sz w:val="24"/>
        </w:rPr>
        <w:t xml:space="preserve">Nifes </w:t>
      </w:r>
      <w:r>
        <w:rPr>
          <w:sz w:val="24"/>
        </w:rPr>
        <w:t xml:space="preserve">Consulting Group. </w:t>
      </w:r>
      <w:r>
        <w:rPr>
          <w:spacing w:val="-3"/>
          <w:sz w:val="24"/>
        </w:rPr>
        <w:t xml:space="preserve">(2003). </w:t>
      </w:r>
      <w:r>
        <w:rPr>
          <w:i/>
          <w:sz w:val="24"/>
        </w:rPr>
        <w:t xml:space="preserve">Good practice guide 343 </w:t>
      </w:r>
      <w:r>
        <w:rPr>
          <w:i/>
          <w:spacing w:val="-3"/>
          <w:sz w:val="24"/>
        </w:rPr>
        <w:t xml:space="preserve">(GPG343): </w:t>
      </w:r>
      <w:r>
        <w:rPr>
          <w:i/>
          <w:sz w:val="24"/>
        </w:rPr>
        <w:t xml:space="preserve">Saving </w:t>
      </w:r>
      <w:r>
        <w:rPr>
          <w:i/>
          <w:spacing w:val="-3"/>
          <w:sz w:val="24"/>
        </w:rPr>
        <w:t xml:space="preserve">energy </w:t>
      </w:r>
      <w:r>
        <w:rPr>
          <w:i/>
          <w:sz w:val="24"/>
        </w:rPr>
        <w:t xml:space="preserve">– a whole </w:t>
      </w:r>
      <w:r>
        <w:rPr>
          <w:i/>
          <w:spacing w:val="-3"/>
          <w:sz w:val="24"/>
        </w:rPr>
        <w:t xml:space="preserve">school approach, Action Energy </w:t>
      </w:r>
      <w:r>
        <w:rPr>
          <w:rFonts w:ascii="Cambria Math" w:hAnsi="Cambria Math"/>
          <w:i/>
          <w:sz w:val="25"/>
        </w:rPr>
        <w:t xml:space="preserve">‐ </w:t>
      </w:r>
      <w:r>
        <w:rPr>
          <w:i/>
          <w:sz w:val="24"/>
        </w:rPr>
        <w:t xml:space="preserve">Carbon </w:t>
      </w:r>
      <w:r>
        <w:rPr>
          <w:i/>
          <w:spacing w:val="-3"/>
          <w:sz w:val="24"/>
        </w:rPr>
        <w:t>Trust, 2003</w:t>
      </w:r>
      <w:r>
        <w:rPr>
          <w:spacing w:val="-3"/>
          <w:sz w:val="24"/>
        </w:rPr>
        <w:t xml:space="preserve">. Retrieved </w:t>
      </w:r>
      <w:r>
        <w:rPr>
          <w:sz w:val="24"/>
        </w:rPr>
        <w:t xml:space="preserve">October 23, </w:t>
      </w:r>
      <w:r>
        <w:rPr>
          <w:spacing w:val="-3"/>
          <w:sz w:val="24"/>
        </w:rPr>
        <w:t>2015,</w:t>
      </w:r>
      <w:r>
        <w:rPr>
          <w:spacing w:val="54"/>
          <w:sz w:val="24"/>
        </w:rPr>
        <w:t xml:space="preserve"> </w:t>
      </w:r>
      <w:r>
        <w:rPr>
          <w:spacing w:val="-3"/>
          <w:sz w:val="24"/>
        </w:rPr>
        <w:t>from</w:t>
      </w:r>
      <w:r>
        <w:rPr>
          <w:spacing w:val="54"/>
          <w:sz w:val="24"/>
        </w:rPr>
        <w:t xml:space="preserve"> </w:t>
      </w:r>
      <w:hyperlink r:id="rId131">
        <w:r>
          <w:rPr>
            <w:spacing w:val="-3"/>
            <w:sz w:val="24"/>
          </w:rPr>
          <w:t>http://regulations.completepicture.co.uk/pdf/EnergyConservation/</w:t>
        </w:r>
      </w:hyperlink>
      <w:r>
        <w:rPr>
          <w:spacing w:val="-3"/>
          <w:sz w:val="24"/>
        </w:rPr>
        <w:t xml:space="preserve"> BestPracticeGuidanceandCaseStudies/SavingEnergy-AWholeSchoolAp</w:t>
      </w:r>
    </w:p>
    <w:p w:rsidR="00F3177F" w:rsidRDefault="0089671D">
      <w:pPr>
        <w:pStyle w:val="BodyText"/>
        <w:spacing w:before="12"/>
        <w:ind w:left="1124" w:right="65"/>
      </w:pPr>
      <w:r>
        <w:t>proach.pdf</w:t>
      </w:r>
    </w:p>
    <w:p w:rsidR="00F3177F" w:rsidRDefault="00F3177F">
      <w:pPr>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6" w:hanging="540"/>
        <w:jc w:val="both"/>
      </w:pPr>
      <w:r>
        <w:rPr>
          <w:spacing w:val="-3"/>
        </w:rPr>
        <w:lastRenderedPageBreak/>
        <w:t xml:space="preserve">Oberdörster, </w:t>
      </w:r>
      <w:r>
        <w:t xml:space="preserve">M., &amp; </w:t>
      </w:r>
      <w:r>
        <w:rPr>
          <w:spacing w:val="-3"/>
        </w:rPr>
        <w:t xml:space="preserve">Tiesler, </w:t>
      </w:r>
      <w:r>
        <w:t xml:space="preserve">G. </w:t>
      </w:r>
      <w:r>
        <w:rPr>
          <w:spacing w:val="-3"/>
        </w:rPr>
        <w:t xml:space="preserve">(2006). </w:t>
      </w:r>
      <w:r>
        <w:rPr>
          <w:i/>
        </w:rPr>
        <w:t xml:space="preserve">Acoustic </w:t>
      </w:r>
      <w:r>
        <w:rPr>
          <w:i/>
          <w:spacing w:val="-3"/>
        </w:rPr>
        <w:t xml:space="preserve">Ergonomics </w:t>
      </w:r>
      <w:r>
        <w:rPr>
          <w:i/>
        </w:rPr>
        <w:t>of School</w:t>
      </w:r>
      <w:r>
        <w:t xml:space="preserve">. </w:t>
      </w:r>
      <w:r>
        <w:rPr>
          <w:spacing w:val="-3"/>
        </w:rPr>
        <w:t xml:space="preserve">Research Report </w:t>
      </w:r>
      <w:r>
        <w:t xml:space="preserve">of the </w:t>
      </w:r>
      <w:r>
        <w:rPr>
          <w:spacing w:val="-3"/>
        </w:rPr>
        <w:t xml:space="preserve">Federal Institute for Occupational </w:t>
      </w:r>
      <w:r>
        <w:t xml:space="preserve">Safety </w:t>
      </w:r>
      <w:r>
        <w:rPr>
          <w:spacing w:val="-3"/>
        </w:rPr>
        <w:t xml:space="preserve">and Health, </w:t>
      </w:r>
      <w:r>
        <w:t xml:space="preserve">Research Fb </w:t>
      </w:r>
      <w:r>
        <w:rPr>
          <w:spacing w:val="-3"/>
        </w:rPr>
        <w:t xml:space="preserve">1071, </w:t>
      </w:r>
      <w:r>
        <w:t>University of</w:t>
      </w:r>
      <w:r>
        <w:rPr>
          <w:spacing w:val="-28"/>
        </w:rPr>
        <w:t xml:space="preserve"> </w:t>
      </w:r>
      <w:r>
        <w:rPr>
          <w:spacing w:val="-3"/>
        </w:rPr>
        <w:t>Bremen.</w:t>
      </w:r>
    </w:p>
    <w:p w:rsidR="00F3177F" w:rsidRDefault="00F3177F">
      <w:pPr>
        <w:pStyle w:val="BodyText"/>
      </w:pPr>
    </w:p>
    <w:p w:rsidR="00F3177F" w:rsidRDefault="0089671D">
      <w:pPr>
        <w:spacing w:before="143" w:line="360" w:lineRule="auto"/>
        <w:ind w:left="1124" w:right="116" w:hanging="540"/>
        <w:jc w:val="both"/>
        <w:rPr>
          <w:sz w:val="24"/>
        </w:rPr>
      </w:pPr>
      <w:r>
        <w:rPr>
          <w:sz w:val="24"/>
        </w:rPr>
        <w:t xml:space="preserve">OECD/IEA. (2014). </w:t>
      </w:r>
      <w:r>
        <w:rPr>
          <w:i/>
          <w:sz w:val="24"/>
        </w:rPr>
        <w:t>Energy Efficiency Indicators: Essentials for Policy Making</w:t>
      </w:r>
      <w:r>
        <w:rPr>
          <w:sz w:val="24"/>
        </w:rPr>
        <w:t>. Paris, France: IEA Publication. p. 17.</w:t>
      </w:r>
    </w:p>
    <w:p w:rsidR="00F3177F" w:rsidRDefault="00F3177F">
      <w:pPr>
        <w:pStyle w:val="BodyText"/>
      </w:pPr>
    </w:p>
    <w:p w:rsidR="00F3177F" w:rsidRDefault="0089671D">
      <w:pPr>
        <w:spacing w:before="143" w:line="360" w:lineRule="auto"/>
        <w:ind w:left="1124" w:right="117" w:hanging="540"/>
        <w:jc w:val="both"/>
        <w:rPr>
          <w:sz w:val="24"/>
        </w:rPr>
      </w:pPr>
      <w:r>
        <w:rPr>
          <w:sz w:val="24"/>
        </w:rPr>
        <w:t xml:space="preserve">Office of the Deputy Prime Minister. (2006). </w:t>
      </w:r>
      <w:r>
        <w:rPr>
          <w:i/>
          <w:sz w:val="24"/>
        </w:rPr>
        <w:t>Building Regulations 2000, Part F (Ventilation)</w:t>
      </w:r>
      <w:r>
        <w:rPr>
          <w:sz w:val="24"/>
        </w:rPr>
        <w:t>. London, U.K.: Office of the Deputy Prime Minister.</w:t>
      </w:r>
    </w:p>
    <w:p w:rsidR="00F3177F" w:rsidRDefault="00F3177F">
      <w:pPr>
        <w:pStyle w:val="BodyText"/>
      </w:pPr>
    </w:p>
    <w:p w:rsidR="00F3177F" w:rsidRDefault="0089671D">
      <w:pPr>
        <w:pStyle w:val="BodyText"/>
        <w:spacing w:before="143"/>
        <w:ind w:left="584" w:right="-16"/>
      </w:pPr>
      <w:r>
        <w:t>Office of Energy Efficiency. (2012). Survey of Commercial and Institutional Energy Use</w:t>
      </w:r>
    </w:p>
    <w:p w:rsidR="00F3177F" w:rsidRDefault="0089671D">
      <w:pPr>
        <w:pStyle w:val="BodyText"/>
        <w:spacing w:before="137" w:line="360" w:lineRule="auto"/>
        <w:ind w:left="1124" w:right="65"/>
      </w:pPr>
      <w:r>
        <w:t>– Buildings 2009 Detailed Statistical Report December, 2012. Ottawa, Canada: National Resources of Canada. p. 13.</w:t>
      </w:r>
    </w:p>
    <w:p w:rsidR="00F3177F" w:rsidRDefault="00F3177F">
      <w:pPr>
        <w:pStyle w:val="BodyText"/>
      </w:pPr>
    </w:p>
    <w:p w:rsidR="00F3177F" w:rsidRDefault="0089671D">
      <w:pPr>
        <w:spacing w:before="143" w:line="360" w:lineRule="auto"/>
        <w:ind w:left="1124" w:right="113" w:hanging="540"/>
        <w:jc w:val="both"/>
        <w:rPr>
          <w:sz w:val="24"/>
        </w:rPr>
      </w:pPr>
      <w:r>
        <w:rPr>
          <w:spacing w:val="-3"/>
          <w:sz w:val="24"/>
        </w:rPr>
        <w:t xml:space="preserve">Official Journal </w:t>
      </w:r>
      <w:r>
        <w:rPr>
          <w:sz w:val="24"/>
        </w:rPr>
        <w:t xml:space="preserve">of the </w:t>
      </w:r>
      <w:r>
        <w:rPr>
          <w:spacing w:val="-3"/>
          <w:sz w:val="24"/>
        </w:rPr>
        <w:t xml:space="preserve">European </w:t>
      </w:r>
      <w:r>
        <w:rPr>
          <w:sz w:val="24"/>
        </w:rPr>
        <w:t xml:space="preserve">Communities. </w:t>
      </w:r>
      <w:r>
        <w:rPr>
          <w:spacing w:val="-3"/>
          <w:sz w:val="24"/>
        </w:rPr>
        <w:t xml:space="preserve">(2003, </w:t>
      </w:r>
      <w:r>
        <w:rPr>
          <w:sz w:val="24"/>
        </w:rPr>
        <w:t xml:space="preserve">January). </w:t>
      </w:r>
      <w:r>
        <w:rPr>
          <w:i/>
          <w:spacing w:val="-3"/>
          <w:sz w:val="24"/>
        </w:rPr>
        <w:t xml:space="preserve">European </w:t>
      </w:r>
      <w:r>
        <w:rPr>
          <w:i/>
          <w:sz w:val="24"/>
        </w:rPr>
        <w:t xml:space="preserve">Union, </w:t>
      </w:r>
      <w:r>
        <w:rPr>
          <w:i/>
          <w:spacing w:val="-2"/>
          <w:sz w:val="24"/>
        </w:rPr>
        <w:t xml:space="preserve">Directive </w:t>
      </w:r>
      <w:r>
        <w:rPr>
          <w:i/>
          <w:spacing w:val="-3"/>
          <w:sz w:val="24"/>
        </w:rPr>
        <w:t xml:space="preserve">2002/91/EC </w:t>
      </w:r>
      <w:r>
        <w:rPr>
          <w:i/>
          <w:sz w:val="24"/>
        </w:rPr>
        <w:t xml:space="preserve">of the </w:t>
      </w:r>
      <w:r>
        <w:rPr>
          <w:i/>
          <w:spacing w:val="-3"/>
          <w:sz w:val="24"/>
        </w:rPr>
        <w:t xml:space="preserve">European Parliament </w:t>
      </w:r>
      <w:r>
        <w:rPr>
          <w:i/>
          <w:sz w:val="24"/>
        </w:rPr>
        <w:t xml:space="preserve">and of the Council of 16 </w:t>
      </w:r>
      <w:r>
        <w:rPr>
          <w:i/>
          <w:spacing w:val="-3"/>
          <w:sz w:val="24"/>
        </w:rPr>
        <w:t xml:space="preserve">December 2002 </w:t>
      </w:r>
      <w:r>
        <w:rPr>
          <w:i/>
          <w:sz w:val="24"/>
        </w:rPr>
        <w:t xml:space="preserve">on the energy performance of </w:t>
      </w:r>
      <w:r>
        <w:rPr>
          <w:i/>
          <w:spacing w:val="-3"/>
          <w:sz w:val="24"/>
        </w:rPr>
        <w:t>buildings</w:t>
      </w:r>
      <w:r>
        <w:rPr>
          <w:spacing w:val="-3"/>
          <w:sz w:val="24"/>
        </w:rPr>
        <w:t xml:space="preserve">. Retrieved </w:t>
      </w:r>
      <w:r>
        <w:rPr>
          <w:sz w:val="24"/>
        </w:rPr>
        <w:t xml:space="preserve">December 21, </w:t>
      </w:r>
      <w:r>
        <w:rPr>
          <w:spacing w:val="-3"/>
          <w:sz w:val="24"/>
        </w:rPr>
        <w:t>2015</w:t>
      </w:r>
      <w:r>
        <w:rPr>
          <w:spacing w:val="54"/>
          <w:sz w:val="24"/>
        </w:rPr>
        <w:t xml:space="preserve"> </w:t>
      </w:r>
      <w:r>
        <w:rPr>
          <w:sz w:val="24"/>
        </w:rPr>
        <w:t xml:space="preserve">from </w:t>
      </w:r>
      <w:hyperlink r:id="rId132">
        <w:r>
          <w:rPr>
            <w:spacing w:val="-3"/>
            <w:sz w:val="24"/>
            <w:u w:val="single"/>
          </w:rPr>
          <w:t>http://eur-lex.europa.eu/legal-content/EN/TXT/PDF/?uri</w:t>
        </w:r>
      </w:hyperlink>
      <w:r>
        <w:rPr>
          <w:spacing w:val="-3"/>
          <w:sz w:val="24"/>
        </w:rPr>
        <w:t>=CELEX: 32002L0091&amp;from=EN</w:t>
      </w:r>
    </w:p>
    <w:p w:rsidR="00F3177F" w:rsidRDefault="00F3177F">
      <w:pPr>
        <w:pStyle w:val="BodyText"/>
      </w:pPr>
    </w:p>
    <w:p w:rsidR="00F3177F" w:rsidRDefault="0089671D">
      <w:pPr>
        <w:pStyle w:val="BodyText"/>
        <w:spacing w:before="143" w:line="360" w:lineRule="auto"/>
        <w:ind w:left="1124" w:right="116" w:hanging="540"/>
        <w:jc w:val="both"/>
      </w:pPr>
      <w:r>
        <w:rPr>
          <w:spacing w:val="-3"/>
        </w:rPr>
        <w:t xml:space="preserve">Olesen, </w:t>
      </w:r>
      <w:r>
        <w:t xml:space="preserve">B., &amp; Parsons, K.C. </w:t>
      </w:r>
      <w:r>
        <w:rPr>
          <w:spacing w:val="-3"/>
        </w:rPr>
        <w:t xml:space="preserve">(2002). Introduction </w:t>
      </w:r>
      <w:r>
        <w:t xml:space="preserve">to </w:t>
      </w:r>
      <w:r>
        <w:rPr>
          <w:spacing w:val="-3"/>
        </w:rPr>
        <w:t xml:space="preserve">thermal comfort standards and </w:t>
      </w:r>
      <w:r>
        <w:t xml:space="preserve">to the </w:t>
      </w:r>
      <w:r>
        <w:rPr>
          <w:spacing w:val="-3"/>
        </w:rPr>
        <w:t xml:space="preserve">proposed </w:t>
      </w:r>
      <w:r>
        <w:t xml:space="preserve">new </w:t>
      </w:r>
      <w:r>
        <w:rPr>
          <w:spacing w:val="-3"/>
        </w:rPr>
        <w:t xml:space="preserve">version </w:t>
      </w:r>
      <w:r>
        <w:t xml:space="preserve">of EN </w:t>
      </w:r>
      <w:r>
        <w:rPr>
          <w:spacing w:val="-3"/>
        </w:rPr>
        <w:t xml:space="preserve">ISO 7730. </w:t>
      </w:r>
      <w:r>
        <w:rPr>
          <w:i/>
          <w:spacing w:val="-3"/>
        </w:rPr>
        <w:t xml:space="preserve">Energy </w:t>
      </w:r>
      <w:r>
        <w:rPr>
          <w:i/>
        </w:rPr>
        <w:t xml:space="preserve">and </w:t>
      </w:r>
      <w:r>
        <w:rPr>
          <w:i/>
          <w:spacing w:val="-3"/>
        </w:rPr>
        <w:t>Buildings</w:t>
      </w:r>
      <w:r>
        <w:rPr>
          <w:spacing w:val="-3"/>
        </w:rPr>
        <w:t xml:space="preserve">, </w:t>
      </w:r>
      <w:r>
        <w:rPr>
          <w:i/>
        </w:rPr>
        <w:t xml:space="preserve">34 </w:t>
      </w:r>
      <w:r>
        <w:rPr>
          <w:spacing w:val="-3"/>
        </w:rPr>
        <w:t xml:space="preserve">(6), </w:t>
      </w:r>
      <w:r>
        <w:t>537-548.</w:t>
      </w:r>
    </w:p>
    <w:p w:rsidR="00F3177F" w:rsidRDefault="00F3177F">
      <w:pPr>
        <w:pStyle w:val="BodyText"/>
      </w:pPr>
    </w:p>
    <w:p w:rsidR="00F3177F" w:rsidRDefault="0089671D">
      <w:pPr>
        <w:pStyle w:val="BodyText"/>
        <w:spacing w:before="143" w:line="360" w:lineRule="auto"/>
        <w:ind w:left="1124" w:right="117" w:hanging="540"/>
        <w:jc w:val="both"/>
      </w:pPr>
      <w:r>
        <w:t xml:space="preserve">Ozturk, I. (2010). A literature survey on energy-growth nexus. </w:t>
      </w:r>
      <w:r>
        <w:rPr>
          <w:i/>
        </w:rPr>
        <w:t>Energy Policy</w:t>
      </w:r>
      <w:r>
        <w:t xml:space="preserve">, </w:t>
      </w:r>
      <w:r>
        <w:rPr>
          <w:i/>
        </w:rPr>
        <w:t xml:space="preserve">38 </w:t>
      </w:r>
      <w:r>
        <w:t>(1), 340-349.</w:t>
      </w:r>
    </w:p>
    <w:p w:rsidR="00F3177F" w:rsidRDefault="00F3177F">
      <w:pPr>
        <w:pStyle w:val="BodyText"/>
      </w:pPr>
    </w:p>
    <w:p w:rsidR="00F3177F" w:rsidRDefault="0089671D">
      <w:pPr>
        <w:pStyle w:val="BodyText"/>
        <w:spacing w:before="143" w:line="360" w:lineRule="auto"/>
        <w:ind w:left="1124" w:right="117" w:hanging="540"/>
        <w:jc w:val="both"/>
      </w:pPr>
      <w:r>
        <w:t xml:space="preserve">Pan, W., &amp; Garmston, H. (2012). Compliance with building energy regulations for new build dwellings. </w:t>
      </w:r>
      <w:r>
        <w:rPr>
          <w:i/>
        </w:rPr>
        <w:t>Energy</w:t>
      </w:r>
      <w:r>
        <w:t xml:space="preserve">, </w:t>
      </w:r>
      <w:r>
        <w:rPr>
          <w:i/>
        </w:rPr>
        <w:t xml:space="preserve">48, </w:t>
      </w:r>
      <w:r>
        <w:t>11-22.</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7" w:hanging="540"/>
        <w:jc w:val="both"/>
      </w:pPr>
      <w:r>
        <w:lastRenderedPageBreak/>
        <w:t xml:space="preserve">Parnell, R., &amp; Popovics-Larsen, O. (2005). Informing the development of domestic energy efficiency initiatives. An everyday householder-centred perspective. </w:t>
      </w:r>
      <w:r>
        <w:rPr>
          <w:i/>
        </w:rPr>
        <w:t>Environment and Behaviour</w:t>
      </w:r>
      <w:r>
        <w:t xml:space="preserve">, </w:t>
      </w:r>
      <w:r>
        <w:rPr>
          <w:i/>
        </w:rPr>
        <w:t xml:space="preserve">37 </w:t>
      </w:r>
      <w:r>
        <w:t>(6), 787-807.</w:t>
      </w:r>
    </w:p>
    <w:p w:rsidR="00F3177F" w:rsidRDefault="00F3177F">
      <w:pPr>
        <w:pStyle w:val="BodyText"/>
      </w:pPr>
    </w:p>
    <w:p w:rsidR="00F3177F" w:rsidRDefault="0089671D">
      <w:pPr>
        <w:spacing w:before="143" w:line="360" w:lineRule="auto"/>
        <w:ind w:left="1124" w:right="117" w:hanging="540"/>
        <w:jc w:val="both"/>
        <w:rPr>
          <w:sz w:val="24"/>
        </w:rPr>
      </w:pPr>
      <w:r>
        <w:rPr>
          <w:sz w:val="24"/>
        </w:rPr>
        <w:t xml:space="preserve">Pasquier, S.B. (2013). 25 Ways to Use </w:t>
      </w:r>
      <w:proofErr w:type="gramStart"/>
      <w:r>
        <w:rPr>
          <w:sz w:val="24"/>
        </w:rPr>
        <w:t>Less</w:t>
      </w:r>
      <w:proofErr w:type="gramEnd"/>
      <w:r>
        <w:rPr>
          <w:sz w:val="24"/>
        </w:rPr>
        <w:t xml:space="preserve"> Energy. </w:t>
      </w:r>
      <w:r>
        <w:rPr>
          <w:i/>
          <w:sz w:val="24"/>
        </w:rPr>
        <w:t>International Energy Agency Journal</w:t>
      </w:r>
      <w:r>
        <w:rPr>
          <w:sz w:val="24"/>
        </w:rPr>
        <w:t>, London.</w:t>
      </w:r>
    </w:p>
    <w:p w:rsidR="00F3177F" w:rsidRDefault="00F3177F">
      <w:pPr>
        <w:pStyle w:val="BodyText"/>
      </w:pPr>
    </w:p>
    <w:p w:rsidR="00F3177F" w:rsidRDefault="0089671D">
      <w:pPr>
        <w:pStyle w:val="BodyText"/>
        <w:spacing w:before="143" w:line="360" w:lineRule="auto"/>
        <w:ind w:left="1124" w:right="116" w:hanging="540"/>
        <w:jc w:val="both"/>
      </w:pPr>
      <w:r>
        <w:t xml:space="preserve">Patterson, M.G. (1996). What is energy efficiency? </w:t>
      </w:r>
      <w:proofErr w:type="gramStart"/>
      <w:r>
        <w:t>concepts</w:t>
      </w:r>
      <w:proofErr w:type="gramEnd"/>
      <w:r>
        <w:t xml:space="preserve">, indicators and methodological issues. </w:t>
      </w:r>
      <w:r>
        <w:rPr>
          <w:i/>
        </w:rPr>
        <w:t xml:space="preserve">Energy Policy, 24 </w:t>
      </w:r>
      <w:r>
        <w:t>(5), 377-90.</w:t>
      </w:r>
    </w:p>
    <w:p w:rsidR="00F3177F" w:rsidRDefault="00F3177F">
      <w:pPr>
        <w:pStyle w:val="BodyText"/>
      </w:pPr>
    </w:p>
    <w:p w:rsidR="00F3177F" w:rsidRDefault="0089671D">
      <w:pPr>
        <w:pStyle w:val="BodyText"/>
        <w:spacing w:before="143" w:line="360" w:lineRule="auto"/>
        <w:ind w:left="1124" w:right="117" w:hanging="540"/>
        <w:jc w:val="both"/>
      </w:pPr>
      <w:r>
        <w:t xml:space="preserve">Payne, J.E. (2010). A survey of the electricity consumption-growth literature. </w:t>
      </w:r>
      <w:r>
        <w:rPr>
          <w:i/>
        </w:rPr>
        <w:t>Applied Energy</w:t>
      </w:r>
      <w:r>
        <w:t xml:space="preserve">, </w:t>
      </w:r>
      <w:r>
        <w:rPr>
          <w:i/>
        </w:rPr>
        <w:t xml:space="preserve">87 </w:t>
      </w:r>
      <w:r>
        <w:t>(3), 723-731.</w:t>
      </w:r>
    </w:p>
    <w:p w:rsidR="00F3177F" w:rsidRDefault="00F3177F">
      <w:pPr>
        <w:pStyle w:val="BodyText"/>
      </w:pPr>
    </w:p>
    <w:p w:rsidR="00F3177F" w:rsidRDefault="0089671D">
      <w:pPr>
        <w:spacing w:before="143" w:line="360" w:lineRule="auto"/>
        <w:ind w:left="1124" w:right="116" w:hanging="540"/>
        <w:jc w:val="both"/>
        <w:rPr>
          <w:sz w:val="24"/>
        </w:rPr>
      </w:pPr>
      <w:r>
        <w:rPr>
          <w:spacing w:val="-3"/>
          <w:sz w:val="24"/>
        </w:rPr>
        <w:t xml:space="preserve">Pegas, </w:t>
      </w:r>
      <w:r>
        <w:rPr>
          <w:sz w:val="24"/>
        </w:rPr>
        <w:t xml:space="preserve">P.N., Alves, C., </w:t>
      </w:r>
      <w:r>
        <w:rPr>
          <w:spacing w:val="-3"/>
          <w:sz w:val="24"/>
        </w:rPr>
        <w:t xml:space="preserve">Evtyugina, M.G., Nunes, </w:t>
      </w:r>
      <w:r>
        <w:rPr>
          <w:sz w:val="24"/>
        </w:rPr>
        <w:t xml:space="preserve">T., </w:t>
      </w:r>
      <w:r>
        <w:rPr>
          <w:spacing w:val="-3"/>
          <w:sz w:val="24"/>
        </w:rPr>
        <w:t xml:space="preserve">Cerqueira, </w:t>
      </w:r>
      <w:r>
        <w:rPr>
          <w:sz w:val="24"/>
        </w:rPr>
        <w:t xml:space="preserve">M., </w:t>
      </w:r>
      <w:r>
        <w:rPr>
          <w:spacing w:val="-3"/>
          <w:sz w:val="24"/>
        </w:rPr>
        <w:t xml:space="preserve">Franchi, </w:t>
      </w:r>
      <w:r>
        <w:rPr>
          <w:sz w:val="24"/>
        </w:rPr>
        <w:t xml:space="preserve">M., et </w:t>
      </w:r>
      <w:r>
        <w:rPr>
          <w:spacing w:val="-2"/>
          <w:sz w:val="24"/>
        </w:rPr>
        <w:t xml:space="preserve">al. </w:t>
      </w:r>
      <w:r>
        <w:rPr>
          <w:spacing w:val="-3"/>
          <w:sz w:val="24"/>
        </w:rPr>
        <w:t xml:space="preserve">(2011). Indoor </w:t>
      </w:r>
      <w:r>
        <w:rPr>
          <w:sz w:val="24"/>
        </w:rPr>
        <w:t xml:space="preserve">air quality in </w:t>
      </w:r>
      <w:r>
        <w:rPr>
          <w:spacing w:val="-3"/>
          <w:sz w:val="24"/>
        </w:rPr>
        <w:t xml:space="preserve">elementary schools </w:t>
      </w:r>
      <w:r>
        <w:rPr>
          <w:sz w:val="24"/>
        </w:rPr>
        <w:t xml:space="preserve">of </w:t>
      </w:r>
      <w:r>
        <w:rPr>
          <w:spacing w:val="-4"/>
          <w:sz w:val="24"/>
        </w:rPr>
        <w:t xml:space="preserve">Lisbon </w:t>
      </w:r>
      <w:r>
        <w:rPr>
          <w:sz w:val="24"/>
        </w:rPr>
        <w:t xml:space="preserve">in spring. </w:t>
      </w:r>
      <w:r>
        <w:rPr>
          <w:i/>
          <w:spacing w:val="-3"/>
          <w:sz w:val="24"/>
        </w:rPr>
        <w:t xml:space="preserve">Environmental Geochemistry </w:t>
      </w:r>
      <w:r>
        <w:rPr>
          <w:i/>
          <w:sz w:val="24"/>
        </w:rPr>
        <w:t xml:space="preserve">and Health, 33, </w:t>
      </w:r>
      <w:r>
        <w:rPr>
          <w:sz w:val="24"/>
        </w:rPr>
        <w:t>455-468.</w:t>
      </w:r>
    </w:p>
    <w:p w:rsidR="00F3177F" w:rsidRDefault="00F3177F">
      <w:pPr>
        <w:pStyle w:val="BodyText"/>
      </w:pPr>
    </w:p>
    <w:p w:rsidR="00F3177F" w:rsidRDefault="0089671D">
      <w:pPr>
        <w:spacing w:before="143" w:line="360" w:lineRule="auto"/>
        <w:ind w:left="1124" w:right="116" w:hanging="540"/>
        <w:jc w:val="both"/>
        <w:rPr>
          <w:sz w:val="24"/>
        </w:rPr>
      </w:pPr>
      <w:r>
        <w:rPr>
          <w:sz w:val="24"/>
        </w:rPr>
        <w:t xml:space="preserve">Pennsylvania Department of Health. (n.d.). </w:t>
      </w:r>
      <w:r>
        <w:rPr>
          <w:i/>
          <w:sz w:val="24"/>
        </w:rPr>
        <w:t>Indoor Air Quality Guidelines for Pennsylvania Schools</w:t>
      </w:r>
      <w:r>
        <w:rPr>
          <w:sz w:val="24"/>
        </w:rPr>
        <w:t xml:space="preserve">. p. 2-3. Retrieved February 11, 2016, from </w:t>
      </w:r>
      <w:hyperlink r:id="rId133">
        <w:r>
          <w:rPr>
            <w:sz w:val="24"/>
          </w:rPr>
          <w:t>http://www.health.state.pa.us/pdf/hpa/epi/revised_indoorair.pdf</w:t>
        </w:r>
      </w:hyperlink>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Pereira, L.D, Bernardo, </w:t>
      </w:r>
      <w:r>
        <w:t xml:space="preserve">H., &amp; da </w:t>
      </w:r>
      <w:r>
        <w:rPr>
          <w:spacing w:val="-3"/>
        </w:rPr>
        <w:t xml:space="preserve">Silva, </w:t>
      </w:r>
      <w:r>
        <w:t xml:space="preserve">M.G. </w:t>
      </w:r>
      <w:r>
        <w:rPr>
          <w:spacing w:val="-3"/>
        </w:rPr>
        <w:t xml:space="preserve">(2013, October </w:t>
      </w:r>
      <w:r>
        <w:t xml:space="preserve">29). Energy </w:t>
      </w:r>
      <w:r>
        <w:rPr>
          <w:spacing w:val="-3"/>
        </w:rPr>
        <w:t xml:space="preserve">performance </w:t>
      </w:r>
      <w:r>
        <w:t xml:space="preserve">of </w:t>
      </w:r>
      <w:r>
        <w:rPr>
          <w:spacing w:val="-3"/>
        </w:rPr>
        <w:t xml:space="preserve">school buildings: </w:t>
      </w:r>
      <w:r>
        <w:t xml:space="preserve">from Energy </w:t>
      </w:r>
      <w:r>
        <w:rPr>
          <w:spacing w:val="-3"/>
        </w:rPr>
        <w:t xml:space="preserve">Certiﬁcates </w:t>
      </w:r>
      <w:r>
        <w:t xml:space="preserve">to </w:t>
      </w:r>
      <w:r>
        <w:rPr>
          <w:spacing w:val="-3"/>
        </w:rPr>
        <w:t xml:space="preserve">Benchmarking. </w:t>
      </w:r>
      <w:r>
        <w:rPr>
          <w:i/>
          <w:spacing w:val="-3"/>
        </w:rPr>
        <w:t xml:space="preserve">Indoor </w:t>
      </w:r>
      <w:r>
        <w:rPr>
          <w:i/>
        </w:rPr>
        <w:t xml:space="preserve">and Built </w:t>
      </w:r>
      <w:r>
        <w:rPr>
          <w:i/>
          <w:spacing w:val="-3"/>
        </w:rPr>
        <w:t xml:space="preserve">Environment, </w:t>
      </w:r>
      <w:r>
        <w:rPr>
          <w:i/>
        </w:rPr>
        <w:t xml:space="preserve">24 </w:t>
      </w:r>
      <w:r>
        <w:t xml:space="preserve">(2), </w:t>
      </w:r>
      <w:r>
        <w:rPr>
          <w:spacing w:val="-3"/>
        </w:rPr>
        <w:t>256-268.</w:t>
      </w:r>
    </w:p>
    <w:p w:rsidR="00F3177F" w:rsidRDefault="00F3177F">
      <w:pPr>
        <w:pStyle w:val="BodyText"/>
      </w:pPr>
    </w:p>
    <w:p w:rsidR="00F3177F" w:rsidRDefault="0089671D">
      <w:pPr>
        <w:spacing w:before="143" w:line="360" w:lineRule="auto"/>
        <w:ind w:left="1124" w:right="110" w:hanging="540"/>
        <w:jc w:val="both"/>
        <w:rPr>
          <w:sz w:val="24"/>
        </w:rPr>
      </w:pPr>
      <w:r>
        <w:rPr>
          <w:sz w:val="24"/>
        </w:rPr>
        <w:t xml:space="preserve">Pereira, L.D., Raimondo, D., Corgnati, S.P., &amp; Da Silva, M.G. (2014). Energy Consumption in Schools – A review paper. </w:t>
      </w:r>
      <w:r>
        <w:rPr>
          <w:i/>
          <w:sz w:val="24"/>
        </w:rPr>
        <w:t>Renewable and Sustainable Energy Reviews</w:t>
      </w:r>
      <w:r>
        <w:rPr>
          <w:sz w:val="24"/>
        </w:rPr>
        <w:t xml:space="preserve">, </w:t>
      </w:r>
      <w:r>
        <w:rPr>
          <w:i/>
          <w:sz w:val="24"/>
        </w:rPr>
        <w:t xml:space="preserve">40, </w:t>
      </w:r>
      <w:r>
        <w:rPr>
          <w:sz w:val="24"/>
        </w:rPr>
        <w:t>911-922.</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2" w:hanging="540"/>
        <w:jc w:val="both"/>
      </w:pPr>
      <w:r>
        <w:lastRenderedPageBreak/>
        <w:t xml:space="preserve">Perez-Lombard, L., Ortiz, J., &amp; Pout, C. (2009). A review on buildings energy consumption information. </w:t>
      </w:r>
      <w:r>
        <w:rPr>
          <w:i/>
        </w:rPr>
        <w:t xml:space="preserve">Energy </w:t>
      </w:r>
      <w:proofErr w:type="gramStart"/>
      <w:r>
        <w:rPr>
          <w:i/>
        </w:rPr>
        <w:t>Build</w:t>
      </w:r>
      <w:r>
        <w:t>.,</w:t>
      </w:r>
      <w:proofErr w:type="gramEnd"/>
      <w:r>
        <w:t xml:space="preserve"> </w:t>
      </w:r>
      <w:r>
        <w:rPr>
          <w:i/>
        </w:rPr>
        <w:t xml:space="preserve">40, </w:t>
      </w:r>
      <w:r>
        <w:t>394-398.</w:t>
      </w:r>
    </w:p>
    <w:p w:rsidR="00F3177F" w:rsidRDefault="00F3177F">
      <w:pPr>
        <w:pStyle w:val="BodyText"/>
      </w:pPr>
    </w:p>
    <w:p w:rsidR="00F3177F" w:rsidRDefault="0089671D">
      <w:pPr>
        <w:pStyle w:val="BodyText"/>
        <w:spacing w:before="143" w:line="360" w:lineRule="auto"/>
        <w:ind w:left="1124" w:right="117" w:hanging="540"/>
        <w:jc w:val="both"/>
      </w:pPr>
      <w:r>
        <w:t xml:space="preserve">Persily, A.K. (1997). Evaluating Building IAQ and Ventilation with Indoor Carbon Dioxide. </w:t>
      </w:r>
      <w:r>
        <w:rPr>
          <w:i/>
        </w:rPr>
        <w:t>ASHRAE Transactions</w:t>
      </w:r>
      <w:r>
        <w:t xml:space="preserve">, </w:t>
      </w:r>
      <w:r>
        <w:rPr>
          <w:i/>
        </w:rPr>
        <w:t xml:space="preserve">103, </w:t>
      </w:r>
      <w:r>
        <w:t>193-204.</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Pinder, </w:t>
      </w:r>
      <w:r>
        <w:t xml:space="preserve">J., </w:t>
      </w:r>
      <w:r>
        <w:rPr>
          <w:spacing w:val="-3"/>
        </w:rPr>
        <w:t xml:space="preserve">Parkin, </w:t>
      </w:r>
      <w:r>
        <w:t xml:space="preserve">J., Austin, S., </w:t>
      </w:r>
      <w:r>
        <w:rPr>
          <w:spacing w:val="-3"/>
        </w:rPr>
        <w:t xml:space="preserve">Duggan, </w:t>
      </w:r>
      <w:r>
        <w:t xml:space="preserve">F., </w:t>
      </w:r>
      <w:r>
        <w:rPr>
          <w:spacing w:val="-3"/>
        </w:rPr>
        <w:t xml:space="preserve">Lansdale, </w:t>
      </w:r>
      <w:r>
        <w:t xml:space="preserve">M., </w:t>
      </w:r>
      <w:r>
        <w:rPr>
          <w:spacing w:val="-3"/>
        </w:rPr>
        <w:t xml:space="preserve">Demian, </w:t>
      </w:r>
      <w:r>
        <w:t xml:space="preserve">P., et </w:t>
      </w:r>
      <w:r>
        <w:rPr>
          <w:spacing w:val="-2"/>
        </w:rPr>
        <w:t xml:space="preserve">al. </w:t>
      </w:r>
      <w:r>
        <w:rPr>
          <w:spacing w:val="-3"/>
        </w:rPr>
        <w:t xml:space="preserve">(2009). </w:t>
      </w:r>
      <w:r>
        <w:rPr>
          <w:i/>
        </w:rPr>
        <w:t xml:space="preserve">The </w:t>
      </w:r>
      <w:r>
        <w:rPr>
          <w:i/>
          <w:spacing w:val="-3"/>
        </w:rPr>
        <w:t xml:space="preserve">case </w:t>
      </w:r>
      <w:r>
        <w:rPr>
          <w:i/>
        </w:rPr>
        <w:t xml:space="preserve">for </w:t>
      </w:r>
      <w:r>
        <w:rPr>
          <w:i/>
          <w:spacing w:val="-3"/>
        </w:rPr>
        <w:t>new academic workspaces</w:t>
      </w:r>
      <w:r>
        <w:rPr>
          <w:spacing w:val="-3"/>
        </w:rPr>
        <w:t xml:space="preserve">. Leicestershire: Department </w:t>
      </w:r>
      <w:r>
        <w:t xml:space="preserve">of Civil </w:t>
      </w:r>
      <w:proofErr w:type="gramStart"/>
      <w:r>
        <w:rPr>
          <w:spacing w:val="-3"/>
        </w:rPr>
        <w:t>and  Building</w:t>
      </w:r>
      <w:proofErr w:type="gramEnd"/>
      <w:r>
        <w:rPr>
          <w:spacing w:val="-3"/>
        </w:rPr>
        <w:t xml:space="preserve"> Engineering, Loughborough</w:t>
      </w:r>
      <w:r>
        <w:rPr>
          <w:spacing w:val="28"/>
        </w:rPr>
        <w:t xml:space="preserve"> </w:t>
      </w:r>
      <w:r>
        <w:rPr>
          <w:spacing w:val="-3"/>
        </w:rPr>
        <w:t>University.</w:t>
      </w:r>
    </w:p>
    <w:p w:rsidR="00F3177F" w:rsidRDefault="00F3177F">
      <w:pPr>
        <w:pStyle w:val="BodyText"/>
      </w:pPr>
    </w:p>
    <w:p w:rsidR="00F3177F" w:rsidRDefault="0089671D">
      <w:pPr>
        <w:pStyle w:val="BodyText"/>
        <w:spacing w:before="143" w:line="360" w:lineRule="auto"/>
        <w:ind w:left="1124" w:right="114" w:hanging="540"/>
        <w:jc w:val="both"/>
      </w:pPr>
      <w:r>
        <w:t xml:space="preserve">Poirazis, H., Blomsterberg, </w:t>
      </w:r>
      <w:proofErr w:type="gramStart"/>
      <w:r>
        <w:t>Å.,</w:t>
      </w:r>
      <w:proofErr w:type="gramEnd"/>
      <w:r>
        <w:t xml:space="preserve"> &amp; Wall, M. (2008). Energy simulations for glazed office buildings in Sweden, </w:t>
      </w:r>
      <w:r>
        <w:rPr>
          <w:i/>
        </w:rPr>
        <w:t>Energy Build</w:t>
      </w:r>
      <w:r>
        <w:t xml:space="preserve">., </w:t>
      </w:r>
      <w:r>
        <w:rPr>
          <w:i/>
        </w:rPr>
        <w:t xml:space="preserve">40, </w:t>
      </w:r>
      <w:r>
        <w:t>1161-1170.</w:t>
      </w:r>
    </w:p>
    <w:p w:rsidR="00F3177F" w:rsidRDefault="00F3177F">
      <w:pPr>
        <w:pStyle w:val="BodyText"/>
      </w:pPr>
    </w:p>
    <w:p w:rsidR="00F3177F" w:rsidRDefault="0089671D">
      <w:pPr>
        <w:pStyle w:val="BodyText"/>
        <w:spacing w:before="143" w:line="360" w:lineRule="auto"/>
        <w:ind w:left="1124" w:right="112" w:hanging="540"/>
        <w:jc w:val="both"/>
      </w:pPr>
      <w:r>
        <w:t xml:space="preserve">Proskuryakova, L., &amp; Kovalev, A. (2015). Measuring energy efficiency: Is energy intensity a good evidence base? </w:t>
      </w:r>
      <w:r>
        <w:rPr>
          <w:i/>
        </w:rPr>
        <w:t xml:space="preserve">Applied Energy, 138, </w:t>
      </w:r>
      <w:r>
        <w:t>450-459.</w:t>
      </w:r>
    </w:p>
    <w:p w:rsidR="00F3177F" w:rsidRDefault="00F3177F">
      <w:pPr>
        <w:pStyle w:val="BodyText"/>
      </w:pPr>
    </w:p>
    <w:p w:rsidR="00F3177F" w:rsidRDefault="0089671D">
      <w:pPr>
        <w:spacing w:before="143" w:line="360" w:lineRule="auto"/>
        <w:ind w:left="1124" w:right="115" w:hanging="540"/>
        <w:jc w:val="both"/>
        <w:rPr>
          <w:sz w:val="24"/>
        </w:rPr>
      </w:pPr>
      <w:r>
        <w:rPr>
          <w:sz w:val="24"/>
        </w:rPr>
        <w:t xml:space="preserve">Rea, M.S. (1983). Effects of Haidinger’s brushes on visual performance. </w:t>
      </w:r>
      <w:r>
        <w:rPr>
          <w:i/>
          <w:sz w:val="24"/>
        </w:rPr>
        <w:t>Journal of the Illuminating Engineering Society</w:t>
      </w:r>
      <w:r>
        <w:rPr>
          <w:sz w:val="24"/>
        </w:rPr>
        <w:t xml:space="preserve">, </w:t>
      </w:r>
      <w:r>
        <w:rPr>
          <w:i/>
          <w:sz w:val="24"/>
        </w:rPr>
        <w:t xml:space="preserve">12 </w:t>
      </w:r>
      <w:r>
        <w:rPr>
          <w:sz w:val="24"/>
        </w:rPr>
        <w:t>(3), 197-203.</w:t>
      </w:r>
    </w:p>
    <w:p w:rsidR="00F3177F" w:rsidRDefault="00F3177F">
      <w:pPr>
        <w:pStyle w:val="BodyText"/>
      </w:pPr>
    </w:p>
    <w:p w:rsidR="00F3177F" w:rsidRDefault="0089671D">
      <w:pPr>
        <w:pStyle w:val="BodyText"/>
        <w:spacing w:before="143" w:line="360" w:lineRule="auto"/>
        <w:ind w:left="1124" w:right="116" w:hanging="540"/>
        <w:jc w:val="both"/>
      </w:pPr>
      <w:r>
        <w:rPr>
          <w:spacing w:val="-3"/>
        </w:rPr>
        <w:t xml:space="preserve">Roelofsen, </w:t>
      </w:r>
      <w:r>
        <w:t xml:space="preserve">P. </w:t>
      </w:r>
      <w:r>
        <w:rPr>
          <w:spacing w:val="-3"/>
        </w:rPr>
        <w:t xml:space="preserve">(2002). </w:t>
      </w:r>
      <w:r>
        <w:t xml:space="preserve">The impact of office </w:t>
      </w:r>
      <w:r>
        <w:rPr>
          <w:spacing w:val="-3"/>
        </w:rPr>
        <w:t xml:space="preserve">environments </w:t>
      </w:r>
      <w:r>
        <w:t xml:space="preserve">on </w:t>
      </w:r>
      <w:r>
        <w:rPr>
          <w:spacing w:val="-2"/>
        </w:rPr>
        <w:t xml:space="preserve">employee </w:t>
      </w:r>
      <w:r>
        <w:rPr>
          <w:spacing w:val="-3"/>
        </w:rPr>
        <w:t xml:space="preserve">performance: </w:t>
      </w:r>
      <w:r>
        <w:t xml:space="preserve">The </w:t>
      </w:r>
      <w:r>
        <w:rPr>
          <w:spacing w:val="-3"/>
        </w:rPr>
        <w:t xml:space="preserve">design </w:t>
      </w:r>
      <w:r>
        <w:t xml:space="preserve">of the workplace as a strategy for productivity </w:t>
      </w:r>
      <w:r>
        <w:rPr>
          <w:spacing w:val="-3"/>
        </w:rPr>
        <w:t xml:space="preserve">enhancement. </w:t>
      </w:r>
      <w:r>
        <w:rPr>
          <w:i/>
          <w:spacing w:val="-3"/>
        </w:rPr>
        <w:t xml:space="preserve">Journal </w:t>
      </w:r>
      <w:r>
        <w:rPr>
          <w:i/>
        </w:rPr>
        <w:t xml:space="preserve">of </w:t>
      </w:r>
      <w:r>
        <w:rPr>
          <w:i/>
          <w:spacing w:val="-3"/>
        </w:rPr>
        <w:t>Facilities Management</w:t>
      </w:r>
      <w:r>
        <w:rPr>
          <w:spacing w:val="-3"/>
        </w:rPr>
        <w:t xml:space="preserve">, </w:t>
      </w:r>
      <w:r>
        <w:rPr>
          <w:i/>
        </w:rPr>
        <w:t xml:space="preserve">1 </w:t>
      </w:r>
      <w:r>
        <w:rPr>
          <w:spacing w:val="-3"/>
        </w:rPr>
        <w:t>(3), 247-264.</w:t>
      </w:r>
    </w:p>
    <w:p w:rsidR="00F3177F" w:rsidRDefault="00F3177F">
      <w:pPr>
        <w:pStyle w:val="BodyText"/>
      </w:pPr>
    </w:p>
    <w:p w:rsidR="00F3177F" w:rsidRDefault="0089671D">
      <w:pPr>
        <w:spacing w:before="143" w:line="360" w:lineRule="auto"/>
        <w:ind w:left="1124" w:right="113" w:hanging="540"/>
        <w:jc w:val="both"/>
        <w:rPr>
          <w:sz w:val="24"/>
        </w:rPr>
      </w:pPr>
      <w:r>
        <w:rPr>
          <w:spacing w:val="-3"/>
          <w:sz w:val="24"/>
        </w:rPr>
        <w:t xml:space="preserve">Salleh, </w:t>
      </w:r>
      <w:r>
        <w:rPr>
          <w:sz w:val="24"/>
        </w:rPr>
        <w:t xml:space="preserve">M.N.M, </w:t>
      </w:r>
      <w:r>
        <w:rPr>
          <w:spacing w:val="-3"/>
          <w:sz w:val="24"/>
        </w:rPr>
        <w:t xml:space="preserve">Kandarb, M.Z., Sakipc, S.R.Md., </w:t>
      </w:r>
      <w:r>
        <w:rPr>
          <w:sz w:val="24"/>
        </w:rPr>
        <w:t xml:space="preserve">&amp; Johari, N. </w:t>
      </w:r>
      <w:r>
        <w:rPr>
          <w:spacing w:val="-3"/>
          <w:sz w:val="24"/>
        </w:rPr>
        <w:t xml:space="preserve">(2015). </w:t>
      </w:r>
      <w:r>
        <w:rPr>
          <w:sz w:val="24"/>
        </w:rPr>
        <w:t xml:space="preserve">Users’ </w:t>
      </w:r>
      <w:r>
        <w:rPr>
          <w:spacing w:val="-3"/>
          <w:sz w:val="24"/>
        </w:rPr>
        <w:t xml:space="preserve">Perception </w:t>
      </w:r>
      <w:r>
        <w:rPr>
          <w:sz w:val="24"/>
        </w:rPr>
        <w:t xml:space="preserve">of Energy Efficiency in </w:t>
      </w:r>
      <w:r>
        <w:rPr>
          <w:spacing w:val="-3"/>
          <w:sz w:val="24"/>
        </w:rPr>
        <w:t xml:space="preserve">School Design. </w:t>
      </w:r>
      <w:r>
        <w:rPr>
          <w:i/>
          <w:spacing w:val="-3"/>
          <w:sz w:val="24"/>
        </w:rPr>
        <w:t xml:space="preserve">Procedia </w:t>
      </w:r>
      <w:r>
        <w:rPr>
          <w:i/>
          <w:sz w:val="24"/>
        </w:rPr>
        <w:t xml:space="preserve">- </w:t>
      </w:r>
      <w:r>
        <w:rPr>
          <w:i/>
          <w:spacing w:val="-3"/>
          <w:sz w:val="24"/>
        </w:rPr>
        <w:t xml:space="preserve">Social </w:t>
      </w:r>
      <w:r>
        <w:rPr>
          <w:i/>
          <w:sz w:val="24"/>
        </w:rPr>
        <w:t xml:space="preserve">and </w:t>
      </w:r>
      <w:r>
        <w:rPr>
          <w:i/>
          <w:spacing w:val="-3"/>
          <w:sz w:val="24"/>
        </w:rPr>
        <w:t xml:space="preserve">Behavioral </w:t>
      </w:r>
      <w:r>
        <w:rPr>
          <w:i/>
          <w:sz w:val="24"/>
        </w:rPr>
        <w:t>Sciences</w:t>
      </w:r>
      <w:r>
        <w:rPr>
          <w:sz w:val="24"/>
        </w:rPr>
        <w:t xml:space="preserve">, </w:t>
      </w:r>
      <w:r>
        <w:rPr>
          <w:i/>
          <w:spacing w:val="-3"/>
          <w:sz w:val="24"/>
        </w:rPr>
        <w:t xml:space="preserve">170, </w:t>
      </w:r>
      <w:r>
        <w:rPr>
          <w:spacing w:val="-3"/>
          <w:sz w:val="24"/>
        </w:rPr>
        <w:t>155-164.</w:t>
      </w:r>
    </w:p>
    <w:p w:rsidR="00F3177F" w:rsidRDefault="00F3177F">
      <w:pPr>
        <w:pStyle w:val="BodyText"/>
      </w:pPr>
    </w:p>
    <w:p w:rsidR="00F3177F" w:rsidRDefault="0089671D">
      <w:pPr>
        <w:pStyle w:val="BodyText"/>
        <w:spacing w:before="143" w:line="360" w:lineRule="auto"/>
        <w:ind w:left="1124" w:right="117" w:hanging="540"/>
        <w:jc w:val="both"/>
      </w:pPr>
      <w:r>
        <w:t xml:space="preserve">Santamouris, M., &amp; Sfakianaki, K. (2009). IEE: COMMONCENSE Project - </w:t>
      </w:r>
      <w:proofErr w:type="gramStart"/>
      <w:r>
        <w:t>Deliverable  3.1</w:t>
      </w:r>
      <w:proofErr w:type="gramEnd"/>
      <w:r>
        <w:t>|  Predicted  energy  consumption  of  major  types  of  buildings in</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pStyle w:val="BodyText"/>
        <w:tabs>
          <w:tab w:val="left" w:pos="2412"/>
          <w:tab w:val="left" w:pos="3585"/>
          <w:tab w:val="left" w:pos="4502"/>
          <w:tab w:val="left" w:pos="5114"/>
          <w:tab w:val="left" w:pos="5778"/>
          <w:tab w:val="left" w:pos="7215"/>
          <w:tab w:val="left" w:pos="7786"/>
          <w:tab w:val="left" w:pos="8477"/>
        </w:tabs>
        <w:spacing w:before="54" w:line="360" w:lineRule="auto"/>
        <w:ind w:left="1124" w:right="120"/>
      </w:pPr>
      <w:r>
        <w:lastRenderedPageBreak/>
        <w:t>European</w:t>
      </w:r>
      <w:r>
        <w:tab/>
        <w:t>climates</w:t>
      </w:r>
      <w:r>
        <w:tab/>
        <w:t>based</w:t>
      </w:r>
      <w:r>
        <w:tab/>
        <w:t>on</w:t>
      </w:r>
      <w:r>
        <w:tab/>
        <w:t>the</w:t>
      </w:r>
      <w:r>
        <w:tab/>
        <w:t>application</w:t>
      </w:r>
      <w:r>
        <w:tab/>
        <w:t>of</w:t>
      </w:r>
      <w:r>
        <w:tab/>
        <w:t>EN</w:t>
      </w:r>
      <w:r>
        <w:tab/>
        <w:t>15251 (EIE/07/190/SI2.467619). Athens, Greece: Intelligent</w:t>
      </w:r>
      <w:r>
        <w:rPr>
          <w:spacing w:val="-13"/>
        </w:rPr>
        <w:t xml:space="preserve"> </w:t>
      </w:r>
      <w:r>
        <w:t>Energy.</w:t>
      </w:r>
    </w:p>
    <w:p w:rsidR="00F3177F" w:rsidRDefault="00F3177F">
      <w:pPr>
        <w:pStyle w:val="BodyText"/>
      </w:pPr>
    </w:p>
    <w:p w:rsidR="00F3177F" w:rsidRDefault="0089671D">
      <w:pPr>
        <w:pStyle w:val="BodyText"/>
        <w:spacing w:before="143" w:line="360" w:lineRule="auto"/>
        <w:ind w:left="1124" w:right="112" w:hanging="540"/>
        <w:jc w:val="both"/>
      </w:pPr>
      <w:r>
        <w:rPr>
          <w:spacing w:val="-3"/>
        </w:rPr>
        <w:t xml:space="preserve">Santamouris, </w:t>
      </w:r>
      <w:r>
        <w:t xml:space="preserve">M., </w:t>
      </w:r>
      <w:r>
        <w:rPr>
          <w:spacing w:val="-3"/>
        </w:rPr>
        <w:t xml:space="preserve">Synnefa, </w:t>
      </w:r>
      <w:r>
        <w:t xml:space="preserve">A., </w:t>
      </w:r>
      <w:r>
        <w:rPr>
          <w:spacing w:val="-3"/>
        </w:rPr>
        <w:t xml:space="preserve">Asssimakopoulos, </w:t>
      </w:r>
      <w:r>
        <w:t xml:space="preserve">M., </w:t>
      </w:r>
      <w:r>
        <w:rPr>
          <w:spacing w:val="-3"/>
        </w:rPr>
        <w:t xml:space="preserve">Livada, </w:t>
      </w:r>
      <w:r>
        <w:t xml:space="preserve">I., Pavlou, K. </w:t>
      </w:r>
      <w:r>
        <w:rPr>
          <w:spacing w:val="-3"/>
        </w:rPr>
        <w:t xml:space="preserve">Papaglastra, </w:t>
      </w:r>
      <w:r>
        <w:t xml:space="preserve">M., et al. (2008). </w:t>
      </w:r>
      <w:r>
        <w:rPr>
          <w:spacing w:val="-3"/>
        </w:rPr>
        <w:t xml:space="preserve">Experimental investigation </w:t>
      </w:r>
      <w:r>
        <w:t xml:space="preserve">of the air flow </w:t>
      </w:r>
      <w:r>
        <w:rPr>
          <w:spacing w:val="-3"/>
        </w:rPr>
        <w:t xml:space="preserve">and indoorcarbon </w:t>
      </w:r>
      <w:r>
        <w:t xml:space="preserve">dioxide </w:t>
      </w:r>
      <w:r>
        <w:rPr>
          <w:spacing w:val="-3"/>
        </w:rPr>
        <w:t xml:space="preserve">concentration </w:t>
      </w:r>
      <w:r>
        <w:t xml:space="preserve">inclassrooms with intermittent natural </w:t>
      </w:r>
      <w:r>
        <w:rPr>
          <w:spacing w:val="-3"/>
        </w:rPr>
        <w:t xml:space="preserve">ventilation. </w:t>
      </w:r>
      <w:r>
        <w:rPr>
          <w:i/>
          <w:spacing w:val="-3"/>
        </w:rPr>
        <w:t xml:space="preserve">Energy Build, </w:t>
      </w:r>
      <w:r>
        <w:rPr>
          <w:i/>
        </w:rPr>
        <w:t xml:space="preserve">40, </w:t>
      </w:r>
      <w:r>
        <w:rPr>
          <w:spacing w:val="-3"/>
        </w:rPr>
        <w:t xml:space="preserve">1833-1843. </w:t>
      </w:r>
      <w:r>
        <w:t>(</w:t>
      </w:r>
      <w:proofErr w:type="gramStart"/>
      <w:r>
        <w:t>as</w:t>
      </w:r>
      <w:proofErr w:type="gramEnd"/>
      <w:r>
        <w:t xml:space="preserve"> in </w:t>
      </w:r>
      <w:r>
        <w:rPr>
          <w:spacing w:val="-3"/>
        </w:rPr>
        <w:t xml:space="preserve">“Wargocki, </w:t>
      </w:r>
      <w:r>
        <w:t xml:space="preserve">P., &amp; Wyon, D.P. </w:t>
      </w:r>
      <w:r>
        <w:rPr>
          <w:spacing w:val="-3"/>
        </w:rPr>
        <w:t xml:space="preserve">(2013). </w:t>
      </w:r>
      <w:r>
        <w:t xml:space="preserve">Providing better </w:t>
      </w:r>
      <w:r>
        <w:rPr>
          <w:spacing w:val="-3"/>
        </w:rPr>
        <w:t xml:space="preserve">thermal and </w:t>
      </w:r>
      <w:r>
        <w:t xml:space="preserve">air quality </w:t>
      </w:r>
      <w:r>
        <w:rPr>
          <w:spacing w:val="-3"/>
        </w:rPr>
        <w:t xml:space="preserve">conditions </w:t>
      </w:r>
      <w:r>
        <w:t xml:space="preserve">in </w:t>
      </w:r>
      <w:r>
        <w:rPr>
          <w:spacing w:val="-3"/>
        </w:rPr>
        <w:t xml:space="preserve">school classrooms would </w:t>
      </w:r>
      <w:r>
        <w:t xml:space="preserve">be </w:t>
      </w:r>
      <w:r>
        <w:rPr>
          <w:spacing w:val="-3"/>
        </w:rPr>
        <w:t xml:space="preserve">cost-effective, </w:t>
      </w:r>
      <w:r>
        <w:rPr>
          <w:i/>
          <w:spacing w:val="-3"/>
        </w:rPr>
        <w:t xml:space="preserve">Building </w:t>
      </w:r>
      <w:r>
        <w:rPr>
          <w:i/>
        </w:rPr>
        <w:t xml:space="preserve">and Environment, 59, </w:t>
      </w:r>
      <w:r>
        <w:rPr>
          <w:spacing w:val="-3"/>
        </w:rPr>
        <w:t>581-589”)</w:t>
      </w:r>
    </w:p>
    <w:p w:rsidR="00F3177F" w:rsidRDefault="00F3177F">
      <w:pPr>
        <w:pStyle w:val="BodyText"/>
      </w:pPr>
    </w:p>
    <w:p w:rsidR="00F3177F" w:rsidRDefault="0089671D">
      <w:pPr>
        <w:pStyle w:val="BodyText"/>
        <w:spacing w:before="143" w:line="360" w:lineRule="auto"/>
        <w:ind w:left="1124" w:right="114" w:hanging="540"/>
        <w:jc w:val="both"/>
      </w:pPr>
      <w:r>
        <w:rPr>
          <w:spacing w:val="-3"/>
        </w:rPr>
        <w:t xml:space="preserve">Satish, </w:t>
      </w:r>
      <w:r>
        <w:t xml:space="preserve">U., </w:t>
      </w:r>
      <w:r>
        <w:rPr>
          <w:spacing w:val="-3"/>
        </w:rPr>
        <w:t xml:space="preserve">Fisk, </w:t>
      </w:r>
      <w:r>
        <w:t>W.B.</w:t>
      </w:r>
      <w:proofErr w:type="gramStart"/>
      <w:r>
        <w:t xml:space="preserve">,  </w:t>
      </w:r>
      <w:r>
        <w:rPr>
          <w:spacing w:val="-3"/>
        </w:rPr>
        <w:t>Mendell</w:t>
      </w:r>
      <w:proofErr w:type="gramEnd"/>
      <w:r>
        <w:rPr>
          <w:spacing w:val="-3"/>
        </w:rPr>
        <w:t xml:space="preserve">,  </w:t>
      </w:r>
      <w:r>
        <w:t xml:space="preserve">M.J.,  </w:t>
      </w:r>
      <w:r>
        <w:rPr>
          <w:spacing w:val="-3"/>
        </w:rPr>
        <w:t xml:space="preserve">Eliseeva,  </w:t>
      </w:r>
      <w:r>
        <w:t xml:space="preserve">K.,  Hotchi,  T.,  </w:t>
      </w:r>
      <w:r>
        <w:rPr>
          <w:spacing w:val="-3"/>
        </w:rPr>
        <w:t xml:space="preserve">Sullivan,  </w:t>
      </w:r>
      <w:r>
        <w:t xml:space="preserve">D., </w:t>
      </w:r>
      <w:r>
        <w:rPr>
          <w:spacing w:val="-3"/>
        </w:rPr>
        <w:t xml:space="preserve">Cleckner, </w:t>
      </w:r>
      <w:r>
        <w:t xml:space="preserve">et </w:t>
      </w:r>
      <w:r>
        <w:rPr>
          <w:spacing w:val="-2"/>
        </w:rPr>
        <w:t xml:space="preserve">al. </w:t>
      </w:r>
      <w:r>
        <w:t xml:space="preserve">(2011, June </w:t>
      </w:r>
      <w:r>
        <w:rPr>
          <w:spacing w:val="-3"/>
        </w:rPr>
        <w:t xml:space="preserve">5-10). Impact </w:t>
      </w:r>
      <w:r>
        <w:t xml:space="preserve">of CO2 on </w:t>
      </w:r>
      <w:r>
        <w:rPr>
          <w:spacing w:val="-3"/>
        </w:rPr>
        <w:t xml:space="preserve">Human Decision </w:t>
      </w:r>
      <w:r>
        <w:t xml:space="preserve">Making </w:t>
      </w:r>
      <w:r>
        <w:rPr>
          <w:spacing w:val="-3"/>
        </w:rPr>
        <w:t xml:space="preserve">and Productivity </w:t>
      </w:r>
      <w:r>
        <w:t xml:space="preserve">at </w:t>
      </w:r>
      <w:r>
        <w:rPr>
          <w:i/>
          <w:spacing w:val="-3"/>
        </w:rPr>
        <w:t xml:space="preserve">Indoor </w:t>
      </w:r>
      <w:r>
        <w:rPr>
          <w:i/>
        </w:rPr>
        <w:t xml:space="preserve">Air </w:t>
      </w:r>
      <w:r>
        <w:rPr>
          <w:i/>
          <w:spacing w:val="-3"/>
        </w:rPr>
        <w:t>2011</w:t>
      </w:r>
      <w:r>
        <w:rPr>
          <w:spacing w:val="-3"/>
        </w:rPr>
        <w:t xml:space="preserve">. Austin, </w:t>
      </w:r>
      <w:r>
        <w:t xml:space="preserve">Texas: </w:t>
      </w:r>
      <w:r>
        <w:rPr>
          <w:spacing w:val="-3"/>
        </w:rPr>
        <w:t xml:space="preserve">Researchgate. </w:t>
      </w:r>
      <w:r>
        <w:t>(p. 574).</w:t>
      </w:r>
    </w:p>
    <w:p w:rsidR="00F3177F" w:rsidRDefault="00F3177F">
      <w:pPr>
        <w:pStyle w:val="BodyText"/>
      </w:pPr>
    </w:p>
    <w:p w:rsidR="00F3177F" w:rsidRDefault="0089671D">
      <w:pPr>
        <w:spacing w:before="143" w:line="360" w:lineRule="auto"/>
        <w:ind w:left="1124" w:right="115" w:hanging="540"/>
        <w:jc w:val="both"/>
        <w:rPr>
          <w:sz w:val="24"/>
        </w:rPr>
      </w:pPr>
      <w:r>
        <w:rPr>
          <w:spacing w:val="-3"/>
          <w:sz w:val="24"/>
        </w:rPr>
        <w:t xml:space="preserve">Schleich, </w:t>
      </w:r>
      <w:r>
        <w:rPr>
          <w:sz w:val="24"/>
        </w:rPr>
        <w:t xml:space="preserve">J. (2004). Do energy audits help </w:t>
      </w:r>
      <w:r>
        <w:rPr>
          <w:spacing w:val="-2"/>
          <w:sz w:val="24"/>
        </w:rPr>
        <w:t xml:space="preserve">reduce </w:t>
      </w:r>
      <w:r>
        <w:rPr>
          <w:spacing w:val="-3"/>
          <w:sz w:val="24"/>
        </w:rPr>
        <w:t xml:space="preserve">barriers </w:t>
      </w:r>
      <w:r>
        <w:rPr>
          <w:sz w:val="24"/>
        </w:rPr>
        <w:t xml:space="preserve">to energy </w:t>
      </w:r>
      <w:r>
        <w:rPr>
          <w:spacing w:val="-3"/>
          <w:sz w:val="24"/>
        </w:rPr>
        <w:t xml:space="preserve">efficiency? </w:t>
      </w:r>
      <w:r>
        <w:rPr>
          <w:sz w:val="24"/>
        </w:rPr>
        <w:t xml:space="preserve">An </w:t>
      </w:r>
      <w:r>
        <w:rPr>
          <w:spacing w:val="-3"/>
          <w:sz w:val="24"/>
        </w:rPr>
        <w:t xml:space="preserve">empirical analysis </w:t>
      </w:r>
      <w:r>
        <w:rPr>
          <w:sz w:val="24"/>
        </w:rPr>
        <w:t xml:space="preserve">for </w:t>
      </w:r>
      <w:r>
        <w:rPr>
          <w:spacing w:val="-3"/>
          <w:sz w:val="24"/>
        </w:rPr>
        <w:t xml:space="preserve">Germany. </w:t>
      </w:r>
      <w:r>
        <w:rPr>
          <w:i/>
          <w:spacing w:val="-3"/>
          <w:sz w:val="24"/>
        </w:rPr>
        <w:t xml:space="preserve">International </w:t>
      </w:r>
      <w:r>
        <w:rPr>
          <w:i/>
          <w:sz w:val="24"/>
        </w:rPr>
        <w:t xml:space="preserve">Journal of </w:t>
      </w:r>
      <w:r>
        <w:rPr>
          <w:i/>
          <w:spacing w:val="-3"/>
          <w:sz w:val="24"/>
        </w:rPr>
        <w:t xml:space="preserve">Energy Technology </w:t>
      </w:r>
      <w:r>
        <w:rPr>
          <w:i/>
          <w:sz w:val="24"/>
        </w:rPr>
        <w:t xml:space="preserve">and </w:t>
      </w:r>
      <w:r>
        <w:rPr>
          <w:i/>
          <w:spacing w:val="-3"/>
          <w:sz w:val="24"/>
        </w:rPr>
        <w:t xml:space="preserve">Policy, </w:t>
      </w:r>
      <w:r>
        <w:rPr>
          <w:i/>
          <w:sz w:val="24"/>
        </w:rPr>
        <w:t xml:space="preserve">2 </w:t>
      </w:r>
      <w:r>
        <w:rPr>
          <w:sz w:val="24"/>
        </w:rPr>
        <w:t>(3), 226-239. (</w:t>
      </w:r>
      <w:proofErr w:type="gramStart"/>
      <w:r>
        <w:rPr>
          <w:sz w:val="24"/>
        </w:rPr>
        <w:t>as</w:t>
      </w:r>
      <w:proofErr w:type="gramEnd"/>
      <w:r>
        <w:rPr>
          <w:sz w:val="24"/>
        </w:rPr>
        <w:t xml:space="preserve"> in “Hsu, D. </w:t>
      </w:r>
      <w:r>
        <w:rPr>
          <w:spacing w:val="-3"/>
          <w:sz w:val="24"/>
        </w:rPr>
        <w:t xml:space="preserve">(2014). </w:t>
      </w:r>
      <w:r>
        <w:rPr>
          <w:sz w:val="24"/>
        </w:rPr>
        <w:t xml:space="preserve">How </w:t>
      </w:r>
      <w:r>
        <w:rPr>
          <w:spacing w:val="-3"/>
          <w:sz w:val="24"/>
        </w:rPr>
        <w:t xml:space="preserve">much information disclosure </w:t>
      </w:r>
      <w:r>
        <w:rPr>
          <w:sz w:val="24"/>
        </w:rPr>
        <w:t xml:space="preserve">of building energy performance is </w:t>
      </w:r>
      <w:r>
        <w:rPr>
          <w:spacing w:val="-3"/>
          <w:sz w:val="24"/>
        </w:rPr>
        <w:t>necessary</w:t>
      </w:r>
      <w:proofErr w:type="gramStart"/>
      <w:r>
        <w:rPr>
          <w:spacing w:val="-3"/>
          <w:sz w:val="24"/>
        </w:rPr>
        <w:t>?,</w:t>
      </w:r>
      <w:proofErr w:type="gramEnd"/>
      <w:r>
        <w:rPr>
          <w:spacing w:val="-3"/>
          <w:sz w:val="24"/>
        </w:rPr>
        <w:t xml:space="preserve"> </w:t>
      </w:r>
      <w:r>
        <w:rPr>
          <w:i/>
          <w:sz w:val="24"/>
        </w:rPr>
        <w:t xml:space="preserve">Energy </w:t>
      </w:r>
      <w:r>
        <w:rPr>
          <w:i/>
          <w:spacing w:val="-3"/>
          <w:sz w:val="24"/>
        </w:rPr>
        <w:t xml:space="preserve">Policy, </w:t>
      </w:r>
      <w:r>
        <w:rPr>
          <w:i/>
          <w:sz w:val="24"/>
        </w:rPr>
        <w:t xml:space="preserve">64, </w:t>
      </w:r>
      <w:r>
        <w:rPr>
          <w:spacing w:val="-3"/>
          <w:sz w:val="24"/>
        </w:rPr>
        <w:t>263-272.</w:t>
      </w:r>
    </w:p>
    <w:p w:rsidR="00F3177F" w:rsidRDefault="00F3177F">
      <w:pPr>
        <w:pStyle w:val="BodyText"/>
      </w:pPr>
    </w:p>
    <w:p w:rsidR="00F3177F" w:rsidRDefault="0089671D">
      <w:pPr>
        <w:pStyle w:val="BodyText"/>
        <w:spacing w:before="143" w:line="360" w:lineRule="auto"/>
        <w:ind w:left="1124" w:right="116" w:hanging="540"/>
        <w:jc w:val="both"/>
      </w:pPr>
      <w:r>
        <w:rPr>
          <w:spacing w:val="-3"/>
        </w:rPr>
        <w:t xml:space="preserve">Schreiber, </w:t>
      </w:r>
      <w:r>
        <w:t xml:space="preserve">M.E. </w:t>
      </w:r>
      <w:r>
        <w:rPr>
          <w:spacing w:val="-3"/>
        </w:rPr>
        <w:t xml:space="preserve">(1996). Lighting alternatives: considerations for child care centres. </w:t>
      </w:r>
      <w:r>
        <w:rPr>
          <w:i/>
        </w:rPr>
        <w:t xml:space="preserve">Young </w:t>
      </w:r>
      <w:r>
        <w:rPr>
          <w:i/>
          <w:spacing w:val="-3"/>
        </w:rPr>
        <w:t>Children</w:t>
      </w:r>
      <w:r>
        <w:rPr>
          <w:spacing w:val="-3"/>
        </w:rPr>
        <w:t xml:space="preserve">, </w:t>
      </w:r>
      <w:r>
        <w:rPr>
          <w:i/>
        </w:rPr>
        <w:t xml:space="preserve">51 </w:t>
      </w:r>
      <w:r>
        <w:t>(4), 11-13.</w:t>
      </w:r>
    </w:p>
    <w:p w:rsidR="00F3177F" w:rsidRDefault="00F3177F">
      <w:pPr>
        <w:pStyle w:val="BodyText"/>
      </w:pPr>
    </w:p>
    <w:p w:rsidR="00F3177F" w:rsidRDefault="0089671D">
      <w:pPr>
        <w:pStyle w:val="BodyText"/>
        <w:spacing w:before="143" w:line="360" w:lineRule="auto"/>
        <w:ind w:left="1124" w:right="65" w:hanging="540"/>
      </w:pPr>
      <w:proofErr w:type="gramStart"/>
      <w:r>
        <w:t>seai</w:t>
      </w:r>
      <w:proofErr w:type="gramEnd"/>
      <w:r>
        <w:t xml:space="preserve">. (n.d.a). </w:t>
      </w:r>
      <w:r>
        <w:rPr>
          <w:i/>
        </w:rPr>
        <w:t xml:space="preserve">What Can Be Done to Improve a BER? </w:t>
      </w:r>
      <w:r>
        <w:t xml:space="preserve">Retrieved July 23, 2015, from </w:t>
      </w:r>
      <w:hyperlink r:id="rId134">
        <w:r>
          <w:rPr>
            <w:u w:val="single"/>
          </w:rPr>
          <w:t>http://www.seai.ie/Your_Building/BER/BER_FAQ/FAQ_BER/General/What_</w:t>
        </w:r>
      </w:hyperlink>
      <w:r>
        <w:rPr>
          <w:u w:val="single"/>
        </w:rPr>
        <w:t xml:space="preserve"> </w:t>
      </w:r>
      <w:hyperlink r:id="rId135">
        <w:r>
          <w:rPr>
            <w:u w:val="single"/>
          </w:rPr>
          <w:t>Can_Be_Done_to_Improve_a_BER_.html</w:t>
        </w:r>
      </w:hyperlink>
    </w:p>
    <w:p w:rsidR="00F3177F" w:rsidRDefault="00F3177F">
      <w:pPr>
        <w:pStyle w:val="BodyText"/>
        <w:rPr>
          <w:sz w:val="20"/>
        </w:rPr>
      </w:pPr>
    </w:p>
    <w:p w:rsidR="00F3177F" w:rsidRDefault="0089671D">
      <w:pPr>
        <w:spacing w:before="189" w:line="360" w:lineRule="auto"/>
        <w:ind w:left="1124" w:right="117" w:hanging="540"/>
        <w:jc w:val="both"/>
        <w:rPr>
          <w:sz w:val="24"/>
        </w:rPr>
      </w:pPr>
      <w:proofErr w:type="gramStart"/>
      <w:r>
        <w:rPr>
          <w:sz w:val="24"/>
        </w:rPr>
        <w:t>seai</w:t>
      </w:r>
      <w:proofErr w:type="gramEnd"/>
      <w:r>
        <w:rPr>
          <w:sz w:val="24"/>
        </w:rPr>
        <w:t xml:space="preserve">. (n.d.b). </w:t>
      </w:r>
      <w:r>
        <w:rPr>
          <w:i/>
          <w:sz w:val="24"/>
        </w:rPr>
        <w:t>Building Energy Rating (BER): NEAP Version X.Y.Z</w:t>
      </w:r>
      <w:r>
        <w:rPr>
          <w:sz w:val="24"/>
        </w:rPr>
        <w:t xml:space="preserve">. Retrieved March 17, 2015, from </w:t>
      </w:r>
      <w:r>
        <w:rPr>
          <w:sz w:val="24"/>
          <w:u w:val="single"/>
        </w:rPr>
        <w:t>http://www.seai.ie/showImage.aspx?imgUrl=/uploadedfiles/EPBD/ Non%20domestic%20BER%20web.jpg</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pStyle w:val="BodyText"/>
        <w:spacing w:before="54" w:line="360" w:lineRule="auto"/>
        <w:ind w:left="1124" w:right="115" w:hanging="540"/>
        <w:jc w:val="both"/>
      </w:pPr>
      <w:proofErr w:type="gramStart"/>
      <w:r>
        <w:rPr>
          <w:spacing w:val="-3"/>
        </w:rPr>
        <w:lastRenderedPageBreak/>
        <w:t>seai</w:t>
      </w:r>
      <w:proofErr w:type="gramEnd"/>
      <w:r>
        <w:rPr>
          <w:spacing w:val="-3"/>
        </w:rPr>
        <w:t xml:space="preserve">. (n.d.c). </w:t>
      </w:r>
      <w:r>
        <w:t xml:space="preserve">Energy </w:t>
      </w:r>
      <w:r>
        <w:rPr>
          <w:spacing w:val="-3"/>
        </w:rPr>
        <w:t xml:space="preserve">Consumption </w:t>
      </w:r>
      <w:r>
        <w:t xml:space="preserve">Calculator. </w:t>
      </w:r>
      <w:r>
        <w:rPr>
          <w:spacing w:val="-3"/>
        </w:rPr>
        <w:t xml:space="preserve">Retrieved </w:t>
      </w:r>
      <w:r>
        <w:t xml:space="preserve">April 25, </w:t>
      </w:r>
      <w:r>
        <w:rPr>
          <w:spacing w:val="-3"/>
        </w:rPr>
        <w:t xml:space="preserve">2015, from </w:t>
      </w:r>
      <w:hyperlink r:id="rId136">
        <w:r>
          <w:rPr>
            <w:spacing w:val="-3"/>
            <w:u w:val="single"/>
          </w:rPr>
          <w:t>http://www.seai.ie/Your_Business/Public_Sector/Reporting/AnnualReport/ Energy_</w:t>
        </w:r>
      </w:hyperlink>
      <w:r>
        <w:rPr>
          <w:spacing w:val="-3"/>
          <w:u w:val="single"/>
        </w:rPr>
        <w:t xml:space="preserve"> </w:t>
      </w:r>
      <w:hyperlink r:id="rId137">
        <w:r>
          <w:rPr>
            <w:spacing w:val="-3"/>
            <w:u w:val="single"/>
          </w:rPr>
          <w:t>Consumption_Calculation_Tool.xl</w:t>
        </w:r>
      </w:hyperlink>
      <w:r>
        <w:rPr>
          <w:spacing w:val="-3"/>
        </w:rPr>
        <w:t>s</w:t>
      </w:r>
    </w:p>
    <w:p w:rsidR="00F3177F" w:rsidRDefault="00F3177F">
      <w:pPr>
        <w:pStyle w:val="BodyText"/>
        <w:rPr>
          <w:sz w:val="20"/>
        </w:rPr>
      </w:pPr>
    </w:p>
    <w:p w:rsidR="00F3177F" w:rsidRDefault="0089671D">
      <w:pPr>
        <w:spacing w:before="189" w:line="360" w:lineRule="auto"/>
        <w:ind w:left="1124" w:right="113" w:hanging="540"/>
        <w:jc w:val="both"/>
        <w:rPr>
          <w:sz w:val="24"/>
        </w:rPr>
      </w:pPr>
      <w:r>
        <w:rPr>
          <w:spacing w:val="-3"/>
          <w:sz w:val="24"/>
        </w:rPr>
        <w:t xml:space="preserve">Seep, B., </w:t>
      </w:r>
      <w:r>
        <w:rPr>
          <w:sz w:val="24"/>
        </w:rPr>
        <w:t xml:space="preserve">Glosemeyer, R., </w:t>
      </w:r>
      <w:r>
        <w:rPr>
          <w:spacing w:val="-3"/>
          <w:sz w:val="24"/>
        </w:rPr>
        <w:t xml:space="preserve">Hulce, </w:t>
      </w:r>
      <w:r>
        <w:rPr>
          <w:sz w:val="24"/>
        </w:rPr>
        <w:t xml:space="preserve">E., </w:t>
      </w:r>
      <w:r>
        <w:rPr>
          <w:spacing w:val="-3"/>
          <w:sz w:val="24"/>
        </w:rPr>
        <w:t xml:space="preserve">Linn, </w:t>
      </w:r>
      <w:r>
        <w:rPr>
          <w:sz w:val="24"/>
        </w:rPr>
        <w:t xml:space="preserve">M., &amp; </w:t>
      </w:r>
      <w:r>
        <w:rPr>
          <w:spacing w:val="-3"/>
          <w:sz w:val="24"/>
        </w:rPr>
        <w:t xml:space="preserve">Aytar, </w:t>
      </w:r>
      <w:r>
        <w:rPr>
          <w:sz w:val="24"/>
        </w:rPr>
        <w:t xml:space="preserve">P. </w:t>
      </w:r>
      <w:r>
        <w:rPr>
          <w:spacing w:val="-3"/>
          <w:sz w:val="24"/>
        </w:rPr>
        <w:t xml:space="preserve">(2000). </w:t>
      </w:r>
      <w:r>
        <w:rPr>
          <w:i/>
          <w:spacing w:val="-3"/>
          <w:sz w:val="24"/>
        </w:rPr>
        <w:t xml:space="preserve">Classroom acoustics: </w:t>
      </w:r>
      <w:r>
        <w:rPr>
          <w:i/>
          <w:sz w:val="24"/>
        </w:rPr>
        <w:t xml:space="preserve">A </w:t>
      </w:r>
      <w:r>
        <w:rPr>
          <w:i/>
          <w:spacing w:val="-3"/>
          <w:sz w:val="24"/>
        </w:rPr>
        <w:t xml:space="preserve">resource </w:t>
      </w:r>
      <w:r>
        <w:rPr>
          <w:i/>
          <w:sz w:val="24"/>
        </w:rPr>
        <w:t xml:space="preserve">for </w:t>
      </w:r>
      <w:r>
        <w:rPr>
          <w:i/>
          <w:spacing w:val="-3"/>
          <w:sz w:val="24"/>
        </w:rPr>
        <w:t xml:space="preserve">creating learning environments </w:t>
      </w:r>
      <w:r>
        <w:rPr>
          <w:i/>
          <w:sz w:val="24"/>
        </w:rPr>
        <w:t xml:space="preserve">with </w:t>
      </w:r>
      <w:r>
        <w:rPr>
          <w:i/>
          <w:spacing w:val="-3"/>
          <w:sz w:val="24"/>
        </w:rPr>
        <w:t xml:space="preserve">desirable </w:t>
      </w:r>
      <w:r>
        <w:rPr>
          <w:i/>
          <w:sz w:val="24"/>
        </w:rPr>
        <w:t>listening conditions</w:t>
      </w:r>
      <w:r>
        <w:rPr>
          <w:sz w:val="24"/>
        </w:rPr>
        <w:t xml:space="preserve">. </w:t>
      </w:r>
      <w:r>
        <w:rPr>
          <w:spacing w:val="-3"/>
          <w:sz w:val="24"/>
        </w:rPr>
        <w:t xml:space="preserve">Melville, </w:t>
      </w:r>
      <w:r>
        <w:rPr>
          <w:sz w:val="24"/>
        </w:rPr>
        <w:t xml:space="preserve">NY: </w:t>
      </w:r>
      <w:r>
        <w:rPr>
          <w:spacing w:val="-3"/>
          <w:sz w:val="24"/>
        </w:rPr>
        <w:t xml:space="preserve">Acoustical </w:t>
      </w:r>
      <w:r>
        <w:rPr>
          <w:sz w:val="24"/>
        </w:rPr>
        <w:t>Society of America. (</w:t>
      </w:r>
      <w:proofErr w:type="gramStart"/>
      <w:r>
        <w:rPr>
          <w:sz w:val="24"/>
        </w:rPr>
        <w:t>as</w:t>
      </w:r>
      <w:proofErr w:type="gramEnd"/>
      <w:r>
        <w:rPr>
          <w:sz w:val="24"/>
        </w:rPr>
        <w:t xml:space="preserve"> in “CISCA. (2009). </w:t>
      </w:r>
      <w:r>
        <w:rPr>
          <w:spacing w:val="-3"/>
          <w:sz w:val="24"/>
        </w:rPr>
        <w:t xml:space="preserve">Acoustics </w:t>
      </w:r>
      <w:r>
        <w:rPr>
          <w:sz w:val="24"/>
        </w:rPr>
        <w:t xml:space="preserve">in </w:t>
      </w:r>
      <w:r>
        <w:rPr>
          <w:spacing w:val="-3"/>
          <w:sz w:val="24"/>
        </w:rPr>
        <w:t xml:space="preserve">Schools Prepared </w:t>
      </w:r>
      <w:r>
        <w:rPr>
          <w:sz w:val="24"/>
        </w:rPr>
        <w:t xml:space="preserve">by the </w:t>
      </w:r>
      <w:r>
        <w:rPr>
          <w:spacing w:val="-3"/>
          <w:sz w:val="24"/>
        </w:rPr>
        <w:t xml:space="preserve">InformeDesign® </w:t>
      </w:r>
      <w:r>
        <w:rPr>
          <w:sz w:val="24"/>
        </w:rPr>
        <w:t xml:space="preserve">Research Desk, University of </w:t>
      </w:r>
      <w:r>
        <w:rPr>
          <w:spacing w:val="-2"/>
          <w:sz w:val="24"/>
        </w:rPr>
        <w:t xml:space="preserve">Minnesota, </w:t>
      </w:r>
      <w:r>
        <w:rPr>
          <w:spacing w:val="-3"/>
          <w:sz w:val="24"/>
        </w:rPr>
        <w:t xml:space="preserve">Minnesota, </w:t>
      </w:r>
      <w:r>
        <w:rPr>
          <w:sz w:val="24"/>
        </w:rPr>
        <w:t xml:space="preserve">USA: CISCA. </w:t>
      </w:r>
      <w:proofErr w:type="gramStart"/>
      <w:r>
        <w:rPr>
          <w:sz w:val="24"/>
        </w:rPr>
        <w:t>p</w:t>
      </w:r>
      <w:proofErr w:type="gramEnd"/>
      <w:r>
        <w:rPr>
          <w:sz w:val="24"/>
        </w:rPr>
        <w:t>. 3”)</w:t>
      </w:r>
    </w:p>
    <w:p w:rsidR="00F3177F" w:rsidRDefault="00F3177F">
      <w:pPr>
        <w:pStyle w:val="BodyText"/>
      </w:pPr>
    </w:p>
    <w:p w:rsidR="00F3177F" w:rsidRDefault="0089671D">
      <w:pPr>
        <w:pStyle w:val="BodyText"/>
        <w:spacing w:before="143" w:line="360" w:lineRule="auto"/>
        <w:ind w:left="1124" w:right="116" w:hanging="540"/>
        <w:jc w:val="both"/>
      </w:pPr>
      <w:r>
        <w:t xml:space="preserve">Sekki, T., Airaksinen, M., &amp; Saari, A. (2015). Measured energy consumption of educational buildings in a Finnish city. </w:t>
      </w:r>
      <w:r>
        <w:rPr>
          <w:i/>
        </w:rPr>
        <w:t xml:space="preserve">Energy and Buildings, 87, </w:t>
      </w:r>
      <w:r>
        <w:t>105-115.</w:t>
      </w:r>
    </w:p>
    <w:p w:rsidR="00F3177F" w:rsidRDefault="00F3177F">
      <w:pPr>
        <w:pStyle w:val="BodyText"/>
      </w:pPr>
    </w:p>
    <w:p w:rsidR="00F3177F" w:rsidRDefault="0089671D">
      <w:pPr>
        <w:spacing w:before="143" w:line="360" w:lineRule="auto"/>
        <w:ind w:left="1124" w:right="113" w:hanging="540"/>
        <w:jc w:val="both"/>
        <w:rPr>
          <w:sz w:val="24"/>
        </w:rPr>
      </w:pPr>
      <w:r>
        <w:rPr>
          <w:sz w:val="24"/>
        </w:rPr>
        <w:t xml:space="preserve">Shaikh, PH., Mohd.Nor, NB., Nallagownden, P., &amp; Elamvazuthi, I. (2013). Building energy management through a distributed fuzzy inference system. </w:t>
      </w:r>
      <w:r>
        <w:rPr>
          <w:i/>
          <w:sz w:val="24"/>
        </w:rPr>
        <w:t xml:space="preserve">International Journal English and Technology (IJET), 5 </w:t>
      </w:r>
      <w:r>
        <w:rPr>
          <w:sz w:val="24"/>
        </w:rPr>
        <w:t>(4), 3236-3242.</w:t>
      </w:r>
    </w:p>
    <w:p w:rsidR="00F3177F" w:rsidRDefault="00F3177F">
      <w:pPr>
        <w:pStyle w:val="BodyText"/>
      </w:pPr>
    </w:p>
    <w:p w:rsidR="00F3177F" w:rsidRDefault="0089671D">
      <w:pPr>
        <w:spacing w:before="143" w:line="360" w:lineRule="auto"/>
        <w:ind w:left="1124" w:right="115" w:hanging="540"/>
        <w:jc w:val="both"/>
        <w:rPr>
          <w:sz w:val="24"/>
        </w:rPr>
      </w:pPr>
      <w:r>
        <w:rPr>
          <w:spacing w:val="-3"/>
          <w:sz w:val="24"/>
        </w:rPr>
        <w:t xml:space="preserve">Shapiro, </w:t>
      </w:r>
      <w:r>
        <w:rPr>
          <w:sz w:val="24"/>
        </w:rPr>
        <w:t xml:space="preserve">M., Roth, D., &amp; </w:t>
      </w:r>
      <w:r>
        <w:rPr>
          <w:spacing w:val="-3"/>
          <w:sz w:val="24"/>
        </w:rPr>
        <w:t xml:space="preserve">Marcus, </w:t>
      </w:r>
      <w:r>
        <w:rPr>
          <w:sz w:val="24"/>
        </w:rPr>
        <w:t xml:space="preserve">A. </w:t>
      </w:r>
      <w:r>
        <w:rPr>
          <w:spacing w:val="-3"/>
          <w:sz w:val="24"/>
        </w:rPr>
        <w:t xml:space="preserve">(2001). </w:t>
      </w:r>
      <w:r>
        <w:rPr>
          <w:sz w:val="24"/>
        </w:rPr>
        <w:t xml:space="preserve">The </w:t>
      </w:r>
      <w:r>
        <w:rPr>
          <w:spacing w:val="-3"/>
          <w:sz w:val="24"/>
        </w:rPr>
        <w:t xml:space="preserve">effect </w:t>
      </w:r>
      <w:r>
        <w:rPr>
          <w:sz w:val="24"/>
        </w:rPr>
        <w:t xml:space="preserve">of lighting on the behavior of </w:t>
      </w:r>
      <w:r>
        <w:rPr>
          <w:spacing w:val="-3"/>
          <w:sz w:val="24"/>
        </w:rPr>
        <w:t xml:space="preserve">children </w:t>
      </w:r>
      <w:r>
        <w:rPr>
          <w:sz w:val="24"/>
        </w:rPr>
        <w:t xml:space="preserve">who are </w:t>
      </w:r>
      <w:r>
        <w:rPr>
          <w:spacing w:val="-3"/>
          <w:sz w:val="24"/>
        </w:rPr>
        <w:t xml:space="preserve">developmentally disabled. </w:t>
      </w:r>
      <w:r>
        <w:rPr>
          <w:i/>
          <w:sz w:val="24"/>
        </w:rPr>
        <w:t xml:space="preserve">Journal of </w:t>
      </w:r>
      <w:r>
        <w:rPr>
          <w:i/>
          <w:spacing w:val="-3"/>
          <w:sz w:val="24"/>
        </w:rPr>
        <w:t xml:space="preserve">International </w:t>
      </w:r>
      <w:r>
        <w:rPr>
          <w:i/>
          <w:sz w:val="24"/>
        </w:rPr>
        <w:t xml:space="preserve">Special Needs </w:t>
      </w:r>
      <w:r>
        <w:rPr>
          <w:i/>
          <w:spacing w:val="-3"/>
          <w:sz w:val="24"/>
        </w:rPr>
        <w:t>Education</w:t>
      </w:r>
      <w:r>
        <w:rPr>
          <w:spacing w:val="-3"/>
          <w:sz w:val="24"/>
        </w:rPr>
        <w:t xml:space="preserve">, </w:t>
      </w:r>
      <w:r>
        <w:rPr>
          <w:i/>
          <w:sz w:val="24"/>
        </w:rPr>
        <w:t xml:space="preserve">4, </w:t>
      </w:r>
      <w:r>
        <w:rPr>
          <w:spacing w:val="-3"/>
          <w:sz w:val="24"/>
        </w:rPr>
        <w:t>19-23.</w:t>
      </w:r>
    </w:p>
    <w:p w:rsidR="00F3177F" w:rsidRDefault="00F3177F">
      <w:pPr>
        <w:pStyle w:val="BodyText"/>
      </w:pPr>
    </w:p>
    <w:p w:rsidR="00F3177F" w:rsidRDefault="0089671D">
      <w:pPr>
        <w:spacing w:before="143" w:line="360" w:lineRule="auto"/>
        <w:ind w:left="1124" w:right="114" w:hanging="540"/>
        <w:jc w:val="both"/>
        <w:rPr>
          <w:sz w:val="24"/>
        </w:rPr>
      </w:pPr>
      <w:r>
        <w:rPr>
          <w:spacing w:val="-3"/>
          <w:sz w:val="24"/>
        </w:rPr>
        <w:t xml:space="preserve">Sharp, </w:t>
      </w:r>
      <w:r>
        <w:rPr>
          <w:sz w:val="24"/>
        </w:rPr>
        <w:t xml:space="preserve">T. </w:t>
      </w:r>
      <w:r>
        <w:rPr>
          <w:spacing w:val="-3"/>
          <w:sz w:val="24"/>
        </w:rPr>
        <w:t xml:space="preserve">(1998). Benchmarking </w:t>
      </w:r>
      <w:r>
        <w:rPr>
          <w:sz w:val="24"/>
        </w:rPr>
        <w:t xml:space="preserve">energy use in schools. </w:t>
      </w:r>
      <w:r>
        <w:rPr>
          <w:spacing w:val="-3"/>
          <w:sz w:val="24"/>
        </w:rPr>
        <w:t xml:space="preserve">In </w:t>
      </w:r>
      <w:r>
        <w:rPr>
          <w:i/>
          <w:spacing w:val="-3"/>
          <w:sz w:val="24"/>
        </w:rPr>
        <w:t xml:space="preserve">Proceedings </w:t>
      </w:r>
      <w:r>
        <w:rPr>
          <w:i/>
          <w:sz w:val="24"/>
        </w:rPr>
        <w:t xml:space="preserve">of the American </w:t>
      </w:r>
      <w:r>
        <w:rPr>
          <w:i/>
          <w:spacing w:val="-3"/>
          <w:sz w:val="24"/>
        </w:rPr>
        <w:t xml:space="preserve">Council </w:t>
      </w:r>
      <w:r>
        <w:rPr>
          <w:i/>
          <w:sz w:val="24"/>
        </w:rPr>
        <w:t xml:space="preserve">for an </w:t>
      </w:r>
      <w:r>
        <w:rPr>
          <w:i/>
          <w:spacing w:val="-3"/>
          <w:sz w:val="24"/>
        </w:rPr>
        <w:t xml:space="preserve">Energy Efficient </w:t>
      </w:r>
      <w:r>
        <w:rPr>
          <w:i/>
          <w:sz w:val="24"/>
        </w:rPr>
        <w:t xml:space="preserve">Economy (ACEEE) </w:t>
      </w:r>
      <w:r>
        <w:rPr>
          <w:i/>
          <w:spacing w:val="-3"/>
          <w:sz w:val="24"/>
        </w:rPr>
        <w:t xml:space="preserve">1998 </w:t>
      </w:r>
      <w:r>
        <w:rPr>
          <w:i/>
          <w:sz w:val="24"/>
        </w:rPr>
        <w:t xml:space="preserve">Summer Study on </w:t>
      </w:r>
      <w:r>
        <w:rPr>
          <w:i/>
          <w:spacing w:val="-3"/>
          <w:sz w:val="24"/>
        </w:rPr>
        <w:t xml:space="preserve">Energy Efficiency </w:t>
      </w:r>
      <w:r>
        <w:rPr>
          <w:i/>
          <w:sz w:val="24"/>
        </w:rPr>
        <w:t xml:space="preserve">in Buildings </w:t>
      </w:r>
      <w:r>
        <w:rPr>
          <w:sz w:val="24"/>
        </w:rPr>
        <w:t xml:space="preserve">(p. </w:t>
      </w:r>
      <w:r>
        <w:rPr>
          <w:spacing w:val="-3"/>
          <w:sz w:val="24"/>
        </w:rPr>
        <w:t xml:space="preserve">305-316). </w:t>
      </w:r>
      <w:r>
        <w:rPr>
          <w:sz w:val="24"/>
        </w:rPr>
        <w:t xml:space="preserve">Pacific </w:t>
      </w:r>
      <w:r>
        <w:rPr>
          <w:spacing w:val="-3"/>
          <w:sz w:val="24"/>
        </w:rPr>
        <w:t xml:space="preserve">Grove, </w:t>
      </w:r>
      <w:r>
        <w:rPr>
          <w:sz w:val="24"/>
        </w:rPr>
        <w:t xml:space="preserve">CA: </w:t>
      </w:r>
      <w:r>
        <w:rPr>
          <w:spacing w:val="-3"/>
          <w:sz w:val="24"/>
        </w:rPr>
        <w:t>ACEEE</w:t>
      </w:r>
    </w:p>
    <w:p w:rsidR="00F3177F" w:rsidRDefault="00F3177F">
      <w:pPr>
        <w:pStyle w:val="BodyText"/>
      </w:pPr>
    </w:p>
    <w:p w:rsidR="00F3177F" w:rsidRDefault="0089671D">
      <w:pPr>
        <w:spacing w:before="143"/>
        <w:ind w:left="584" w:right="-16"/>
        <w:rPr>
          <w:sz w:val="24"/>
        </w:rPr>
      </w:pPr>
      <w:r>
        <w:rPr>
          <w:sz w:val="24"/>
        </w:rPr>
        <w:t xml:space="preserve">Smil, V. </w:t>
      </w:r>
      <w:r>
        <w:rPr>
          <w:spacing w:val="-3"/>
          <w:sz w:val="24"/>
        </w:rPr>
        <w:t>(1994</w:t>
      </w:r>
      <w:r>
        <w:rPr>
          <w:i/>
          <w:spacing w:val="-3"/>
          <w:sz w:val="24"/>
        </w:rPr>
        <w:t xml:space="preserve">). Energy </w:t>
      </w:r>
      <w:r>
        <w:rPr>
          <w:i/>
          <w:sz w:val="24"/>
        </w:rPr>
        <w:t xml:space="preserve">in </w:t>
      </w:r>
      <w:r>
        <w:rPr>
          <w:i/>
          <w:spacing w:val="-3"/>
          <w:sz w:val="24"/>
        </w:rPr>
        <w:t xml:space="preserve">World </w:t>
      </w:r>
      <w:r>
        <w:rPr>
          <w:i/>
          <w:sz w:val="24"/>
        </w:rPr>
        <w:t>History</w:t>
      </w:r>
      <w:r>
        <w:rPr>
          <w:sz w:val="24"/>
        </w:rPr>
        <w:t xml:space="preserve">. Boulder, </w:t>
      </w:r>
      <w:r>
        <w:rPr>
          <w:spacing w:val="-3"/>
          <w:sz w:val="24"/>
        </w:rPr>
        <w:t xml:space="preserve">Colorado: </w:t>
      </w:r>
      <w:r>
        <w:rPr>
          <w:sz w:val="24"/>
        </w:rPr>
        <w:t xml:space="preserve">Westview Press. (p. </w:t>
      </w:r>
      <w:r>
        <w:rPr>
          <w:spacing w:val="-3"/>
          <w:sz w:val="24"/>
        </w:rPr>
        <w:t>2-187)</w:t>
      </w:r>
    </w:p>
    <w:p w:rsidR="00F3177F" w:rsidRDefault="00F3177F">
      <w:pPr>
        <w:pStyle w:val="BodyText"/>
      </w:pPr>
    </w:p>
    <w:p w:rsidR="00F3177F" w:rsidRDefault="00F3177F">
      <w:pPr>
        <w:pStyle w:val="BodyText"/>
      </w:pPr>
    </w:p>
    <w:p w:rsidR="00F3177F" w:rsidRDefault="0089671D">
      <w:pPr>
        <w:pStyle w:val="BodyText"/>
        <w:spacing w:line="360" w:lineRule="auto"/>
        <w:ind w:left="1124" w:right="113" w:hanging="540"/>
        <w:jc w:val="both"/>
      </w:pPr>
      <w:r>
        <w:rPr>
          <w:spacing w:val="-2"/>
        </w:rPr>
        <w:t xml:space="preserve">Sri </w:t>
      </w:r>
      <w:r>
        <w:rPr>
          <w:spacing w:val="-3"/>
        </w:rPr>
        <w:t xml:space="preserve">Lanka Sustainable </w:t>
      </w:r>
      <w:r>
        <w:t xml:space="preserve">Energy </w:t>
      </w:r>
      <w:r>
        <w:rPr>
          <w:spacing w:val="-3"/>
        </w:rPr>
        <w:t xml:space="preserve">Authority. (2012). Guideline </w:t>
      </w:r>
      <w:proofErr w:type="gramStart"/>
      <w:r>
        <w:t>For</w:t>
      </w:r>
      <w:proofErr w:type="gramEnd"/>
      <w:r>
        <w:t xml:space="preserve"> Application </w:t>
      </w:r>
      <w:r>
        <w:rPr>
          <w:spacing w:val="-3"/>
        </w:rPr>
        <w:t xml:space="preserve">For </w:t>
      </w:r>
      <w:r>
        <w:t xml:space="preserve">Energy </w:t>
      </w:r>
      <w:r>
        <w:rPr>
          <w:spacing w:val="-3"/>
        </w:rPr>
        <w:t xml:space="preserve">Manager      </w:t>
      </w:r>
      <w:r>
        <w:t xml:space="preserve">Accreditation.     (p.     </w:t>
      </w:r>
      <w:r>
        <w:rPr>
          <w:spacing w:val="-3"/>
        </w:rPr>
        <w:t xml:space="preserve">1).      Retrieved      April      </w:t>
      </w:r>
      <w:r>
        <w:t xml:space="preserve">23,     2015,    </w:t>
      </w:r>
      <w:r>
        <w:rPr>
          <w:spacing w:val="-3"/>
        </w:rPr>
        <w:t>from</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CA6556">
      <w:pPr>
        <w:pStyle w:val="BodyText"/>
        <w:spacing w:before="54"/>
        <w:ind w:left="1124" w:right="65"/>
      </w:pPr>
      <w:hyperlink r:id="rId138">
        <w:r w:rsidR="0089671D">
          <w:t>http://www.energy.gov.lk/sites/default/files/files/Guideline%20for%20Application</w:t>
        </w:r>
      </w:hyperlink>
    </w:p>
    <w:p w:rsidR="00DB701D" w:rsidRDefault="0089671D" w:rsidP="00DB701D">
      <w:pPr>
        <w:pStyle w:val="BodyText"/>
        <w:spacing w:before="137"/>
        <w:ind w:left="1124" w:right="65"/>
      </w:pPr>
      <w:r>
        <w:t>%20for%20Energy%20Manager%20Accreditation.pdf</w:t>
      </w:r>
    </w:p>
    <w:p w:rsidR="00DB701D" w:rsidRDefault="00DB701D" w:rsidP="00DB701D">
      <w:pPr>
        <w:pStyle w:val="BodyText"/>
        <w:spacing w:before="137"/>
        <w:ind w:left="1124" w:right="65"/>
      </w:pPr>
    </w:p>
    <w:p w:rsidR="00F3177F" w:rsidRDefault="0089671D" w:rsidP="00DB701D">
      <w:pPr>
        <w:pStyle w:val="BodyText"/>
        <w:spacing w:before="137"/>
        <w:ind w:left="1124" w:right="20" w:hanging="584"/>
      </w:pPr>
      <w:r>
        <w:t xml:space="preserve">Stanley, N. (1957). </w:t>
      </w:r>
      <w:r>
        <w:rPr>
          <w:i/>
        </w:rPr>
        <w:t>Purpose in the Curriculum</w:t>
      </w:r>
      <w:r>
        <w:t>. London, UK: University of London Press.</w:t>
      </w:r>
    </w:p>
    <w:p w:rsidR="00F3177F" w:rsidRDefault="00F3177F">
      <w:pPr>
        <w:pStyle w:val="BodyText"/>
      </w:pPr>
    </w:p>
    <w:p w:rsidR="00F3177F" w:rsidRDefault="00F3177F">
      <w:pPr>
        <w:pStyle w:val="BodyText"/>
      </w:pPr>
    </w:p>
    <w:p w:rsidR="00F3177F" w:rsidRDefault="0089671D">
      <w:pPr>
        <w:spacing w:line="360" w:lineRule="auto"/>
        <w:ind w:left="1124" w:right="114" w:hanging="540"/>
        <w:jc w:val="both"/>
        <w:rPr>
          <w:sz w:val="24"/>
        </w:rPr>
      </w:pPr>
      <w:r>
        <w:rPr>
          <w:sz w:val="24"/>
        </w:rPr>
        <w:t xml:space="preserve">Stimmel, J., &amp; Gohs, J. </w:t>
      </w:r>
      <w:r>
        <w:rPr>
          <w:spacing w:val="-3"/>
          <w:sz w:val="24"/>
        </w:rPr>
        <w:t xml:space="preserve">(2008). </w:t>
      </w:r>
      <w:r>
        <w:rPr>
          <w:sz w:val="24"/>
        </w:rPr>
        <w:t xml:space="preserve">Scoring our </w:t>
      </w:r>
      <w:r>
        <w:rPr>
          <w:spacing w:val="-3"/>
          <w:sz w:val="24"/>
        </w:rPr>
        <w:t>schools: program implementation</w:t>
      </w:r>
      <w:r>
        <w:rPr>
          <w:spacing w:val="54"/>
          <w:sz w:val="24"/>
        </w:rPr>
        <w:t xml:space="preserve"> </w:t>
      </w:r>
      <w:r>
        <w:rPr>
          <w:spacing w:val="-3"/>
          <w:sz w:val="24"/>
        </w:rPr>
        <w:t xml:space="preserve">lessonslearned </w:t>
      </w:r>
      <w:r>
        <w:rPr>
          <w:sz w:val="24"/>
        </w:rPr>
        <w:t xml:space="preserve">from </w:t>
      </w:r>
      <w:r>
        <w:rPr>
          <w:spacing w:val="-3"/>
          <w:sz w:val="24"/>
        </w:rPr>
        <w:t xml:space="preserve">benchmarking </w:t>
      </w:r>
      <w:r>
        <w:rPr>
          <w:sz w:val="24"/>
        </w:rPr>
        <w:t xml:space="preserve">over 1,775 schools for </w:t>
      </w:r>
      <w:r>
        <w:rPr>
          <w:spacing w:val="-3"/>
          <w:sz w:val="24"/>
        </w:rPr>
        <w:t xml:space="preserve">seven utilities. In: </w:t>
      </w:r>
      <w:r>
        <w:rPr>
          <w:i/>
          <w:spacing w:val="-3"/>
          <w:sz w:val="24"/>
        </w:rPr>
        <w:t xml:space="preserve">2008 ACEEE </w:t>
      </w:r>
      <w:r>
        <w:rPr>
          <w:i/>
          <w:sz w:val="24"/>
        </w:rPr>
        <w:t xml:space="preserve">summer </w:t>
      </w:r>
      <w:r>
        <w:rPr>
          <w:i/>
          <w:spacing w:val="-3"/>
          <w:sz w:val="24"/>
        </w:rPr>
        <w:t xml:space="preserve">study </w:t>
      </w:r>
      <w:r>
        <w:rPr>
          <w:i/>
          <w:sz w:val="24"/>
        </w:rPr>
        <w:t xml:space="preserve">on </w:t>
      </w:r>
      <w:r>
        <w:rPr>
          <w:i/>
          <w:spacing w:val="-3"/>
          <w:sz w:val="24"/>
        </w:rPr>
        <w:t xml:space="preserve">energy efficiency </w:t>
      </w:r>
      <w:r>
        <w:rPr>
          <w:i/>
          <w:sz w:val="24"/>
        </w:rPr>
        <w:t xml:space="preserve">in </w:t>
      </w:r>
      <w:r>
        <w:rPr>
          <w:i/>
          <w:spacing w:val="-2"/>
          <w:sz w:val="24"/>
        </w:rPr>
        <w:t xml:space="preserve">buildings </w:t>
      </w:r>
      <w:r>
        <w:rPr>
          <w:spacing w:val="-3"/>
          <w:sz w:val="24"/>
        </w:rPr>
        <w:t xml:space="preserve">(p. 292–304). </w:t>
      </w:r>
      <w:r>
        <w:rPr>
          <w:sz w:val="24"/>
        </w:rPr>
        <w:t xml:space="preserve">Texas, USA: </w:t>
      </w:r>
      <w:r>
        <w:rPr>
          <w:spacing w:val="-3"/>
          <w:sz w:val="24"/>
        </w:rPr>
        <w:t xml:space="preserve">CLEAResult Consulting, </w:t>
      </w:r>
      <w:r>
        <w:rPr>
          <w:sz w:val="24"/>
        </w:rPr>
        <w:t>Inc</w:t>
      </w:r>
    </w:p>
    <w:p w:rsidR="00F3177F" w:rsidRDefault="00F3177F">
      <w:pPr>
        <w:pStyle w:val="BodyText"/>
      </w:pPr>
    </w:p>
    <w:p w:rsidR="00F3177F" w:rsidRDefault="0089671D">
      <w:pPr>
        <w:pStyle w:val="BodyText"/>
        <w:spacing w:before="143" w:line="360" w:lineRule="auto"/>
        <w:ind w:left="1124" w:right="113" w:hanging="540"/>
        <w:jc w:val="both"/>
      </w:pPr>
      <w:r>
        <w:t xml:space="preserve">Szalay, Z., &amp; Zöld, A. (2014, November). Definition of nearly zero-energy building requirements based on a large building sample. </w:t>
      </w:r>
      <w:r>
        <w:rPr>
          <w:i/>
        </w:rPr>
        <w:t>Energy Policy 74</w:t>
      </w:r>
      <w:r>
        <w:t>, p. 510-521.</w:t>
      </w:r>
    </w:p>
    <w:p w:rsidR="00F3177F" w:rsidRDefault="00F3177F">
      <w:pPr>
        <w:pStyle w:val="BodyText"/>
      </w:pPr>
    </w:p>
    <w:p w:rsidR="00F3177F" w:rsidRDefault="0089671D">
      <w:pPr>
        <w:spacing w:before="143" w:line="360" w:lineRule="auto"/>
        <w:ind w:left="1124" w:right="65" w:hanging="540"/>
        <w:rPr>
          <w:sz w:val="24"/>
        </w:rPr>
      </w:pPr>
      <w:r>
        <w:rPr>
          <w:spacing w:val="-3"/>
          <w:sz w:val="24"/>
        </w:rPr>
        <w:t xml:space="preserve">Szokolay, </w:t>
      </w:r>
      <w:r>
        <w:rPr>
          <w:sz w:val="24"/>
        </w:rPr>
        <w:t xml:space="preserve">S.V. </w:t>
      </w:r>
      <w:r>
        <w:rPr>
          <w:spacing w:val="-3"/>
          <w:sz w:val="24"/>
        </w:rPr>
        <w:t xml:space="preserve">(2010). </w:t>
      </w:r>
      <w:r>
        <w:rPr>
          <w:i/>
          <w:spacing w:val="-3"/>
          <w:sz w:val="24"/>
        </w:rPr>
        <w:t xml:space="preserve">Introduction </w:t>
      </w:r>
      <w:r>
        <w:rPr>
          <w:i/>
          <w:sz w:val="24"/>
        </w:rPr>
        <w:t xml:space="preserve">to </w:t>
      </w:r>
      <w:r>
        <w:rPr>
          <w:i/>
          <w:spacing w:val="-3"/>
          <w:sz w:val="24"/>
        </w:rPr>
        <w:t xml:space="preserve">Architectural Science: </w:t>
      </w:r>
      <w:r>
        <w:rPr>
          <w:i/>
          <w:sz w:val="24"/>
        </w:rPr>
        <w:t xml:space="preserve">The Basis of </w:t>
      </w:r>
      <w:r>
        <w:rPr>
          <w:i/>
          <w:spacing w:val="-3"/>
          <w:sz w:val="24"/>
        </w:rPr>
        <w:t xml:space="preserve">Sustainable Design </w:t>
      </w:r>
      <w:r>
        <w:rPr>
          <w:spacing w:val="-3"/>
          <w:sz w:val="24"/>
        </w:rPr>
        <w:t xml:space="preserve">(2nd </w:t>
      </w:r>
      <w:proofErr w:type="gramStart"/>
      <w:r>
        <w:rPr>
          <w:spacing w:val="-3"/>
          <w:sz w:val="24"/>
        </w:rPr>
        <w:t>ed</w:t>
      </w:r>
      <w:proofErr w:type="gramEnd"/>
      <w:r>
        <w:rPr>
          <w:spacing w:val="-3"/>
          <w:sz w:val="24"/>
        </w:rPr>
        <w:t xml:space="preserve">.). Burlington, </w:t>
      </w:r>
      <w:r>
        <w:rPr>
          <w:sz w:val="24"/>
        </w:rPr>
        <w:t xml:space="preserve">USA: </w:t>
      </w:r>
      <w:r>
        <w:rPr>
          <w:spacing w:val="-3"/>
          <w:sz w:val="24"/>
        </w:rPr>
        <w:t xml:space="preserve">Architectural Press. </w:t>
      </w:r>
      <w:proofErr w:type="gramStart"/>
      <w:r>
        <w:rPr>
          <w:spacing w:val="-3"/>
          <w:sz w:val="24"/>
        </w:rPr>
        <w:t>p.16-22</w:t>
      </w:r>
      <w:proofErr w:type="gramEnd"/>
      <w:r>
        <w:rPr>
          <w:spacing w:val="-3"/>
          <w:sz w:val="24"/>
        </w:rPr>
        <w:t>.</w:t>
      </w:r>
    </w:p>
    <w:p w:rsidR="00F3177F" w:rsidRDefault="00F3177F">
      <w:pPr>
        <w:pStyle w:val="BodyText"/>
      </w:pPr>
    </w:p>
    <w:p w:rsidR="00F3177F" w:rsidRDefault="0089671D">
      <w:pPr>
        <w:pStyle w:val="BodyText"/>
        <w:spacing w:before="143" w:line="360" w:lineRule="auto"/>
        <w:ind w:left="1124" w:right="114" w:hanging="540"/>
        <w:jc w:val="both"/>
      </w:pPr>
      <w:r>
        <w:rPr>
          <w:spacing w:val="-3"/>
        </w:rPr>
        <w:t xml:space="preserve">Tae-Woo, </w:t>
      </w:r>
      <w:r>
        <w:t xml:space="preserve">K., Kang-Guk, </w:t>
      </w:r>
      <w:r>
        <w:rPr>
          <w:spacing w:val="-3"/>
        </w:rPr>
        <w:t xml:space="preserve">L., </w:t>
      </w:r>
      <w:r>
        <w:t xml:space="preserve">&amp; Won-Hwa, H. </w:t>
      </w:r>
      <w:r>
        <w:rPr>
          <w:spacing w:val="-3"/>
        </w:rPr>
        <w:t xml:space="preserve">(2012). </w:t>
      </w:r>
      <w:r>
        <w:t xml:space="preserve">Energy </w:t>
      </w:r>
      <w:r>
        <w:rPr>
          <w:spacing w:val="-3"/>
        </w:rPr>
        <w:t xml:space="preserve">consumption characteristics </w:t>
      </w:r>
      <w:r>
        <w:t xml:space="preserve">of the elementary </w:t>
      </w:r>
      <w:r>
        <w:rPr>
          <w:spacing w:val="-3"/>
        </w:rPr>
        <w:t xml:space="preserve">schools </w:t>
      </w:r>
      <w:r>
        <w:t xml:space="preserve">in South Korea. </w:t>
      </w:r>
      <w:r>
        <w:rPr>
          <w:i/>
        </w:rPr>
        <w:t>Energy and Buildings,</w:t>
      </w:r>
      <w:r>
        <w:rPr>
          <w:i/>
          <w:spacing w:val="-35"/>
        </w:rPr>
        <w:t xml:space="preserve"> </w:t>
      </w:r>
      <w:r>
        <w:rPr>
          <w:i/>
        </w:rPr>
        <w:t>54</w:t>
      </w:r>
      <w:r>
        <w:t xml:space="preserve">, </w:t>
      </w:r>
      <w:r>
        <w:rPr>
          <w:spacing w:val="-3"/>
        </w:rPr>
        <w:t>480-489.</w:t>
      </w:r>
    </w:p>
    <w:p w:rsidR="00F3177F" w:rsidRDefault="00F3177F">
      <w:pPr>
        <w:pStyle w:val="BodyText"/>
      </w:pPr>
    </w:p>
    <w:p w:rsidR="00F3177F" w:rsidRDefault="0089671D">
      <w:pPr>
        <w:pStyle w:val="BodyText"/>
        <w:spacing w:before="143" w:line="360" w:lineRule="auto"/>
        <w:ind w:left="1124" w:right="111" w:hanging="540"/>
        <w:jc w:val="both"/>
      </w:pPr>
      <w:r>
        <w:t xml:space="preserve">Thewes, A., Maas, S., Scholzen, F., Waldmann, D., &amp; Zürbes, A. (2014). Field study onthe energy consumption of school buildings in Luxembourg. </w:t>
      </w:r>
      <w:r>
        <w:rPr>
          <w:i/>
        </w:rPr>
        <w:t xml:space="preserve">Energy and Buildings, 68, </w:t>
      </w:r>
      <w:r>
        <w:t>460-470.</w:t>
      </w:r>
    </w:p>
    <w:p w:rsidR="00F3177F" w:rsidRDefault="00F3177F">
      <w:pPr>
        <w:pStyle w:val="BodyText"/>
      </w:pPr>
    </w:p>
    <w:p w:rsidR="00F3177F" w:rsidRDefault="0089671D">
      <w:pPr>
        <w:pStyle w:val="BodyText"/>
        <w:spacing w:before="143" w:line="360" w:lineRule="auto"/>
        <w:ind w:left="1124" w:right="117" w:hanging="540"/>
        <w:jc w:val="both"/>
      </w:pPr>
      <w:r>
        <w:rPr>
          <w:spacing w:val="-3"/>
        </w:rPr>
        <w:t xml:space="preserve">Theodosiou, </w:t>
      </w:r>
      <w:r>
        <w:t xml:space="preserve">T.G., &amp; </w:t>
      </w:r>
      <w:r>
        <w:rPr>
          <w:spacing w:val="-3"/>
        </w:rPr>
        <w:t xml:space="preserve">Ordoumpozanis, K.T. (2008). Energy, comfort </w:t>
      </w:r>
      <w:r>
        <w:t xml:space="preserve">and indoor </w:t>
      </w:r>
      <w:proofErr w:type="gramStart"/>
      <w:r>
        <w:rPr>
          <w:spacing w:val="-2"/>
        </w:rPr>
        <w:t xml:space="preserve">air  </w:t>
      </w:r>
      <w:r>
        <w:t>quality</w:t>
      </w:r>
      <w:proofErr w:type="gramEnd"/>
      <w:r>
        <w:t xml:space="preserve"> in nursery </w:t>
      </w:r>
      <w:r>
        <w:rPr>
          <w:spacing w:val="-3"/>
        </w:rPr>
        <w:t xml:space="preserve">and </w:t>
      </w:r>
      <w:r>
        <w:t xml:space="preserve">elementary </w:t>
      </w:r>
      <w:r>
        <w:rPr>
          <w:spacing w:val="-3"/>
        </w:rPr>
        <w:t xml:space="preserve">school </w:t>
      </w:r>
      <w:r>
        <w:t xml:space="preserve">buildings in the cold climatic zone of </w:t>
      </w:r>
      <w:r>
        <w:rPr>
          <w:spacing w:val="-3"/>
        </w:rPr>
        <w:t xml:space="preserve">Greece. </w:t>
      </w:r>
      <w:r>
        <w:rPr>
          <w:i/>
          <w:spacing w:val="-3"/>
        </w:rPr>
        <w:t xml:space="preserve">Energy </w:t>
      </w:r>
      <w:r>
        <w:rPr>
          <w:i/>
        </w:rPr>
        <w:t>and Buildings</w:t>
      </w:r>
      <w:r>
        <w:t xml:space="preserve">, </w:t>
      </w:r>
      <w:r>
        <w:rPr>
          <w:i/>
        </w:rPr>
        <w:t>40,</w:t>
      </w:r>
      <w:r>
        <w:rPr>
          <w:i/>
          <w:spacing w:val="-33"/>
        </w:rPr>
        <w:t xml:space="preserve"> </w:t>
      </w:r>
      <w:r>
        <w:rPr>
          <w:spacing w:val="-3"/>
        </w:rPr>
        <w:t>2207-2214.</w:t>
      </w:r>
    </w:p>
    <w:p w:rsidR="00F3177F" w:rsidRDefault="00F3177F">
      <w:pPr>
        <w:spacing w:line="360" w:lineRule="auto"/>
        <w:jc w:val="both"/>
        <w:sectPr w:rsidR="00F3177F">
          <w:pgSz w:w="12240" w:h="15840"/>
          <w:pgMar w:top="1380" w:right="1320" w:bottom="2320" w:left="1720" w:header="0" w:footer="2072" w:gutter="0"/>
          <w:cols w:space="720"/>
        </w:sectPr>
      </w:pPr>
    </w:p>
    <w:p w:rsidR="00F3177F" w:rsidRDefault="0089671D">
      <w:pPr>
        <w:spacing w:before="54" w:line="360" w:lineRule="auto"/>
        <w:ind w:left="1124" w:right="117" w:hanging="540"/>
        <w:jc w:val="both"/>
        <w:rPr>
          <w:sz w:val="24"/>
        </w:rPr>
      </w:pPr>
      <w:r>
        <w:rPr>
          <w:sz w:val="24"/>
        </w:rPr>
        <w:lastRenderedPageBreak/>
        <w:t xml:space="preserve">Todorovic, M. (2015, December). </w:t>
      </w:r>
      <w:r>
        <w:rPr>
          <w:i/>
          <w:sz w:val="24"/>
        </w:rPr>
        <w:t>Survey of Potential Energy Savings in the Building Sector in Serbia and Needed Investments</w:t>
      </w:r>
      <w:r>
        <w:rPr>
          <w:sz w:val="24"/>
        </w:rPr>
        <w:t>. Aristotle University, Thessaloniki, Greece: TEMPUS ENERESE.</w:t>
      </w:r>
    </w:p>
    <w:p w:rsidR="00F3177F" w:rsidRDefault="00F3177F">
      <w:pPr>
        <w:pStyle w:val="BodyText"/>
      </w:pPr>
    </w:p>
    <w:p w:rsidR="00F3177F" w:rsidRDefault="0089671D">
      <w:pPr>
        <w:tabs>
          <w:tab w:val="left" w:pos="2374"/>
          <w:tab w:val="left" w:pos="3138"/>
          <w:tab w:val="left" w:pos="5281"/>
          <w:tab w:val="left" w:pos="6486"/>
          <w:tab w:val="left" w:pos="7213"/>
          <w:tab w:val="left" w:pos="7798"/>
          <w:tab w:val="left" w:pos="8619"/>
        </w:tabs>
        <w:spacing w:before="143" w:line="360" w:lineRule="auto"/>
        <w:ind w:left="1124" w:right="118" w:hanging="540"/>
        <w:rPr>
          <w:sz w:val="24"/>
        </w:rPr>
      </w:pPr>
      <w:r>
        <w:rPr>
          <w:spacing w:val="-3"/>
          <w:sz w:val="24"/>
        </w:rPr>
        <w:t xml:space="preserve">UNECE. (n.d.). </w:t>
      </w:r>
      <w:r>
        <w:rPr>
          <w:i/>
          <w:sz w:val="24"/>
        </w:rPr>
        <w:t xml:space="preserve">An Analysis of the Policy Reform </w:t>
      </w:r>
      <w:r>
        <w:rPr>
          <w:i/>
          <w:spacing w:val="-3"/>
          <w:sz w:val="24"/>
        </w:rPr>
        <w:t xml:space="preserve">Impact </w:t>
      </w:r>
      <w:r>
        <w:rPr>
          <w:i/>
          <w:sz w:val="24"/>
        </w:rPr>
        <w:t xml:space="preserve">on Energy </w:t>
      </w:r>
      <w:r>
        <w:rPr>
          <w:i/>
          <w:spacing w:val="-3"/>
          <w:sz w:val="24"/>
        </w:rPr>
        <w:t xml:space="preserve">Performance </w:t>
      </w:r>
      <w:r>
        <w:rPr>
          <w:i/>
          <w:sz w:val="24"/>
        </w:rPr>
        <w:t xml:space="preserve">in </w:t>
      </w:r>
      <w:r>
        <w:rPr>
          <w:i/>
          <w:spacing w:val="-3"/>
          <w:sz w:val="24"/>
        </w:rPr>
        <w:t>Buildings.</w:t>
      </w:r>
      <w:r>
        <w:rPr>
          <w:i/>
          <w:spacing w:val="-3"/>
          <w:sz w:val="24"/>
        </w:rPr>
        <w:tab/>
      </w:r>
      <w:r>
        <w:rPr>
          <w:i/>
          <w:sz w:val="24"/>
        </w:rPr>
        <w:t>Case</w:t>
      </w:r>
      <w:r>
        <w:rPr>
          <w:i/>
          <w:sz w:val="24"/>
        </w:rPr>
        <w:tab/>
      </w:r>
      <w:r>
        <w:rPr>
          <w:i/>
          <w:spacing w:val="-3"/>
          <w:sz w:val="24"/>
        </w:rPr>
        <w:t>Study–Montenegro</w:t>
      </w:r>
      <w:r>
        <w:rPr>
          <w:spacing w:val="-3"/>
          <w:sz w:val="24"/>
        </w:rPr>
        <w:t>.</w:t>
      </w:r>
      <w:r>
        <w:rPr>
          <w:spacing w:val="-3"/>
          <w:sz w:val="24"/>
        </w:rPr>
        <w:tab/>
        <w:t>Retrieved</w:t>
      </w:r>
      <w:r>
        <w:rPr>
          <w:spacing w:val="-3"/>
          <w:sz w:val="24"/>
        </w:rPr>
        <w:tab/>
      </w:r>
      <w:r>
        <w:rPr>
          <w:sz w:val="24"/>
        </w:rPr>
        <w:t>May</w:t>
      </w:r>
      <w:r>
        <w:rPr>
          <w:sz w:val="24"/>
        </w:rPr>
        <w:tab/>
        <w:t>25,</w:t>
      </w:r>
      <w:r>
        <w:rPr>
          <w:sz w:val="24"/>
        </w:rPr>
        <w:tab/>
      </w:r>
      <w:r>
        <w:rPr>
          <w:spacing w:val="-3"/>
          <w:sz w:val="24"/>
        </w:rPr>
        <w:t>2016,</w:t>
      </w:r>
      <w:r>
        <w:rPr>
          <w:spacing w:val="-3"/>
          <w:sz w:val="24"/>
        </w:rPr>
        <w:tab/>
      </w:r>
      <w:r>
        <w:rPr>
          <w:spacing w:val="-2"/>
          <w:sz w:val="24"/>
        </w:rPr>
        <w:t xml:space="preserve">from </w:t>
      </w:r>
      <w:hyperlink r:id="rId139">
        <w:r>
          <w:rPr>
            <w:spacing w:val="-3"/>
            <w:sz w:val="24"/>
            <w:u w:val="single"/>
          </w:rPr>
          <w:t>https://www.unece.org/fileadmin/DAM/energy/se/pdfs/gee21/projects/cs/CS_</w:t>
        </w:r>
      </w:hyperlink>
      <w:r>
        <w:rPr>
          <w:spacing w:val="-3"/>
          <w:sz w:val="24"/>
          <w:u w:val="single"/>
        </w:rPr>
        <w:t xml:space="preserve"> </w:t>
      </w:r>
      <w:hyperlink r:id="rId140">
        <w:r>
          <w:rPr>
            <w:spacing w:val="-3"/>
            <w:sz w:val="24"/>
            <w:u w:val="single"/>
          </w:rPr>
          <w:t>Montenegro.pdf</w:t>
        </w:r>
      </w:hyperlink>
      <w:r>
        <w:rPr>
          <w:spacing w:val="-3"/>
          <w:sz w:val="24"/>
        </w:rPr>
        <w:t xml:space="preserve">. </w:t>
      </w:r>
      <w:proofErr w:type="gramStart"/>
      <w:r>
        <w:rPr>
          <w:spacing w:val="-3"/>
          <w:sz w:val="24"/>
        </w:rPr>
        <w:t>last</w:t>
      </w:r>
      <w:proofErr w:type="gramEnd"/>
      <w:r>
        <w:rPr>
          <w:spacing w:val="-3"/>
          <w:sz w:val="24"/>
        </w:rPr>
        <w:t xml:space="preserve"> </w:t>
      </w:r>
      <w:r>
        <w:rPr>
          <w:sz w:val="24"/>
        </w:rPr>
        <w:t xml:space="preserve">visited on </w:t>
      </w:r>
      <w:r>
        <w:rPr>
          <w:spacing w:val="-3"/>
          <w:sz w:val="24"/>
        </w:rPr>
        <w:t xml:space="preserve">August </w:t>
      </w:r>
      <w:r>
        <w:rPr>
          <w:sz w:val="24"/>
        </w:rPr>
        <w:t>25.</w:t>
      </w:r>
      <w:r>
        <w:rPr>
          <w:spacing w:val="-27"/>
          <w:sz w:val="24"/>
        </w:rPr>
        <w:t xml:space="preserve"> </w:t>
      </w:r>
      <w:r>
        <w:rPr>
          <w:sz w:val="24"/>
        </w:rPr>
        <w:t>2016.</w:t>
      </w:r>
    </w:p>
    <w:p w:rsidR="00F3177F" w:rsidRDefault="00F3177F">
      <w:pPr>
        <w:pStyle w:val="BodyText"/>
        <w:rPr>
          <w:sz w:val="20"/>
        </w:rPr>
      </w:pPr>
    </w:p>
    <w:p w:rsidR="00F3177F" w:rsidRDefault="0089671D">
      <w:pPr>
        <w:spacing w:before="189" w:line="360" w:lineRule="auto"/>
        <w:ind w:left="1124" w:right="118" w:hanging="540"/>
        <w:jc w:val="both"/>
        <w:rPr>
          <w:sz w:val="24"/>
        </w:rPr>
      </w:pPr>
      <w:r>
        <w:rPr>
          <w:spacing w:val="-3"/>
          <w:sz w:val="24"/>
        </w:rPr>
        <w:t xml:space="preserve">United </w:t>
      </w:r>
      <w:r>
        <w:rPr>
          <w:sz w:val="24"/>
        </w:rPr>
        <w:t xml:space="preserve">Nations </w:t>
      </w:r>
      <w:r>
        <w:rPr>
          <w:spacing w:val="-3"/>
          <w:sz w:val="24"/>
        </w:rPr>
        <w:t xml:space="preserve">Foundation. </w:t>
      </w:r>
      <w:r>
        <w:rPr>
          <w:sz w:val="24"/>
        </w:rPr>
        <w:t xml:space="preserve">(2007). </w:t>
      </w:r>
      <w:r>
        <w:rPr>
          <w:i/>
          <w:spacing w:val="-3"/>
          <w:sz w:val="24"/>
        </w:rPr>
        <w:t xml:space="preserve">Realizing </w:t>
      </w:r>
      <w:r>
        <w:rPr>
          <w:i/>
          <w:sz w:val="24"/>
        </w:rPr>
        <w:t xml:space="preserve">the </w:t>
      </w:r>
      <w:r>
        <w:rPr>
          <w:i/>
          <w:spacing w:val="-3"/>
          <w:sz w:val="24"/>
        </w:rPr>
        <w:t xml:space="preserve">Potential </w:t>
      </w:r>
      <w:r>
        <w:rPr>
          <w:i/>
          <w:sz w:val="24"/>
        </w:rPr>
        <w:t>of Energy Efficiency:</w:t>
      </w:r>
      <w:r>
        <w:rPr>
          <w:i/>
          <w:spacing w:val="-34"/>
          <w:sz w:val="24"/>
        </w:rPr>
        <w:t xml:space="preserve"> </w:t>
      </w:r>
      <w:r>
        <w:rPr>
          <w:i/>
          <w:spacing w:val="-3"/>
          <w:sz w:val="24"/>
        </w:rPr>
        <w:t xml:space="preserve">Targets, Policies, </w:t>
      </w:r>
      <w:r>
        <w:rPr>
          <w:i/>
          <w:sz w:val="24"/>
        </w:rPr>
        <w:t xml:space="preserve">and </w:t>
      </w:r>
      <w:r>
        <w:rPr>
          <w:i/>
          <w:spacing w:val="-3"/>
          <w:sz w:val="24"/>
        </w:rPr>
        <w:t xml:space="preserve">Measures </w:t>
      </w:r>
      <w:r>
        <w:rPr>
          <w:i/>
          <w:sz w:val="24"/>
        </w:rPr>
        <w:t>for G8 Countries</w:t>
      </w:r>
      <w:r>
        <w:rPr>
          <w:sz w:val="24"/>
        </w:rPr>
        <w:t xml:space="preserve">. </w:t>
      </w:r>
      <w:r>
        <w:rPr>
          <w:spacing w:val="-3"/>
          <w:sz w:val="24"/>
        </w:rPr>
        <w:t xml:space="preserve">Washington, </w:t>
      </w:r>
      <w:r>
        <w:rPr>
          <w:sz w:val="24"/>
        </w:rPr>
        <w:t xml:space="preserve">DC, USA: </w:t>
      </w:r>
      <w:r>
        <w:rPr>
          <w:spacing w:val="-3"/>
          <w:sz w:val="24"/>
        </w:rPr>
        <w:t xml:space="preserve">United Nations Foundation. </w:t>
      </w:r>
      <w:r>
        <w:rPr>
          <w:sz w:val="24"/>
        </w:rPr>
        <w:t>72.</w:t>
      </w:r>
    </w:p>
    <w:p w:rsidR="00F3177F" w:rsidRDefault="00F3177F">
      <w:pPr>
        <w:pStyle w:val="BodyText"/>
        <w:spacing w:before="1"/>
        <w:rPr>
          <w:sz w:val="28"/>
        </w:rPr>
      </w:pPr>
    </w:p>
    <w:p w:rsidR="00F3177F" w:rsidRDefault="0089671D">
      <w:pPr>
        <w:pStyle w:val="BodyText"/>
        <w:tabs>
          <w:tab w:val="left" w:pos="2830"/>
          <w:tab w:val="left" w:pos="4649"/>
          <w:tab w:val="left" w:pos="5988"/>
          <w:tab w:val="left" w:pos="7185"/>
          <w:tab w:val="left" w:pos="8618"/>
        </w:tabs>
        <w:spacing w:line="360" w:lineRule="auto"/>
        <w:ind w:left="1124" w:right="116" w:hanging="540"/>
        <w:jc w:val="both"/>
      </w:pPr>
      <w:r>
        <w:t xml:space="preserve">US </w:t>
      </w:r>
      <w:r>
        <w:rPr>
          <w:spacing w:val="-3"/>
        </w:rPr>
        <w:t xml:space="preserve">Department </w:t>
      </w:r>
      <w:r>
        <w:t xml:space="preserve">of </w:t>
      </w:r>
      <w:r>
        <w:rPr>
          <w:spacing w:val="-3"/>
        </w:rPr>
        <w:t xml:space="preserve">Energy. (2002). International Performance Measurement </w:t>
      </w:r>
      <w:proofErr w:type="gramStart"/>
      <w:r>
        <w:t xml:space="preserve">&amp;  </w:t>
      </w:r>
      <w:r>
        <w:rPr>
          <w:spacing w:val="-3"/>
        </w:rPr>
        <w:t>Verification</w:t>
      </w:r>
      <w:proofErr w:type="gramEnd"/>
      <w:r>
        <w:rPr>
          <w:spacing w:val="-3"/>
        </w:rPr>
        <w:t xml:space="preserve"> </w:t>
      </w:r>
      <w:r>
        <w:t xml:space="preserve">Protocol: Concepts and Options for </w:t>
      </w:r>
      <w:r>
        <w:rPr>
          <w:spacing w:val="-3"/>
        </w:rPr>
        <w:t xml:space="preserve">Determining </w:t>
      </w:r>
      <w:r>
        <w:t xml:space="preserve">Energy and </w:t>
      </w:r>
      <w:r>
        <w:rPr>
          <w:spacing w:val="-3"/>
        </w:rPr>
        <w:t>Water Savings.</w:t>
      </w:r>
      <w:r>
        <w:rPr>
          <w:spacing w:val="-3"/>
        </w:rPr>
        <w:tab/>
        <w:t>Retrieved</w:t>
      </w:r>
      <w:r>
        <w:rPr>
          <w:spacing w:val="-3"/>
        </w:rPr>
        <w:tab/>
      </w:r>
      <w:r>
        <w:t>May</w:t>
      </w:r>
      <w:r>
        <w:tab/>
        <w:t>23,</w:t>
      </w:r>
      <w:r>
        <w:tab/>
      </w:r>
      <w:r>
        <w:rPr>
          <w:spacing w:val="-3"/>
        </w:rPr>
        <w:t>2015,</w:t>
      </w:r>
      <w:r>
        <w:rPr>
          <w:spacing w:val="-3"/>
        </w:rPr>
        <w:tab/>
      </w:r>
      <w:r>
        <w:rPr>
          <w:spacing w:val="-1"/>
        </w:rPr>
        <w:t xml:space="preserve">from </w:t>
      </w:r>
      <w:hyperlink r:id="rId141">
        <w:r>
          <w:rPr>
            <w:spacing w:val="-3"/>
          </w:rPr>
          <w:t>http://www.nrel.gov/docs/fy02osti/31505.pdf</w:t>
        </w:r>
      </w:hyperlink>
    </w:p>
    <w:p w:rsidR="00F3177F" w:rsidRDefault="00F3177F">
      <w:pPr>
        <w:pStyle w:val="BodyText"/>
      </w:pPr>
    </w:p>
    <w:p w:rsidR="00F3177F" w:rsidRDefault="0089671D">
      <w:pPr>
        <w:pStyle w:val="BodyText"/>
        <w:tabs>
          <w:tab w:val="left" w:pos="5860"/>
        </w:tabs>
        <w:spacing w:before="141"/>
        <w:ind w:left="584" w:right="65"/>
      </w:pPr>
      <w:r>
        <w:t xml:space="preserve">U.S. </w:t>
      </w:r>
      <w:proofErr w:type="gramStart"/>
      <w:r>
        <w:rPr>
          <w:spacing w:val="-3"/>
        </w:rPr>
        <w:t>Fish  and</w:t>
      </w:r>
      <w:proofErr w:type="gramEnd"/>
      <w:r>
        <w:rPr>
          <w:spacing w:val="-3"/>
        </w:rPr>
        <w:t xml:space="preserve"> </w:t>
      </w:r>
      <w:r>
        <w:t xml:space="preserve">Wildlife </w:t>
      </w:r>
      <w:r>
        <w:rPr>
          <w:spacing w:val="-3"/>
        </w:rPr>
        <w:t xml:space="preserve">Service.  </w:t>
      </w:r>
      <w:r>
        <w:rPr>
          <w:spacing w:val="20"/>
        </w:rPr>
        <w:t xml:space="preserve"> </w:t>
      </w:r>
      <w:r>
        <w:rPr>
          <w:spacing w:val="-3"/>
        </w:rPr>
        <w:t>(2003,</w:t>
      </w:r>
      <w:r>
        <w:rPr>
          <w:spacing w:val="38"/>
        </w:rPr>
        <w:t xml:space="preserve"> </w:t>
      </w:r>
      <w:r>
        <w:t>November).</w:t>
      </w:r>
      <w:r>
        <w:tab/>
      </w:r>
      <w:proofErr w:type="gramStart"/>
      <w:r>
        <w:t>Energy  Check</w:t>
      </w:r>
      <w:proofErr w:type="gramEnd"/>
      <w:r>
        <w:t xml:space="preserve">  </w:t>
      </w:r>
      <w:r>
        <w:rPr>
          <w:spacing w:val="-3"/>
        </w:rPr>
        <w:t>List  2003</w:t>
      </w:r>
      <w:r>
        <w:rPr>
          <w:spacing w:val="-18"/>
        </w:rPr>
        <w:t xml:space="preserve"> </w:t>
      </w:r>
      <w:r>
        <w:rPr>
          <w:spacing w:val="-3"/>
        </w:rPr>
        <w:t>update.</w:t>
      </w:r>
    </w:p>
    <w:p w:rsidR="00F3177F" w:rsidRDefault="0089671D">
      <w:pPr>
        <w:spacing w:before="139"/>
        <w:ind w:left="1124" w:right="65"/>
        <w:rPr>
          <w:sz w:val="24"/>
        </w:rPr>
      </w:pPr>
      <w:r>
        <w:rPr>
          <w:i/>
          <w:sz w:val="24"/>
        </w:rPr>
        <w:t xml:space="preserve">Energy and Water Conservation.Professional Safety, 47 </w:t>
      </w:r>
      <w:r>
        <w:rPr>
          <w:sz w:val="24"/>
        </w:rPr>
        <w:t>(11), 45.</w:t>
      </w:r>
    </w:p>
    <w:p w:rsidR="00F3177F" w:rsidRDefault="00F3177F">
      <w:pPr>
        <w:pStyle w:val="BodyText"/>
      </w:pPr>
    </w:p>
    <w:p w:rsidR="00F3177F" w:rsidRDefault="00F3177F">
      <w:pPr>
        <w:pStyle w:val="BodyText"/>
      </w:pPr>
    </w:p>
    <w:p w:rsidR="00F3177F" w:rsidRDefault="0089671D">
      <w:pPr>
        <w:spacing w:line="360" w:lineRule="auto"/>
        <w:ind w:left="1124" w:right="115" w:hanging="540"/>
        <w:jc w:val="both"/>
        <w:rPr>
          <w:sz w:val="24"/>
        </w:rPr>
      </w:pPr>
      <w:r>
        <w:rPr>
          <w:sz w:val="24"/>
        </w:rPr>
        <w:t xml:space="preserve">USAID. (2015). </w:t>
      </w:r>
      <w:r>
        <w:rPr>
          <w:i/>
          <w:sz w:val="24"/>
        </w:rPr>
        <w:t>Impact Evaluation of the Macedonia Municipal Climate Change Strategies Integration Plot: Municipal Pilot Project Mini Case Studies</w:t>
      </w:r>
      <w:r>
        <w:rPr>
          <w:sz w:val="24"/>
        </w:rPr>
        <w:t xml:space="preserve">. Retrieved May 27, 2016, from </w:t>
      </w:r>
      <w:hyperlink r:id="rId142">
        <w:r>
          <w:rPr>
            <w:sz w:val="24"/>
            <w:u w:val="single"/>
          </w:rPr>
          <w:t>file:///C:/Users/ibr/Downloads/2015MacedoniaImpact</w:t>
        </w:r>
      </w:hyperlink>
      <w:r>
        <w:rPr>
          <w:sz w:val="24"/>
          <w:u w:val="single"/>
        </w:rPr>
        <w:t xml:space="preserve"> </w:t>
      </w:r>
      <w:r>
        <w:rPr>
          <w:sz w:val="24"/>
        </w:rPr>
        <w:t>EvaluationBaselineClimateChangeIntegration.pdf</w:t>
      </w:r>
    </w:p>
    <w:p w:rsidR="00F3177F" w:rsidRDefault="00F3177F">
      <w:pPr>
        <w:pStyle w:val="BodyText"/>
      </w:pPr>
    </w:p>
    <w:p w:rsidR="00F3177F" w:rsidRDefault="0089671D">
      <w:pPr>
        <w:spacing w:before="143" w:line="360" w:lineRule="auto"/>
        <w:ind w:left="1124" w:right="117" w:hanging="540"/>
        <w:jc w:val="both"/>
        <w:rPr>
          <w:sz w:val="24"/>
        </w:rPr>
      </w:pPr>
      <w:r>
        <w:rPr>
          <w:sz w:val="24"/>
        </w:rPr>
        <w:t xml:space="preserve">U.S. Department of Energy. (2009). </w:t>
      </w:r>
      <w:r>
        <w:rPr>
          <w:i/>
          <w:sz w:val="24"/>
        </w:rPr>
        <w:t>Guide to Operating and Maintaining EnergySmart Schools</w:t>
      </w:r>
      <w:r>
        <w:rPr>
          <w:sz w:val="24"/>
        </w:rPr>
        <w:t xml:space="preserve">. Retrieved March 22, 2015, from </w:t>
      </w:r>
      <w:hyperlink r:id="rId143">
        <w:r>
          <w:rPr>
            <w:sz w:val="24"/>
            <w:u w:val="single"/>
          </w:rPr>
          <w:t xml:space="preserve">http://apps1.eere.energy.gov/buildings/ </w:t>
        </w:r>
      </w:hyperlink>
      <w:hyperlink r:id="rId144">
        <w:r>
          <w:rPr>
            <w:sz w:val="24"/>
            <w:u w:val="single"/>
          </w:rPr>
          <w:t>publications/pdfs/ energysmartschools/</w:t>
        </w:r>
      </w:hyperlink>
      <w:r>
        <w:rPr>
          <w:sz w:val="24"/>
        </w:rPr>
        <w:t>ess_o-and-m-guide.pdf</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pStyle w:val="BodyText"/>
        <w:spacing w:before="69" w:line="360" w:lineRule="auto"/>
        <w:ind w:left="1124" w:right="117" w:hanging="540"/>
        <w:jc w:val="both"/>
      </w:pPr>
      <w:r>
        <w:lastRenderedPageBreak/>
        <w:t>U.S. Department of Energy Star. (2009). Qualified Light Bulbs 2009 Partner Resource Guide. Retrieved Retrieved March 22, 2015, from https://</w:t>
      </w:r>
      <w:hyperlink r:id="rId145">
        <w:r>
          <w:t>www.energystar.gov/ia/products/downloads/CFL_PRG.pdf</w:t>
        </w:r>
      </w:hyperlink>
    </w:p>
    <w:p w:rsidR="00F3177F" w:rsidRDefault="00F3177F">
      <w:pPr>
        <w:pStyle w:val="BodyText"/>
      </w:pPr>
    </w:p>
    <w:p w:rsidR="00F3177F" w:rsidRDefault="0089671D">
      <w:pPr>
        <w:pStyle w:val="ListParagraph"/>
        <w:numPr>
          <w:ilvl w:val="1"/>
          <w:numId w:val="10"/>
        </w:numPr>
        <w:tabs>
          <w:tab w:val="left" w:pos="1060"/>
        </w:tabs>
        <w:spacing w:before="143" w:line="360" w:lineRule="auto"/>
        <w:ind w:right="281" w:hanging="540"/>
        <w:rPr>
          <w:sz w:val="24"/>
        </w:rPr>
      </w:pPr>
      <w:r>
        <w:rPr>
          <w:spacing w:val="-3"/>
          <w:sz w:val="24"/>
        </w:rPr>
        <w:t xml:space="preserve">Environmental Protection </w:t>
      </w:r>
      <w:r>
        <w:rPr>
          <w:sz w:val="24"/>
        </w:rPr>
        <w:t xml:space="preserve">Agency. </w:t>
      </w:r>
      <w:r>
        <w:rPr>
          <w:spacing w:val="-3"/>
          <w:sz w:val="24"/>
        </w:rPr>
        <w:t xml:space="preserve">(2005). </w:t>
      </w:r>
      <w:r>
        <w:rPr>
          <w:i/>
          <w:sz w:val="24"/>
        </w:rPr>
        <w:t xml:space="preserve">Teaming Up to save </w:t>
      </w:r>
      <w:r>
        <w:rPr>
          <w:i/>
          <w:spacing w:val="-3"/>
          <w:sz w:val="24"/>
        </w:rPr>
        <w:t>energy: protect</w:t>
      </w:r>
      <w:r>
        <w:rPr>
          <w:i/>
          <w:spacing w:val="-41"/>
          <w:sz w:val="24"/>
        </w:rPr>
        <w:t xml:space="preserve"> </w:t>
      </w:r>
      <w:r>
        <w:rPr>
          <w:i/>
          <w:sz w:val="24"/>
        </w:rPr>
        <w:t xml:space="preserve">our </w:t>
      </w:r>
      <w:r>
        <w:rPr>
          <w:i/>
          <w:spacing w:val="-3"/>
          <w:sz w:val="24"/>
        </w:rPr>
        <w:t xml:space="preserve">environment </w:t>
      </w:r>
      <w:r>
        <w:rPr>
          <w:i/>
          <w:sz w:val="24"/>
        </w:rPr>
        <w:t xml:space="preserve">through energy </w:t>
      </w:r>
      <w:r>
        <w:rPr>
          <w:i/>
          <w:spacing w:val="-3"/>
          <w:sz w:val="24"/>
        </w:rPr>
        <w:t xml:space="preserve">efficiency </w:t>
      </w:r>
      <w:r>
        <w:rPr>
          <w:spacing w:val="-3"/>
          <w:sz w:val="24"/>
        </w:rPr>
        <w:t xml:space="preserve">(430-K-05-007). Washington, </w:t>
      </w:r>
      <w:r>
        <w:rPr>
          <w:sz w:val="24"/>
        </w:rPr>
        <w:t xml:space="preserve">DC, USA, </w:t>
      </w:r>
      <w:r>
        <w:rPr>
          <w:spacing w:val="-3"/>
          <w:sz w:val="24"/>
        </w:rPr>
        <w:t>USEPA.</w:t>
      </w:r>
    </w:p>
    <w:p w:rsidR="00F3177F" w:rsidRDefault="00F3177F">
      <w:pPr>
        <w:pStyle w:val="BodyText"/>
        <w:rPr>
          <w:sz w:val="20"/>
        </w:rPr>
      </w:pPr>
    </w:p>
    <w:p w:rsidR="00F3177F" w:rsidRDefault="0089671D">
      <w:pPr>
        <w:spacing w:before="189" w:line="360" w:lineRule="auto"/>
        <w:ind w:left="1124" w:right="113" w:hanging="540"/>
        <w:jc w:val="both"/>
        <w:rPr>
          <w:sz w:val="24"/>
        </w:rPr>
      </w:pPr>
      <w:r>
        <w:rPr>
          <w:sz w:val="24"/>
          <w:shd w:val="clear" w:color="auto" w:fill="FCFCFC"/>
        </w:rPr>
        <w:t xml:space="preserve">Vourdoubas, J. (2016). Creation of zero CO2 emissions school buildings due to energy use in Crete-Greece. </w:t>
      </w:r>
      <w:r>
        <w:rPr>
          <w:i/>
          <w:sz w:val="24"/>
          <w:shd w:val="clear" w:color="auto" w:fill="FCFCFC"/>
        </w:rPr>
        <w:t xml:space="preserve">Journal of energy efficiency, 5 </w:t>
      </w:r>
      <w:r>
        <w:rPr>
          <w:sz w:val="24"/>
          <w:shd w:val="clear" w:color="auto" w:fill="FCFCFC"/>
        </w:rPr>
        <w:t xml:space="preserve">(1), 12-13. </w:t>
      </w:r>
    </w:p>
    <w:p w:rsidR="00F3177F" w:rsidRDefault="00F3177F">
      <w:pPr>
        <w:pStyle w:val="BodyText"/>
      </w:pPr>
    </w:p>
    <w:p w:rsidR="00F3177F" w:rsidRDefault="0089671D">
      <w:pPr>
        <w:spacing w:before="143" w:line="360" w:lineRule="auto"/>
        <w:ind w:left="1124" w:right="118" w:hanging="540"/>
        <w:jc w:val="both"/>
        <w:rPr>
          <w:sz w:val="24"/>
        </w:rPr>
      </w:pPr>
      <w:r>
        <w:rPr>
          <w:sz w:val="24"/>
        </w:rPr>
        <w:t xml:space="preserve">Wargocki, P., &amp; Wyon, D.P. (2006). </w:t>
      </w:r>
      <w:r>
        <w:rPr>
          <w:i/>
          <w:sz w:val="24"/>
        </w:rPr>
        <w:t>Room temperature effects on office work. Creating the Productive Workplace</w:t>
      </w:r>
      <w:r>
        <w:rPr>
          <w:sz w:val="24"/>
        </w:rPr>
        <w:t>, (2nd edition). London, Taylor &amp; Francis, 181-192.</w:t>
      </w:r>
    </w:p>
    <w:p w:rsidR="00F3177F" w:rsidRDefault="00F3177F">
      <w:pPr>
        <w:pStyle w:val="BodyText"/>
      </w:pPr>
    </w:p>
    <w:p w:rsidR="00F3177F" w:rsidRDefault="0089671D">
      <w:pPr>
        <w:pStyle w:val="BodyText"/>
        <w:spacing w:before="143" w:line="360" w:lineRule="auto"/>
        <w:ind w:left="1124" w:right="114" w:hanging="540"/>
        <w:jc w:val="both"/>
      </w:pPr>
      <w:r>
        <w:t xml:space="preserve">Wargocki, P., &amp; Wyon, D.P. (2007a). The effects of outdoor air supply rate and supply air filter condition in classrooms on the performance of schoolwork by children (RP-1257). </w:t>
      </w:r>
      <w:r>
        <w:rPr>
          <w:i/>
        </w:rPr>
        <w:t xml:space="preserve">HVAC&amp;R Research, 13, </w:t>
      </w:r>
      <w:r>
        <w:t>165-191.</w:t>
      </w:r>
    </w:p>
    <w:p w:rsidR="00F3177F" w:rsidRDefault="00F3177F">
      <w:pPr>
        <w:pStyle w:val="BodyText"/>
      </w:pPr>
    </w:p>
    <w:p w:rsidR="00F3177F" w:rsidRDefault="0089671D">
      <w:pPr>
        <w:pStyle w:val="BodyText"/>
        <w:spacing w:before="143" w:line="360" w:lineRule="auto"/>
        <w:ind w:left="1124" w:right="65" w:hanging="540"/>
      </w:pPr>
      <w:r>
        <w:t xml:space="preserve">Wargocki, P., &amp; Wyon, D.P. (2007b). The Effects of Moderately Raised Classroom Temperatures and Classroom Ventilation Rate on the Performance of Schoolwork by Children. </w:t>
      </w:r>
      <w:r>
        <w:rPr>
          <w:i/>
        </w:rPr>
        <w:t>HVAC&amp;R Research</w:t>
      </w:r>
      <w:r>
        <w:t xml:space="preserve">, </w:t>
      </w:r>
      <w:r>
        <w:rPr>
          <w:i/>
        </w:rPr>
        <w:t xml:space="preserve">13, </w:t>
      </w:r>
      <w:r>
        <w:t>193-220.</w:t>
      </w:r>
    </w:p>
    <w:p w:rsidR="00F3177F" w:rsidRDefault="00F3177F">
      <w:pPr>
        <w:pStyle w:val="BodyText"/>
      </w:pPr>
    </w:p>
    <w:p w:rsidR="00F3177F" w:rsidRDefault="0089671D">
      <w:pPr>
        <w:pStyle w:val="BodyText"/>
        <w:spacing w:before="143" w:line="360" w:lineRule="auto"/>
        <w:ind w:left="1124" w:right="112" w:hanging="540"/>
        <w:jc w:val="both"/>
      </w:pPr>
      <w:r>
        <w:t xml:space="preserve">Wargocki, P., &amp; Wyon, D.P. (2013). Providing better thermal and air quality conditions in school classrooms would be cost-effective. </w:t>
      </w:r>
      <w:r>
        <w:rPr>
          <w:i/>
        </w:rPr>
        <w:t>Building and Environment</w:t>
      </w:r>
      <w:r>
        <w:t xml:space="preserve">, </w:t>
      </w:r>
      <w:r>
        <w:rPr>
          <w:i/>
        </w:rPr>
        <w:t xml:space="preserve">59, </w:t>
      </w:r>
      <w:r>
        <w:t>581- 589.</w:t>
      </w:r>
    </w:p>
    <w:p w:rsidR="00F3177F" w:rsidRDefault="00F3177F">
      <w:pPr>
        <w:pStyle w:val="BodyText"/>
      </w:pPr>
    </w:p>
    <w:p w:rsidR="00F3177F" w:rsidRDefault="0089671D">
      <w:pPr>
        <w:pStyle w:val="BodyText"/>
        <w:spacing w:before="143" w:line="360" w:lineRule="auto"/>
        <w:ind w:left="1124" w:right="115" w:hanging="540"/>
        <w:jc w:val="both"/>
      </w:pPr>
      <w:r>
        <w:rPr>
          <w:spacing w:val="-3"/>
        </w:rPr>
        <w:t xml:space="preserve">Weschler, </w:t>
      </w:r>
      <w:r>
        <w:t xml:space="preserve">P.J. </w:t>
      </w:r>
      <w:r>
        <w:rPr>
          <w:spacing w:val="-3"/>
        </w:rPr>
        <w:t xml:space="preserve">(n.d.). </w:t>
      </w:r>
      <w:r>
        <w:rPr>
          <w:i/>
          <w:spacing w:val="-3"/>
        </w:rPr>
        <w:t xml:space="preserve">Population Kosovo </w:t>
      </w:r>
      <w:r>
        <w:rPr>
          <w:i/>
        </w:rPr>
        <w:t>1950-2050</w:t>
      </w:r>
      <w:r>
        <w:t xml:space="preserve">. </w:t>
      </w:r>
      <w:r>
        <w:rPr>
          <w:spacing w:val="-3"/>
        </w:rPr>
        <w:t xml:space="preserve">Retrieved August </w:t>
      </w:r>
      <w:r>
        <w:t xml:space="preserve">17, </w:t>
      </w:r>
      <w:r>
        <w:rPr>
          <w:spacing w:val="-3"/>
        </w:rPr>
        <w:t xml:space="preserve">2016, </w:t>
      </w:r>
      <w:r>
        <w:t xml:space="preserve">from </w:t>
      </w:r>
      <w:r>
        <w:rPr>
          <w:spacing w:val="-3"/>
        </w:rPr>
        <w:t>bluemarblecitizen:</w:t>
      </w:r>
      <w:r>
        <w:rPr>
          <w:spacing w:val="50"/>
        </w:rPr>
        <w:t xml:space="preserve"> </w:t>
      </w:r>
      <w:hyperlink r:id="rId146">
        <w:r>
          <w:rPr>
            <w:spacing w:val="-3"/>
          </w:rPr>
          <w:t>http://www.bluemarblecitizen.com/world-population/Kosovo</w:t>
        </w:r>
      </w:hyperlink>
    </w:p>
    <w:p w:rsidR="00F3177F" w:rsidRDefault="00F3177F">
      <w:pPr>
        <w:spacing w:line="360" w:lineRule="auto"/>
        <w:jc w:val="both"/>
        <w:sectPr w:rsidR="00F3177F">
          <w:pgSz w:w="12240" w:h="15840"/>
          <w:pgMar w:top="1500" w:right="1320" w:bottom="2320" w:left="1720" w:header="0" w:footer="2072" w:gutter="0"/>
          <w:cols w:space="720"/>
        </w:sectPr>
      </w:pPr>
    </w:p>
    <w:p w:rsidR="00F3177F" w:rsidRDefault="0089671D">
      <w:pPr>
        <w:spacing w:before="54" w:line="360" w:lineRule="auto"/>
        <w:ind w:left="1124" w:right="117" w:hanging="540"/>
        <w:jc w:val="both"/>
        <w:rPr>
          <w:sz w:val="24"/>
        </w:rPr>
      </w:pPr>
      <w:r>
        <w:rPr>
          <w:spacing w:val="-3"/>
          <w:sz w:val="24"/>
        </w:rPr>
        <w:lastRenderedPageBreak/>
        <w:t xml:space="preserve">Western Balkans Investment Framework. (2013). </w:t>
      </w:r>
      <w:r>
        <w:rPr>
          <w:i/>
          <w:spacing w:val="-3"/>
          <w:sz w:val="24"/>
        </w:rPr>
        <w:t xml:space="preserve">National Program </w:t>
      </w:r>
      <w:proofErr w:type="gramStart"/>
      <w:r>
        <w:rPr>
          <w:i/>
          <w:sz w:val="24"/>
        </w:rPr>
        <w:t xml:space="preserve">for  </w:t>
      </w:r>
      <w:r>
        <w:rPr>
          <w:i/>
          <w:spacing w:val="-3"/>
          <w:sz w:val="24"/>
        </w:rPr>
        <w:t>Energy</w:t>
      </w:r>
      <w:proofErr w:type="gramEnd"/>
      <w:r>
        <w:rPr>
          <w:i/>
          <w:spacing w:val="-3"/>
          <w:sz w:val="24"/>
        </w:rPr>
        <w:t xml:space="preserve">  Efficiency </w:t>
      </w:r>
      <w:r>
        <w:rPr>
          <w:i/>
          <w:sz w:val="24"/>
        </w:rPr>
        <w:t xml:space="preserve">in Buildings for </w:t>
      </w:r>
      <w:r>
        <w:rPr>
          <w:i/>
          <w:spacing w:val="-3"/>
          <w:sz w:val="24"/>
        </w:rPr>
        <w:t xml:space="preserve">Kosovo: Financing </w:t>
      </w:r>
      <w:r>
        <w:rPr>
          <w:i/>
          <w:sz w:val="24"/>
        </w:rPr>
        <w:t>and Delivery Options</w:t>
      </w:r>
      <w:r>
        <w:rPr>
          <w:sz w:val="24"/>
        </w:rPr>
        <w:t xml:space="preserve">. </w:t>
      </w:r>
      <w:r>
        <w:rPr>
          <w:spacing w:val="-3"/>
          <w:sz w:val="24"/>
        </w:rPr>
        <w:t xml:space="preserve">Washington, </w:t>
      </w:r>
      <w:r>
        <w:rPr>
          <w:sz w:val="24"/>
        </w:rPr>
        <w:t>DC, USA: The World</w:t>
      </w:r>
      <w:r>
        <w:rPr>
          <w:spacing w:val="-39"/>
          <w:sz w:val="24"/>
        </w:rPr>
        <w:t xml:space="preserve"> </w:t>
      </w:r>
      <w:r>
        <w:rPr>
          <w:spacing w:val="-3"/>
          <w:sz w:val="24"/>
        </w:rPr>
        <w:t>Bank.</w:t>
      </w:r>
    </w:p>
    <w:p w:rsidR="00F3177F" w:rsidRDefault="00F3177F">
      <w:pPr>
        <w:pStyle w:val="BodyText"/>
      </w:pPr>
    </w:p>
    <w:p w:rsidR="00F3177F" w:rsidRDefault="0089671D">
      <w:pPr>
        <w:pStyle w:val="BodyText"/>
        <w:spacing w:before="143"/>
        <w:ind w:left="584" w:right="65"/>
      </w:pPr>
      <w:r>
        <w:t xml:space="preserve">Wilkins, A. (1995). </w:t>
      </w:r>
      <w:r>
        <w:rPr>
          <w:i/>
        </w:rPr>
        <w:t>Visual stress</w:t>
      </w:r>
      <w:r>
        <w:t>. Oxford, England: Oxford University Press.</w:t>
      </w:r>
    </w:p>
    <w:p w:rsidR="00F3177F" w:rsidRDefault="00F3177F">
      <w:pPr>
        <w:pStyle w:val="BodyText"/>
      </w:pPr>
    </w:p>
    <w:p w:rsidR="00F3177F" w:rsidRDefault="00F3177F">
      <w:pPr>
        <w:pStyle w:val="BodyText"/>
      </w:pPr>
    </w:p>
    <w:p w:rsidR="00F3177F" w:rsidRDefault="0089671D">
      <w:pPr>
        <w:spacing w:line="360" w:lineRule="auto"/>
        <w:ind w:left="1124" w:right="114" w:hanging="540"/>
        <w:jc w:val="both"/>
        <w:rPr>
          <w:sz w:val="24"/>
        </w:rPr>
      </w:pPr>
      <w:r>
        <w:rPr>
          <w:sz w:val="24"/>
        </w:rPr>
        <w:t xml:space="preserve">Wilkins, A., Nimmo-Smith, M. I., Slater, A., &amp; Bedocs, L. (1989). Fluorescent lighting, headaches and eyestrain, </w:t>
      </w:r>
      <w:r>
        <w:rPr>
          <w:i/>
          <w:sz w:val="24"/>
        </w:rPr>
        <w:t>Lighting Research and Technology</w:t>
      </w:r>
      <w:r>
        <w:rPr>
          <w:sz w:val="24"/>
        </w:rPr>
        <w:t xml:space="preserve">, </w:t>
      </w:r>
      <w:r>
        <w:rPr>
          <w:i/>
          <w:sz w:val="24"/>
        </w:rPr>
        <w:t xml:space="preserve">21 </w:t>
      </w:r>
      <w:r>
        <w:rPr>
          <w:sz w:val="24"/>
        </w:rPr>
        <w:t>(1), 11-18.</w:t>
      </w:r>
    </w:p>
    <w:p w:rsidR="00F3177F" w:rsidRDefault="00F3177F">
      <w:pPr>
        <w:pStyle w:val="BodyText"/>
      </w:pPr>
    </w:p>
    <w:p w:rsidR="00F3177F" w:rsidRDefault="0089671D">
      <w:pPr>
        <w:spacing w:before="143" w:line="360" w:lineRule="auto"/>
        <w:ind w:left="1124" w:right="113" w:hanging="540"/>
        <w:jc w:val="both"/>
        <w:rPr>
          <w:sz w:val="24"/>
        </w:rPr>
      </w:pPr>
      <w:r>
        <w:rPr>
          <w:spacing w:val="-3"/>
          <w:sz w:val="24"/>
        </w:rPr>
        <w:t xml:space="preserve">Wiltshire </w:t>
      </w:r>
      <w:r>
        <w:rPr>
          <w:sz w:val="24"/>
        </w:rPr>
        <w:t xml:space="preserve">Council. (2013). </w:t>
      </w:r>
      <w:r>
        <w:rPr>
          <w:i/>
          <w:spacing w:val="-3"/>
          <w:sz w:val="24"/>
        </w:rPr>
        <w:t xml:space="preserve">Wiltshire </w:t>
      </w:r>
      <w:r>
        <w:rPr>
          <w:i/>
          <w:sz w:val="24"/>
        </w:rPr>
        <w:t xml:space="preserve">Energy Savers </w:t>
      </w:r>
      <w:r>
        <w:rPr>
          <w:i/>
          <w:spacing w:val="-3"/>
          <w:sz w:val="24"/>
        </w:rPr>
        <w:t xml:space="preserve">toolkit </w:t>
      </w:r>
      <w:r>
        <w:rPr>
          <w:i/>
          <w:sz w:val="24"/>
        </w:rPr>
        <w:t xml:space="preserve">for </w:t>
      </w:r>
      <w:r>
        <w:rPr>
          <w:i/>
          <w:spacing w:val="-3"/>
          <w:sz w:val="24"/>
        </w:rPr>
        <w:t xml:space="preserve">schools </w:t>
      </w:r>
      <w:r>
        <w:rPr>
          <w:i/>
          <w:sz w:val="24"/>
        </w:rPr>
        <w:t xml:space="preserve">- </w:t>
      </w:r>
      <w:r>
        <w:rPr>
          <w:i/>
          <w:spacing w:val="-3"/>
          <w:sz w:val="24"/>
        </w:rPr>
        <w:t xml:space="preserve">Introduction </w:t>
      </w:r>
      <w:r>
        <w:rPr>
          <w:i/>
          <w:sz w:val="24"/>
        </w:rPr>
        <w:t xml:space="preserve">and </w:t>
      </w:r>
      <w:r>
        <w:rPr>
          <w:i/>
          <w:spacing w:val="-3"/>
          <w:sz w:val="24"/>
        </w:rPr>
        <w:t xml:space="preserve">getting </w:t>
      </w:r>
      <w:r>
        <w:rPr>
          <w:i/>
          <w:sz w:val="24"/>
        </w:rPr>
        <w:t>started</w:t>
      </w:r>
      <w:r>
        <w:rPr>
          <w:sz w:val="24"/>
        </w:rPr>
        <w:t xml:space="preserve">. Retrieved May 23, 2016, </w:t>
      </w:r>
      <w:r>
        <w:rPr>
          <w:spacing w:val="-3"/>
          <w:sz w:val="24"/>
        </w:rPr>
        <w:t xml:space="preserve">from </w:t>
      </w:r>
      <w:hyperlink r:id="rId147">
        <w:r>
          <w:rPr>
            <w:spacing w:val="-3"/>
            <w:sz w:val="24"/>
          </w:rPr>
          <w:t>http://www.wiltshire.gov.uk/get-</w:t>
        </w:r>
      </w:hyperlink>
      <w:r>
        <w:rPr>
          <w:spacing w:val="-3"/>
          <w:sz w:val="24"/>
        </w:rPr>
        <w:t xml:space="preserve"> school-resource-2-energy-savers-toolkit-introduction.pdf</w:t>
      </w:r>
    </w:p>
    <w:p w:rsidR="00F3177F" w:rsidRDefault="00F3177F">
      <w:pPr>
        <w:pStyle w:val="BodyText"/>
      </w:pPr>
    </w:p>
    <w:p w:rsidR="00F3177F" w:rsidRDefault="0089671D">
      <w:pPr>
        <w:spacing w:before="143" w:line="360" w:lineRule="auto"/>
        <w:ind w:left="1124" w:right="119" w:hanging="540"/>
        <w:jc w:val="both"/>
        <w:rPr>
          <w:sz w:val="24"/>
        </w:rPr>
      </w:pPr>
      <w:r>
        <w:rPr>
          <w:sz w:val="24"/>
        </w:rPr>
        <w:t xml:space="preserve">World Bank. (2013). </w:t>
      </w:r>
      <w:r>
        <w:rPr>
          <w:i/>
          <w:sz w:val="24"/>
        </w:rPr>
        <w:t xml:space="preserve">Draft Final Report. National Building Energy Efficiency Study for Kosovo. </w:t>
      </w:r>
      <w:r>
        <w:rPr>
          <w:sz w:val="24"/>
        </w:rPr>
        <w:t>Washington, DC, USA: The World Bank.</w:t>
      </w:r>
    </w:p>
    <w:p w:rsidR="00F3177F" w:rsidRDefault="00F3177F">
      <w:pPr>
        <w:pStyle w:val="BodyText"/>
      </w:pPr>
    </w:p>
    <w:p w:rsidR="00F3177F" w:rsidRDefault="0089671D">
      <w:pPr>
        <w:spacing w:before="143" w:line="360" w:lineRule="auto"/>
        <w:ind w:left="1124" w:right="114" w:hanging="540"/>
        <w:jc w:val="both"/>
        <w:rPr>
          <w:sz w:val="24"/>
        </w:rPr>
      </w:pPr>
      <w:r>
        <w:rPr>
          <w:sz w:val="24"/>
        </w:rPr>
        <w:t xml:space="preserve">World </w:t>
      </w:r>
      <w:r>
        <w:rPr>
          <w:spacing w:val="-3"/>
          <w:sz w:val="24"/>
        </w:rPr>
        <w:t xml:space="preserve">Bank. (2014). </w:t>
      </w:r>
      <w:r>
        <w:rPr>
          <w:i/>
          <w:sz w:val="24"/>
        </w:rPr>
        <w:t xml:space="preserve">Project </w:t>
      </w:r>
      <w:r>
        <w:rPr>
          <w:i/>
          <w:spacing w:val="-3"/>
          <w:sz w:val="24"/>
        </w:rPr>
        <w:t xml:space="preserve">Appraisal Document </w:t>
      </w:r>
      <w:r>
        <w:rPr>
          <w:i/>
          <w:sz w:val="24"/>
        </w:rPr>
        <w:t xml:space="preserve">on a </w:t>
      </w:r>
      <w:r>
        <w:rPr>
          <w:i/>
          <w:spacing w:val="-3"/>
          <w:sz w:val="24"/>
        </w:rPr>
        <w:t xml:space="preserve">Proposed </w:t>
      </w:r>
      <w:r>
        <w:rPr>
          <w:i/>
          <w:sz w:val="24"/>
        </w:rPr>
        <w:t xml:space="preserve">Credit in the Amount of SDR </w:t>
      </w:r>
      <w:r>
        <w:rPr>
          <w:i/>
          <w:spacing w:val="-3"/>
          <w:sz w:val="24"/>
        </w:rPr>
        <w:t xml:space="preserve">20.1 </w:t>
      </w:r>
      <w:r>
        <w:rPr>
          <w:i/>
          <w:sz w:val="24"/>
        </w:rPr>
        <w:t xml:space="preserve">million </w:t>
      </w:r>
      <w:r>
        <w:rPr>
          <w:i/>
          <w:spacing w:val="-3"/>
          <w:sz w:val="24"/>
        </w:rPr>
        <w:t xml:space="preserve">(US$31.0 </w:t>
      </w:r>
      <w:r>
        <w:rPr>
          <w:i/>
          <w:sz w:val="24"/>
        </w:rPr>
        <w:t xml:space="preserve">million equivalent) to the </w:t>
      </w:r>
      <w:r>
        <w:rPr>
          <w:i/>
          <w:spacing w:val="-3"/>
          <w:sz w:val="24"/>
        </w:rPr>
        <w:t xml:space="preserve">Republic </w:t>
      </w:r>
      <w:r>
        <w:rPr>
          <w:i/>
          <w:sz w:val="24"/>
        </w:rPr>
        <w:t xml:space="preserve">of Kosovo for an </w:t>
      </w:r>
      <w:r>
        <w:rPr>
          <w:i/>
          <w:spacing w:val="-3"/>
          <w:sz w:val="24"/>
        </w:rPr>
        <w:t xml:space="preserve">Energy </w:t>
      </w:r>
      <w:r>
        <w:rPr>
          <w:i/>
          <w:sz w:val="24"/>
        </w:rPr>
        <w:t xml:space="preserve">Efficiency and </w:t>
      </w:r>
      <w:r>
        <w:rPr>
          <w:i/>
          <w:spacing w:val="-3"/>
          <w:sz w:val="24"/>
        </w:rPr>
        <w:t xml:space="preserve">Renewable Energy </w:t>
      </w:r>
      <w:r>
        <w:rPr>
          <w:i/>
          <w:sz w:val="24"/>
        </w:rPr>
        <w:t>Project</w:t>
      </w:r>
      <w:r>
        <w:rPr>
          <w:sz w:val="24"/>
        </w:rPr>
        <w:t xml:space="preserve">. </w:t>
      </w:r>
      <w:r>
        <w:rPr>
          <w:spacing w:val="-3"/>
          <w:sz w:val="24"/>
        </w:rPr>
        <w:t xml:space="preserve">Washington, </w:t>
      </w:r>
      <w:r>
        <w:rPr>
          <w:sz w:val="24"/>
        </w:rPr>
        <w:t xml:space="preserve">DC, USA: The World </w:t>
      </w:r>
      <w:r>
        <w:rPr>
          <w:spacing w:val="-3"/>
          <w:sz w:val="24"/>
        </w:rPr>
        <w:t>Bank.</w:t>
      </w:r>
    </w:p>
    <w:p w:rsidR="00F3177F" w:rsidRDefault="00F3177F">
      <w:pPr>
        <w:pStyle w:val="BodyText"/>
      </w:pPr>
    </w:p>
    <w:p w:rsidR="00F3177F" w:rsidRDefault="0089671D">
      <w:pPr>
        <w:spacing w:before="143" w:line="360" w:lineRule="auto"/>
        <w:ind w:left="1124" w:right="119" w:hanging="540"/>
        <w:jc w:val="both"/>
        <w:rPr>
          <w:sz w:val="24"/>
        </w:rPr>
      </w:pPr>
      <w:r>
        <w:rPr>
          <w:sz w:val="24"/>
        </w:rPr>
        <w:t>World</w:t>
      </w:r>
      <w:r>
        <w:rPr>
          <w:spacing w:val="-7"/>
          <w:sz w:val="24"/>
        </w:rPr>
        <w:t xml:space="preserve"> </w:t>
      </w:r>
      <w:r>
        <w:rPr>
          <w:spacing w:val="-3"/>
          <w:sz w:val="24"/>
        </w:rPr>
        <w:t>Bank,</w:t>
      </w:r>
      <w:r>
        <w:rPr>
          <w:spacing w:val="-4"/>
          <w:sz w:val="24"/>
        </w:rPr>
        <w:t xml:space="preserve"> </w:t>
      </w:r>
      <w:r>
        <w:rPr>
          <w:spacing w:val="-3"/>
          <w:sz w:val="24"/>
        </w:rPr>
        <w:t>(2015).</w:t>
      </w:r>
      <w:r>
        <w:rPr>
          <w:spacing w:val="-4"/>
          <w:sz w:val="24"/>
        </w:rPr>
        <w:t xml:space="preserve"> </w:t>
      </w:r>
      <w:r>
        <w:rPr>
          <w:i/>
          <w:sz w:val="24"/>
        </w:rPr>
        <w:t>Building</w:t>
      </w:r>
      <w:r>
        <w:rPr>
          <w:i/>
          <w:spacing w:val="-7"/>
          <w:sz w:val="24"/>
        </w:rPr>
        <w:t xml:space="preserve"> </w:t>
      </w:r>
      <w:r>
        <w:rPr>
          <w:i/>
          <w:sz w:val="24"/>
        </w:rPr>
        <w:t>Stock</w:t>
      </w:r>
      <w:r>
        <w:rPr>
          <w:i/>
          <w:spacing w:val="-8"/>
          <w:sz w:val="24"/>
        </w:rPr>
        <w:t xml:space="preserve"> </w:t>
      </w:r>
      <w:r>
        <w:rPr>
          <w:i/>
          <w:sz w:val="24"/>
        </w:rPr>
        <w:t>Study</w:t>
      </w:r>
      <w:r>
        <w:rPr>
          <w:i/>
          <w:spacing w:val="-8"/>
          <w:sz w:val="24"/>
        </w:rPr>
        <w:t xml:space="preserve"> </w:t>
      </w:r>
      <w:r>
        <w:rPr>
          <w:i/>
          <w:sz w:val="24"/>
        </w:rPr>
        <w:t>Kosovo:</w:t>
      </w:r>
      <w:r>
        <w:rPr>
          <w:i/>
          <w:spacing w:val="-5"/>
          <w:sz w:val="24"/>
        </w:rPr>
        <w:t xml:space="preserve"> </w:t>
      </w:r>
      <w:r>
        <w:rPr>
          <w:i/>
          <w:spacing w:val="-3"/>
          <w:sz w:val="24"/>
        </w:rPr>
        <w:t>Feasibility</w:t>
      </w:r>
      <w:r>
        <w:rPr>
          <w:i/>
          <w:spacing w:val="-7"/>
          <w:sz w:val="24"/>
        </w:rPr>
        <w:t xml:space="preserve"> </w:t>
      </w:r>
      <w:r>
        <w:rPr>
          <w:i/>
          <w:sz w:val="24"/>
        </w:rPr>
        <w:t>Study</w:t>
      </w:r>
      <w:r>
        <w:rPr>
          <w:i/>
          <w:spacing w:val="-8"/>
          <w:sz w:val="24"/>
        </w:rPr>
        <w:t xml:space="preserve"> </w:t>
      </w:r>
      <w:r>
        <w:rPr>
          <w:i/>
          <w:sz w:val="24"/>
        </w:rPr>
        <w:t>of</w:t>
      </w:r>
      <w:r>
        <w:rPr>
          <w:i/>
          <w:spacing w:val="-4"/>
          <w:sz w:val="24"/>
        </w:rPr>
        <w:t xml:space="preserve"> </w:t>
      </w:r>
      <w:r>
        <w:rPr>
          <w:i/>
          <w:spacing w:val="-3"/>
          <w:sz w:val="24"/>
        </w:rPr>
        <w:t>Energy</w:t>
      </w:r>
      <w:r>
        <w:rPr>
          <w:i/>
          <w:spacing w:val="-8"/>
          <w:sz w:val="24"/>
        </w:rPr>
        <w:t xml:space="preserve"> </w:t>
      </w:r>
      <w:r>
        <w:rPr>
          <w:i/>
          <w:sz w:val="24"/>
        </w:rPr>
        <w:t xml:space="preserve">Efficiency and </w:t>
      </w:r>
      <w:r>
        <w:rPr>
          <w:i/>
          <w:spacing w:val="-3"/>
          <w:sz w:val="24"/>
        </w:rPr>
        <w:t xml:space="preserve">Implementation Measures </w:t>
      </w:r>
      <w:r>
        <w:rPr>
          <w:i/>
          <w:sz w:val="24"/>
        </w:rPr>
        <w:t xml:space="preserve">in Public Buildings in </w:t>
      </w:r>
      <w:r>
        <w:rPr>
          <w:i/>
          <w:spacing w:val="-3"/>
          <w:sz w:val="24"/>
        </w:rPr>
        <w:t xml:space="preserve">Kosovo, prepared </w:t>
      </w:r>
      <w:r>
        <w:rPr>
          <w:i/>
          <w:sz w:val="24"/>
        </w:rPr>
        <w:t xml:space="preserve">by </w:t>
      </w:r>
      <w:proofErr w:type="gramStart"/>
      <w:r>
        <w:rPr>
          <w:i/>
          <w:sz w:val="24"/>
        </w:rPr>
        <w:t>iC</w:t>
      </w:r>
      <w:proofErr w:type="gramEnd"/>
      <w:r>
        <w:rPr>
          <w:i/>
          <w:sz w:val="24"/>
        </w:rPr>
        <w:t xml:space="preserve"> </w:t>
      </w:r>
      <w:r>
        <w:rPr>
          <w:i/>
          <w:spacing w:val="-3"/>
          <w:sz w:val="24"/>
        </w:rPr>
        <w:t>clean energy</w:t>
      </w:r>
      <w:r>
        <w:rPr>
          <w:i/>
          <w:spacing w:val="-12"/>
          <w:sz w:val="24"/>
        </w:rPr>
        <w:t xml:space="preserve"> </w:t>
      </w:r>
      <w:r>
        <w:rPr>
          <w:i/>
          <w:spacing w:val="-2"/>
          <w:sz w:val="24"/>
        </w:rPr>
        <w:t>solutions</w:t>
      </w:r>
      <w:r>
        <w:rPr>
          <w:spacing w:val="-2"/>
          <w:sz w:val="24"/>
        </w:rPr>
        <w:t>.</w:t>
      </w:r>
      <w:r>
        <w:rPr>
          <w:spacing w:val="-11"/>
          <w:sz w:val="24"/>
        </w:rPr>
        <w:t xml:space="preserve"> </w:t>
      </w:r>
      <w:r>
        <w:rPr>
          <w:sz w:val="24"/>
        </w:rPr>
        <w:t>Washington,</w:t>
      </w:r>
      <w:r>
        <w:rPr>
          <w:spacing w:val="-11"/>
          <w:sz w:val="24"/>
        </w:rPr>
        <w:t xml:space="preserve"> </w:t>
      </w:r>
      <w:r>
        <w:rPr>
          <w:sz w:val="24"/>
        </w:rPr>
        <w:t>DC,</w:t>
      </w:r>
      <w:r>
        <w:rPr>
          <w:spacing w:val="-9"/>
          <w:sz w:val="24"/>
        </w:rPr>
        <w:t xml:space="preserve"> </w:t>
      </w:r>
      <w:r>
        <w:rPr>
          <w:sz w:val="24"/>
        </w:rPr>
        <w:t>USA:</w:t>
      </w:r>
      <w:r>
        <w:rPr>
          <w:spacing w:val="-11"/>
          <w:sz w:val="24"/>
        </w:rPr>
        <w:t xml:space="preserve"> </w:t>
      </w:r>
      <w:r>
        <w:rPr>
          <w:sz w:val="24"/>
        </w:rPr>
        <w:t>The</w:t>
      </w:r>
      <w:r>
        <w:rPr>
          <w:spacing w:val="-12"/>
          <w:sz w:val="24"/>
        </w:rPr>
        <w:t xml:space="preserve"> </w:t>
      </w:r>
      <w:r>
        <w:rPr>
          <w:sz w:val="24"/>
        </w:rPr>
        <w:t>World</w:t>
      </w:r>
      <w:r>
        <w:rPr>
          <w:spacing w:val="-11"/>
          <w:sz w:val="24"/>
        </w:rPr>
        <w:t xml:space="preserve"> </w:t>
      </w:r>
      <w:r>
        <w:rPr>
          <w:spacing w:val="-3"/>
          <w:sz w:val="24"/>
        </w:rPr>
        <w:t>Bank.</w:t>
      </w:r>
    </w:p>
    <w:p w:rsidR="00F3177F" w:rsidRDefault="00F3177F">
      <w:pPr>
        <w:pStyle w:val="BodyText"/>
      </w:pPr>
    </w:p>
    <w:p w:rsidR="00F3177F" w:rsidRDefault="0089671D">
      <w:pPr>
        <w:spacing w:before="143" w:line="360" w:lineRule="auto"/>
        <w:ind w:left="1124" w:right="118" w:hanging="540"/>
        <w:jc w:val="both"/>
        <w:rPr>
          <w:sz w:val="24"/>
        </w:rPr>
      </w:pPr>
      <w:r>
        <w:rPr>
          <w:sz w:val="24"/>
        </w:rPr>
        <w:t xml:space="preserve">World </w:t>
      </w:r>
      <w:r>
        <w:rPr>
          <w:spacing w:val="-3"/>
          <w:sz w:val="24"/>
        </w:rPr>
        <w:t xml:space="preserve">Bank </w:t>
      </w:r>
      <w:r>
        <w:rPr>
          <w:sz w:val="24"/>
        </w:rPr>
        <w:t xml:space="preserve">Groups. </w:t>
      </w:r>
      <w:r>
        <w:rPr>
          <w:spacing w:val="-3"/>
          <w:sz w:val="24"/>
        </w:rPr>
        <w:t xml:space="preserve">(2016). </w:t>
      </w:r>
      <w:r>
        <w:rPr>
          <w:i/>
          <w:spacing w:val="-3"/>
          <w:sz w:val="24"/>
        </w:rPr>
        <w:t xml:space="preserve">Kosovo: Options </w:t>
      </w:r>
      <w:r>
        <w:rPr>
          <w:i/>
          <w:sz w:val="24"/>
        </w:rPr>
        <w:t xml:space="preserve">for </w:t>
      </w:r>
      <w:r>
        <w:rPr>
          <w:i/>
          <w:spacing w:val="-3"/>
          <w:sz w:val="24"/>
        </w:rPr>
        <w:t xml:space="preserve">Financing Energy </w:t>
      </w:r>
      <w:r>
        <w:rPr>
          <w:i/>
          <w:sz w:val="24"/>
        </w:rPr>
        <w:t xml:space="preserve">Efficiency in Public </w:t>
      </w:r>
      <w:r>
        <w:rPr>
          <w:i/>
          <w:spacing w:val="-3"/>
          <w:sz w:val="24"/>
        </w:rPr>
        <w:t>Buildings</w:t>
      </w:r>
      <w:r>
        <w:rPr>
          <w:spacing w:val="-3"/>
          <w:sz w:val="24"/>
        </w:rPr>
        <w:t xml:space="preserve">. Washington, </w:t>
      </w:r>
      <w:r>
        <w:rPr>
          <w:sz w:val="24"/>
        </w:rPr>
        <w:t>DC, USA: The World Bank.</w:t>
      </w:r>
    </w:p>
    <w:p w:rsidR="00F3177F" w:rsidRDefault="00F3177F">
      <w:pPr>
        <w:spacing w:line="360" w:lineRule="auto"/>
        <w:jc w:val="both"/>
        <w:rPr>
          <w:sz w:val="24"/>
        </w:rPr>
        <w:sectPr w:rsidR="00F3177F">
          <w:pgSz w:w="12240" w:h="15840"/>
          <w:pgMar w:top="1380" w:right="1320" w:bottom="2320" w:left="1720" w:header="0" w:footer="2072" w:gutter="0"/>
          <w:cols w:space="720"/>
        </w:sectPr>
      </w:pPr>
    </w:p>
    <w:p w:rsidR="00F3177F" w:rsidRDefault="0089671D">
      <w:pPr>
        <w:spacing w:before="54" w:line="360" w:lineRule="auto"/>
        <w:ind w:left="1124" w:right="114" w:hanging="540"/>
        <w:jc w:val="both"/>
        <w:rPr>
          <w:sz w:val="24"/>
        </w:rPr>
      </w:pPr>
      <w:r>
        <w:rPr>
          <w:sz w:val="24"/>
        </w:rPr>
        <w:lastRenderedPageBreak/>
        <w:t xml:space="preserve">Wu, S., Neale, K., Williamson, M., &amp; Hornby, M. (2010). Research opportunities in main-tenance of office building services systems. </w:t>
      </w:r>
      <w:r>
        <w:rPr>
          <w:i/>
          <w:sz w:val="24"/>
        </w:rPr>
        <w:t>Journal of Quality Maintenance Engineering</w:t>
      </w:r>
      <w:r>
        <w:rPr>
          <w:sz w:val="24"/>
        </w:rPr>
        <w:t xml:space="preserve">, </w:t>
      </w:r>
      <w:r>
        <w:rPr>
          <w:i/>
          <w:sz w:val="24"/>
        </w:rPr>
        <w:t xml:space="preserve">16 </w:t>
      </w:r>
      <w:r>
        <w:rPr>
          <w:sz w:val="24"/>
        </w:rPr>
        <w:t>(1), 23-33.</w:t>
      </w:r>
    </w:p>
    <w:p w:rsidR="00F3177F" w:rsidRDefault="00F3177F">
      <w:pPr>
        <w:pStyle w:val="BodyText"/>
        <w:spacing w:before="3"/>
      </w:pPr>
    </w:p>
    <w:p w:rsidR="00F3177F" w:rsidRDefault="0089671D">
      <w:pPr>
        <w:spacing w:before="1" w:line="360" w:lineRule="auto"/>
        <w:ind w:left="1124" w:right="114" w:hanging="540"/>
        <w:jc w:val="both"/>
        <w:rPr>
          <w:sz w:val="24"/>
        </w:rPr>
      </w:pPr>
      <w:r>
        <w:rPr>
          <w:sz w:val="24"/>
        </w:rPr>
        <w:t xml:space="preserve">Xue, F.J. (2002). </w:t>
      </w:r>
      <w:r>
        <w:rPr>
          <w:i/>
          <w:sz w:val="24"/>
        </w:rPr>
        <w:t>Flexible programs and evaluation study on Elementary School Joint Classrooms</w:t>
      </w:r>
      <w:r>
        <w:rPr>
          <w:sz w:val="24"/>
        </w:rPr>
        <w:t>. National Taiwan University, Taiwan, China.</w:t>
      </w:r>
    </w:p>
    <w:p w:rsidR="00F3177F" w:rsidRDefault="00F3177F">
      <w:pPr>
        <w:pStyle w:val="BodyText"/>
        <w:spacing w:before="1"/>
        <w:rPr>
          <w:sz w:val="28"/>
        </w:rPr>
      </w:pPr>
    </w:p>
    <w:p w:rsidR="00F3177F" w:rsidRDefault="0089671D">
      <w:pPr>
        <w:ind w:left="584" w:right="65"/>
        <w:rPr>
          <w:sz w:val="24"/>
        </w:rPr>
      </w:pPr>
      <w:r>
        <w:rPr>
          <w:sz w:val="24"/>
        </w:rPr>
        <w:t xml:space="preserve">Zehner, O. (2012). </w:t>
      </w:r>
      <w:hyperlink r:id="rId148">
        <w:r>
          <w:rPr>
            <w:i/>
            <w:sz w:val="24"/>
          </w:rPr>
          <w:t>Green Illusions</w:t>
        </w:r>
        <w:r>
          <w:rPr>
            <w:sz w:val="24"/>
          </w:rPr>
          <w:t>.</w:t>
        </w:r>
      </w:hyperlink>
      <w:r>
        <w:rPr>
          <w:sz w:val="24"/>
        </w:rPr>
        <w:t xml:space="preserve"> London: UNP.</w:t>
      </w:r>
    </w:p>
    <w:p w:rsidR="00F3177F" w:rsidRDefault="00F3177F">
      <w:pPr>
        <w:pStyle w:val="BodyText"/>
      </w:pPr>
    </w:p>
    <w:p w:rsidR="00F3177F" w:rsidRDefault="00F3177F">
      <w:pPr>
        <w:pStyle w:val="BodyText"/>
      </w:pPr>
    </w:p>
    <w:p w:rsidR="00F3177F" w:rsidRDefault="0089671D">
      <w:pPr>
        <w:pStyle w:val="BodyText"/>
        <w:spacing w:line="360" w:lineRule="auto"/>
        <w:ind w:left="1124" w:right="119" w:hanging="540"/>
        <w:jc w:val="both"/>
      </w:pPr>
      <w:r>
        <w:rPr>
          <w:spacing w:val="-3"/>
        </w:rPr>
        <w:t xml:space="preserve">Zeiler, </w:t>
      </w:r>
      <w:r>
        <w:t xml:space="preserve">W., &amp; </w:t>
      </w:r>
      <w:r>
        <w:rPr>
          <w:spacing w:val="-3"/>
        </w:rPr>
        <w:t xml:space="preserve">Boxem, </w:t>
      </w:r>
      <w:r>
        <w:t xml:space="preserve">G. </w:t>
      </w:r>
      <w:r>
        <w:rPr>
          <w:spacing w:val="-3"/>
        </w:rPr>
        <w:t xml:space="preserve">(2009). Effects </w:t>
      </w:r>
      <w:r>
        <w:t xml:space="preserve">of thermal </w:t>
      </w:r>
      <w:r>
        <w:rPr>
          <w:spacing w:val="-3"/>
        </w:rPr>
        <w:t xml:space="preserve">activated </w:t>
      </w:r>
      <w:r>
        <w:t xml:space="preserve">building systems in </w:t>
      </w:r>
      <w:r>
        <w:rPr>
          <w:spacing w:val="-3"/>
        </w:rPr>
        <w:t xml:space="preserve">schools </w:t>
      </w:r>
      <w:r>
        <w:t xml:space="preserve">on </w:t>
      </w:r>
      <w:r>
        <w:rPr>
          <w:spacing w:val="-3"/>
        </w:rPr>
        <w:t xml:space="preserve">thermal comfort </w:t>
      </w:r>
      <w:r>
        <w:t xml:space="preserve">in </w:t>
      </w:r>
      <w:r>
        <w:rPr>
          <w:spacing w:val="-3"/>
        </w:rPr>
        <w:t xml:space="preserve">winter. </w:t>
      </w:r>
      <w:r>
        <w:rPr>
          <w:i/>
          <w:spacing w:val="-3"/>
        </w:rPr>
        <w:t xml:space="preserve">Building </w:t>
      </w:r>
      <w:r>
        <w:rPr>
          <w:i/>
        </w:rPr>
        <w:t xml:space="preserve">and </w:t>
      </w:r>
      <w:r>
        <w:rPr>
          <w:i/>
          <w:spacing w:val="-3"/>
        </w:rPr>
        <w:t xml:space="preserve">Environment, </w:t>
      </w:r>
      <w:r>
        <w:rPr>
          <w:i/>
        </w:rPr>
        <w:t xml:space="preserve">44 </w:t>
      </w:r>
      <w:r>
        <w:rPr>
          <w:spacing w:val="-3"/>
        </w:rPr>
        <w:t>(11), 2308-2317.</w:t>
      </w:r>
    </w:p>
    <w:p w:rsidR="00F3177F" w:rsidRDefault="00F3177F">
      <w:pPr>
        <w:pStyle w:val="BodyText"/>
      </w:pPr>
    </w:p>
    <w:p w:rsidR="00F3177F" w:rsidRDefault="0089671D">
      <w:pPr>
        <w:pStyle w:val="BodyText"/>
        <w:spacing w:before="143" w:line="360" w:lineRule="auto"/>
        <w:ind w:left="1124" w:right="112" w:hanging="540"/>
        <w:jc w:val="both"/>
      </w:pPr>
      <w:r>
        <w:rPr>
          <w:spacing w:val="-3"/>
        </w:rPr>
        <w:t xml:space="preserve">Zinzi, </w:t>
      </w:r>
      <w:r>
        <w:t xml:space="preserve">M., </w:t>
      </w:r>
      <w:r>
        <w:rPr>
          <w:spacing w:val="-3"/>
        </w:rPr>
        <w:t xml:space="preserve">Battistini, </w:t>
      </w:r>
      <w:r>
        <w:t xml:space="preserve">G. &amp; Ragazzini, V. </w:t>
      </w:r>
      <w:r>
        <w:rPr>
          <w:spacing w:val="-3"/>
        </w:rPr>
        <w:t xml:space="preserve">(2015).  </w:t>
      </w:r>
      <w:r>
        <w:t xml:space="preserve">Energy </w:t>
      </w:r>
      <w:r>
        <w:rPr>
          <w:spacing w:val="-3"/>
        </w:rPr>
        <w:t xml:space="preserve">and environmental </w:t>
      </w:r>
      <w:proofErr w:type="gramStart"/>
      <w:r>
        <w:rPr>
          <w:spacing w:val="-3"/>
        </w:rPr>
        <w:t xml:space="preserve">monitoring  </w:t>
      </w:r>
      <w:r>
        <w:t>of</w:t>
      </w:r>
      <w:proofErr w:type="gramEnd"/>
      <w:r>
        <w:t xml:space="preserve"> a </w:t>
      </w:r>
      <w:r>
        <w:rPr>
          <w:spacing w:val="-3"/>
        </w:rPr>
        <w:t xml:space="preserve">school </w:t>
      </w:r>
      <w:r>
        <w:t xml:space="preserve">building deep energy </w:t>
      </w:r>
      <w:r>
        <w:rPr>
          <w:spacing w:val="-3"/>
        </w:rPr>
        <w:t xml:space="preserve">renovation </w:t>
      </w:r>
      <w:r>
        <w:t xml:space="preserve">in </w:t>
      </w:r>
      <w:r>
        <w:rPr>
          <w:spacing w:val="-3"/>
        </w:rPr>
        <w:t xml:space="preserve">Italy. </w:t>
      </w:r>
      <w:r>
        <w:rPr>
          <w:i/>
        </w:rPr>
        <w:t xml:space="preserve">Energy </w:t>
      </w:r>
      <w:r>
        <w:rPr>
          <w:i/>
          <w:spacing w:val="-3"/>
        </w:rPr>
        <w:t xml:space="preserve">Procedia, </w:t>
      </w:r>
      <w:r>
        <w:rPr>
          <w:i/>
        </w:rPr>
        <w:t>78</w:t>
      </w:r>
      <w:r>
        <w:t xml:space="preserve">, 3318- </w:t>
      </w:r>
      <w:r>
        <w:rPr>
          <w:spacing w:val="-3"/>
        </w:rPr>
        <w:t>3323</w:t>
      </w:r>
    </w:p>
    <w:p w:rsidR="00F3177F" w:rsidRDefault="00F3177F">
      <w:pPr>
        <w:pStyle w:val="BodyText"/>
        <w:spacing w:before="1"/>
        <w:rPr>
          <w:sz w:val="28"/>
        </w:rPr>
      </w:pPr>
    </w:p>
    <w:p w:rsidR="00F3177F" w:rsidRDefault="0089671D">
      <w:pPr>
        <w:spacing w:line="355" w:lineRule="auto"/>
        <w:ind w:left="1124" w:right="120" w:hanging="540"/>
        <w:jc w:val="both"/>
        <w:rPr>
          <w:sz w:val="24"/>
        </w:rPr>
      </w:pPr>
      <w:r>
        <w:rPr>
          <w:sz w:val="24"/>
        </w:rPr>
        <w:t>Zhou, P., Ang, B. W., &amp; Wang, H. (2012). Energy and CO</w:t>
      </w:r>
      <w:r>
        <w:rPr>
          <w:position w:val="-2"/>
          <w:sz w:val="16"/>
        </w:rPr>
        <w:t xml:space="preserve">2 </w:t>
      </w:r>
      <w:r>
        <w:rPr>
          <w:sz w:val="24"/>
        </w:rPr>
        <w:t xml:space="preserve">emission performance in electricity generation: A non-radial directional distance function approach. </w:t>
      </w:r>
      <w:r>
        <w:rPr>
          <w:i/>
          <w:sz w:val="24"/>
        </w:rPr>
        <w:t>European Journal of Operational Research</w:t>
      </w:r>
      <w:r>
        <w:rPr>
          <w:sz w:val="24"/>
        </w:rPr>
        <w:t xml:space="preserve">, </w:t>
      </w:r>
      <w:r>
        <w:rPr>
          <w:i/>
          <w:sz w:val="24"/>
        </w:rPr>
        <w:t xml:space="preserve">221 </w:t>
      </w:r>
      <w:r>
        <w:rPr>
          <w:sz w:val="24"/>
        </w:rPr>
        <w:t>(3), 625-635.</w:t>
      </w:r>
    </w:p>
    <w:p w:rsidR="00F3177F" w:rsidRDefault="00F3177F">
      <w:pPr>
        <w:spacing w:line="355" w:lineRule="auto"/>
        <w:jc w:val="both"/>
        <w:rPr>
          <w:sz w:val="24"/>
        </w:rPr>
        <w:sectPr w:rsidR="00F3177F">
          <w:pgSz w:w="12240" w:h="15840"/>
          <w:pgMar w:top="1380" w:right="1320" w:bottom="2320" w:left="1720" w:header="0" w:footer="2072" w:gutter="0"/>
          <w:cols w:space="720"/>
        </w:sectPr>
      </w:pPr>
    </w:p>
    <w:p w:rsidR="00F3177F" w:rsidRDefault="0089671D">
      <w:pPr>
        <w:pStyle w:val="Heading1"/>
        <w:ind w:left="4119" w:right="3675"/>
        <w:jc w:val="center"/>
      </w:pPr>
      <w:r>
        <w:lastRenderedPageBreak/>
        <w:t>Appendices</w:t>
      </w:r>
    </w:p>
    <w:p w:rsidR="00F3177F" w:rsidRDefault="0089671D">
      <w:pPr>
        <w:pStyle w:val="BodyText"/>
        <w:spacing w:before="157" w:line="360" w:lineRule="auto"/>
        <w:ind w:left="584" w:right="173"/>
      </w:pPr>
      <w:r>
        <w:rPr>
          <w:b/>
        </w:rPr>
        <w:t xml:space="preserve">Appendix A. </w:t>
      </w:r>
      <w:r>
        <w:t>Örebro Questionnaire and the average complaint percentages for the MINECSs and the MAXECSs energy consuming state schools in PCM.</w:t>
      </w:r>
    </w:p>
    <w:p w:rsidR="00F3177F" w:rsidRDefault="00F3177F">
      <w:pPr>
        <w:pStyle w:val="BodyText"/>
        <w:spacing w:before="9"/>
        <w:rPr>
          <w:sz w:val="18"/>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94"/>
        <w:gridCol w:w="1311"/>
        <w:gridCol w:w="1217"/>
      </w:tblGrid>
      <w:tr w:rsidR="00F3177F">
        <w:trPr>
          <w:trHeight w:hRule="exact" w:val="456"/>
        </w:trPr>
        <w:tc>
          <w:tcPr>
            <w:tcW w:w="5994" w:type="dxa"/>
            <w:vMerge w:val="restart"/>
            <w:tcBorders>
              <w:right w:val="single" w:sz="4" w:space="0" w:color="000000"/>
            </w:tcBorders>
          </w:tcPr>
          <w:p w:rsidR="00F3177F" w:rsidRDefault="00F3177F">
            <w:pPr>
              <w:pStyle w:val="TableParagraph"/>
              <w:spacing w:before="6"/>
              <w:rPr>
                <w:sz w:val="24"/>
              </w:rPr>
            </w:pPr>
          </w:p>
          <w:p w:rsidR="00F3177F" w:rsidRDefault="0089671D">
            <w:pPr>
              <w:pStyle w:val="TableParagraph"/>
              <w:ind w:left="1647" w:right="104"/>
              <w:rPr>
                <w:sz w:val="24"/>
              </w:rPr>
            </w:pPr>
            <w:r>
              <w:rPr>
                <w:sz w:val="24"/>
              </w:rPr>
              <w:t>Örebro Questionnaire Items</w:t>
            </w:r>
          </w:p>
        </w:tc>
        <w:tc>
          <w:tcPr>
            <w:tcW w:w="2528" w:type="dxa"/>
            <w:gridSpan w:val="2"/>
            <w:tcBorders>
              <w:left w:val="single" w:sz="4" w:space="0" w:color="000000"/>
              <w:bottom w:val="single" w:sz="4" w:space="0" w:color="000000"/>
            </w:tcBorders>
          </w:tcPr>
          <w:p w:rsidR="00F3177F" w:rsidRDefault="0089671D">
            <w:pPr>
              <w:pStyle w:val="TableParagraph"/>
              <w:spacing w:before="56"/>
              <w:ind w:left="475"/>
              <w:rPr>
                <w:sz w:val="24"/>
              </w:rPr>
            </w:pPr>
            <w:r>
              <w:rPr>
                <w:sz w:val="24"/>
              </w:rPr>
              <w:t>Percentages (%)</w:t>
            </w:r>
          </w:p>
        </w:tc>
      </w:tr>
      <w:tr w:rsidR="00F3177F">
        <w:trPr>
          <w:trHeight w:hRule="exact" w:val="449"/>
        </w:trPr>
        <w:tc>
          <w:tcPr>
            <w:tcW w:w="5994" w:type="dxa"/>
            <w:vMerge/>
            <w:tcBorders>
              <w:bottom w:val="single" w:sz="4" w:space="0" w:color="000000"/>
              <w:right w:val="single" w:sz="4" w:space="0" w:color="000000"/>
            </w:tcBorders>
          </w:tcPr>
          <w:p w:rsidR="00F3177F" w:rsidRDefault="00F3177F"/>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59"/>
              <w:ind w:left="83" w:right="84"/>
              <w:jc w:val="center"/>
              <w:rPr>
                <w:sz w:val="24"/>
              </w:rPr>
            </w:pPr>
            <w:r>
              <w:rPr>
                <w:sz w:val="24"/>
              </w:rPr>
              <w:t>MAXECSs</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59"/>
              <w:ind w:left="83" w:right="79"/>
              <w:jc w:val="center"/>
              <w:rPr>
                <w:sz w:val="24"/>
              </w:rPr>
            </w:pPr>
            <w:r>
              <w:rPr>
                <w:sz w:val="24"/>
              </w:rPr>
              <w:t>MINECSs</w:t>
            </w:r>
          </w:p>
        </w:tc>
      </w:tr>
      <w:tr w:rsidR="00F3177F">
        <w:trPr>
          <w:trHeight w:hRule="exact" w:val="540"/>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02"/>
              <w:ind w:left="1406" w:right="104"/>
              <w:rPr>
                <w:sz w:val="24"/>
              </w:rPr>
            </w:pPr>
            <w:r>
              <w:rPr>
                <w:sz w:val="24"/>
              </w:rPr>
              <w:t xml:space="preserve">HEALTH - How are you </w:t>
            </w:r>
            <w:proofErr w:type="gramStart"/>
            <w:r>
              <w:rPr>
                <w:sz w:val="24"/>
              </w:rPr>
              <w:t>today ?</w:t>
            </w:r>
            <w:proofErr w:type="gramEnd"/>
          </w:p>
        </w:tc>
        <w:tc>
          <w:tcPr>
            <w:tcW w:w="2528" w:type="dxa"/>
            <w:gridSpan w:val="2"/>
            <w:tcBorders>
              <w:top w:val="single" w:sz="4" w:space="0" w:color="000000"/>
              <w:left w:val="single" w:sz="4" w:space="0" w:color="000000"/>
              <w:bottom w:val="single" w:sz="4" w:space="0" w:color="000000"/>
            </w:tcBorders>
          </w:tcPr>
          <w:p w:rsidR="00F3177F" w:rsidRDefault="00F3177F"/>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4. Are you tired?</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41.3</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54.5</w:t>
            </w:r>
          </w:p>
        </w:tc>
      </w:tr>
      <w:tr w:rsidR="00F3177F">
        <w:trPr>
          <w:trHeight w:hRule="exact" w:val="445"/>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5. Does your head feel heavy?</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37.5</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43.8</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
              <w:ind w:left="98" w:right="104"/>
              <w:rPr>
                <w:sz w:val="24"/>
              </w:rPr>
            </w:pPr>
            <w:r>
              <w:rPr>
                <w:sz w:val="24"/>
              </w:rPr>
              <w:t>6. Do you have a headache?</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1"/>
              <w:ind w:left="82" w:right="84"/>
              <w:jc w:val="center"/>
              <w:rPr>
                <w:sz w:val="24"/>
              </w:rPr>
            </w:pPr>
            <w:r>
              <w:rPr>
                <w:sz w:val="24"/>
              </w:rPr>
              <w:t>28.8</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1"/>
              <w:ind w:left="83" w:right="79"/>
              <w:jc w:val="center"/>
              <w:rPr>
                <w:sz w:val="24"/>
              </w:rPr>
            </w:pPr>
            <w:r>
              <w:rPr>
                <w:sz w:val="24"/>
              </w:rPr>
              <w:t>35.8</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7. Do you feel faint (lightheaded) or dizzy?</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19.6</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23.9</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8. Do you have trouble concentrating?</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27.9</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38.6</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9. Do your eyes itch or sting?</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23.8</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31.3</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10. Are you hoarse or dry in the throat?</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17.5</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23.3</w:t>
            </w:r>
          </w:p>
        </w:tc>
      </w:tr>
      <w:tr w:rsidR="00F3177F">
        <w:trPr>
          <w:trHeight w:hRule="exact" w:val="444"/>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11. Do you have a runny or stuffy nose?</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12.5</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11.9</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
              <w:ind w:left="98" w:right="104"/>
              <w:rPr>
                <w:sz w:val="24"/>
              </w:rPr>
            </w:pPr>
            <w:r>
              <w:rPr>
                <w:sz w:val="24"/>
              </w:rPr>
              <w:t>12. Do you have a cough?</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1"/>
              <w:ind w:left="82" w:right="84"/>
              <w:jc w:val="center"/>
              <w:rPr>
                <w:sz w:val="24"/>
              </w:rPr>
            </w:pPr>
            <w:r>
              <w:rPr>
                <w:sz w:val="24"/>
              </w:rPr>
              <w:t>7.5</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1"/>
              <w:ind w:left="83" w:right="79"/>
              <w:jc w:val="center"/>
              <w:rPr>
                <w:sz w:val="24"/>
              </w:rPr>
            </w:pPr>
            <w:r>
              <w:rPr>
                <w:sz w:val="24"/>
              </w:rPr>
              <w:t>13.1</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13. Do you have a cold?</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3" w:right="83"/>
              <w:jc w:val="center"/>
              <w:rPr>
                <w:sz w:val="24"/>
              </w:rPr>
            </w:pPr>
            <w:r>
              <w:rPr>
                <w:sz w:val="24"/>
              </w:rPr>
              <w:t>10</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11.4</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14. Do your hands or face itch?</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10.8</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12.5</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15. Are you sick or unwell in any other way?</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16.7</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21.6</w:t>
            </w:r>
          </w:p>
        </w:tc>
      </w:tr>
      <w:tr w:rsidR="00F3177F">
        <w:trPr>
          <w:trHeight w:hRule="exact" w:val="540"/>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02"/>
              <w:ind w:left="302" w:right="104"/>
              <w:rPr>
                <w:sz w:val="24"/>
              </w:rPr>
            </w:pPr>
            <w:r>
              <w:rPr>
                <w:sz w:val="24"/>
              </w:rPr>
              <w:t>WELL-BEING - What is it like in the classroom today?</w:t>
            </w:r>
          </w:p>
        </w:tc>
        <w:tc>
          <w:tcPr>
            <w:tcW w:w="2528" w:type="dxa"/>
            <w:gridSpan w:val="2"/>
            <w:tcBorders>
              <w:top w:val="single" w:sz="4" w:space="0" w:color="000000"/>
              <w:left w:val="single" w:sz="4" w:space="0" w:color="000000"/>
              <w:bottom w:val="single" w:sz="4" w:space="0" w:color="000000"/>
            </w:tcBorders>
          </w:tcPr>
          <w:p w:rsidR="00F3177F" w:rsidRDefault="00F3177F"/>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16. Is it too hot?</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28.8</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45.5</w:t>
            </w:r>
          </w:p>
        </w:tc>
      </w:tr>
      <w:tr w:rsidR="00F3177F">
        <w:trPr>
          <w:trHeight w:hRule="exact" w:val="444"/>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17. Does the heat/temperature from the Sun disturb?</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44.6</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65.3</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
              <w:ind w:left="98" w:right="104"/>
              <w:rPr>
                <w:sz w:val="24"/>
              </w:rPr>
            </w:pPr>
            <w:r>
              <w:rPr>
                <w:sz w:val="24"/>
              </w:rPr>
              <w:t>18. Do you feel cold in the classroom in WINTER?</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1"/>
              <w:ind w:left="82" w:right="84"/>
              <w:jc w:val="center"/>
              <w:rPr>
                <w:sz w:val="24"/>
              </w:rPr>
            </w:pPr>
            <w:r>
              <w:rPr>
                <w:sz w:val="24"/>
              </w:rPr>
              <w:t>45.4</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1"/>
              <w:ind w:left="81" w:right="79"/>
              <w:jc w:val="center"/>
              <w:rPr>
                <w:sz w:val="24"/>
              </w:rPr>
            </w:pPr>
            <w:r>
              <w:rPr>
                <w:sz w:val="24"/>
              </w:rPr>
              <w:t>75</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4"/>
              <w:ind w:left="98" w:right="104"/>
              <w:rPr>
                <w:sz w:val="24"/>
              </w:rPr>
            </w:pPr>
            <w:r>
              <w:rPr>
                <w:sz w:val="24"/>
              </w:rPr>
              <w:t>19. Do you feel the draft on your feet or on your neck?</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4"/>
              <w:ind w:left="82" w:right="84"/>
              <w:jc w:val="center"/>
              <w:rPr>
                <w:sz w:val="24"/>
              </w:rPr>
            </w:pPr>
            <w:r>
              <w:rPr>
                <w:sz w:val="24"/>
              </w:rPr>
              <w:t>13.8</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4"/>
              <w:ind w:left="83" w:right="79"/>
              <w:jc w:val="center"/>
              <w:rPr>
                <w:sz w:val="24"/>
              </w:rPr>
            </w:pPr>
            <w:r>
              <w:rPr>
                <w:sz w:val="24"/>
              </w:rPr>
              <w:t>13.6</w:t>
            </w:r>
          </w:p>
        </w:tc>
      </w:tr>
      <w:tr w:rsidR="00F3177F">
        <w:trPr>
          <w:trHeight w:hRule="exact" w:val="646"/>
        </w:trPr>
        <w:tc>
          <w:tcPr>
            <w:tcW w:w="5994" w:type="dxa"/>
            <w:tcBorders>
              <w:top w:val="single" w:sz="4" w:space="0" w:color="000000"/>
              <w:bottom w:val="single" w:sz="4" w:space="0" w:color="000000"/>
              <w:right w:val="single" w:sz="4" w:space="0" w:color="000000"/>
            </w:tcBorders>
          </w:tcPr>
          <w:p w:rsidR="00F3177F" w:rsidRDefault="0089671D">
            <w:pPr>
              <w:pStyle w:val="TableParagraph"/>
              <w:spacing w:line="276" w:lineRule="auto"/>
              <w:ind w:left="98" w:right="104"/>
              <w:rPr>
                <w:sz w:val="24"/>
              </w:rPr>
            </w:pPr>
            <w:r>
              <w:rPr>
                <w:sz w:val="24"/>
              </w:rPr>
              <w:t>20. Are you plagued (affected negatively) by changing the temperature in the room?</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104"/>
              <w:ind w:left="82" w:right="84"/>
              <w:jc w:val="center"/>
              <w:rPr>
                <w:sz w:val="24"/>
              </w:rPr>
            </w:pPr>
            <w:r>
              <w:rPr>
                <w:sz w:val="24"/>
              </w:rPr>
              <w:t>31.3</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104"/>
              <w:ind w:left="83" w:right="79"/>
              <w:jc w:val="center"/>
              <w:rPr>
                <w:sz w:val="24"/>
              </w:rPr>
            </w:pPr>
            <w:r>
              <w:rPr>
                <w:sz w:val="24"/>
              </w:rPr>
              <w:t>44.3</w:t>
            </w:r>
          </w:p>
        </w:tc>
      </w:tr>
      <w:tr w:rsidR="00F3177F">
        <w:trPr>
          <w:trHeight w:hRule="exact" w:val="442"/>
        </w:trPr>
        <w:tc>
          <w:tcPr>
            <w:tcW w:w="5994" w:type="dxa"/>
            <w:tcBorders>
              <w:top w:val="single" w:sz="4" w:space="0" w:color="000000"/>
              <w:bottom w:val="single" w:sz="4" w:space="0" w:color="000000"/>
              <w:right w:val="single" w:sz="4" w:space="0" w:color="000000"/>
            </w:tcBorders>
          </w:tcPr>
          <w:p w:rsidR="00F3177F" w:rsidRDefault="0089671D">
            <w:pPr>
              <w:pStyle w:val="TableParagraph"/>
              <w:spacing w:before="1"/>
              <w:ind w:left="98" w:right="104"/>
              <w:rPr>
                <w:sz w:val="24"/>
              </w:rPr>
            </w:pPr>
            <w:r>
              <w:rPr>
                <w:sz w:val="24"/>
              </w:rPr>
              <w:t>21. Does the air feel heavy or poor (bad)?</w:t>
            </w:r>
          </w:p>
        </w:tc>
        <w:tc>
          <w:tcPr>
            <w:tcW w:w="1311" w:type="dxa"/>
            <w:tcBorders>
              <w:top w:val="single" w:sz="4" w:space="0" w:color="000000"/>
              <w:left w:val="single" w:sz="4" w:space="0" w:color="000000"/>
              <w:bottom w:val="single" w:sz="4" w:space="0" w:color="000000"/>
              <w:right w:val="single" w:sz="4" w:space="0" w:color="000000"/>
            </w:tcBorders>
          </w:tcPr>
          <w:p w:rsidR="00F3177F" w:rsidRDefault="0089671D">
            <w:pPr>
              <w:pStyle w:val="TableParagraph"/>
              <w:spacing w:before="1"/>
              <w:ind w:left="82" w:right="84"/>
              <w:jc w:val="center"/>
              <w:rPr>
                <w:sz w:val="24"/>
              </w:rPr>
            </w:pPr>
            <w:r>
              <w:rPr>
                <w:sz w:val="24"/>
              </w:rPr>
              <w:t>39.2</w:t>
            </w:r>
          </w:p>
        </w:tc>
        <w:tc>
          <w:tcPr>
            <w:tcW w:w="1217" w:type="dxa"/>
            <w:tcBorders>
              <w:top w:val="single" w:sz="4" w:space="0" w:color="000000"/>
              <w:left w:val="single" w:sz="4" w:space="0" w:color="000000"/>
              <w:bottom w:val="single" w:sz="4" w:space="0" w:color="000000"/>
            </w:tcBorders>
          </w:tcPr>
          <w:p w:rsidR="00F3177F" w:rsidRDefault="0089671D">
            <w:pPr>
              <w:pStyle w:val="TableParagraph"/>
              <w:spacing w:before="1"/>
              <w:ind w:left="83" w:right="79"/>
              <w:jc w:val="center"/>
              <w:rPr>
                <w:sz w:val="24"/>
              </w:rPr>
            </w:pPr>
            <w:r>
              <w:rPr>
                <w:sz w:val="24"/>
              </w:rPr>
              <w:t>65.9</w:t>
            </w:r>
          </w:p>
        </w:tc>
      </w:tr>
    </w:tbl>
    <w:p w:rsidR="00F3177F" w:rsidRDefault="00F3177F">
      <w:pPr>
        <w:jc w:val="center"/>
        <w:rPr>
          <w:sz w:val="24"/>
        </w:rPr>
        <w:sectPr w:rsidR="00F3177F">
          <w:pgSz w:w="12240" w:h="15840"/>
          <w:pgMar w:top="1400" w:right="1300" w:bottom="2320" w:left="1720" w:header="0" w:footer="2072" w:gutter="0"/>
          <w:cols w:space="720"/>
        </w:sect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4"/>
        <w:gridCol w:w="1311"/>
        <w:gridCol w:w="1217"/>
      </w:tblGrid>
      <w:tr w:rsidR="00F3177F">
        <w:trPr>
          <w:trHeight w:hRule="exact" w:val="442"/>
        </w:trPr>
        <w:tc>
          <w:tcPr>
            <w:tcW w:w="5994" w:type="dxa"/>
          </w:tcPr>
          <w:p w:rsidR="00F3177F" w:rsidRDefault="0089671D">
            <w:pPr>
              <w:pStyle w:val="TableParagraph"/>
              <w:spacing w:before="4"/>
              <w:ind w:left="103"/>
              <w:rPr>
                <w:sz w:val="24"/>
              </w:rPr>
            </w:pPr>
            <w:r>
              <w:rPr>
                <w:sz w:val="24"/>
              </w:rPr>
              <w:lastRenderedPageBreak/>
              <w:t>22. Does the air feel dry?</w:t>
            </w:r>
          </w:p>
        </w:tc>
        <w:tc>
          <w:tcPr>
            <w:tcW w:w="1311" w:type="dxa"/>
          </w:tcPr>
          <w:p w:rsidR="00F3177F" w:rsidRDefault="0089671D">
            <w:pPr>
              <w:pStyle w:val="TableParagraph"/>
              <w:spacing w:before="4"/>
              <w:ind w:left="82" w:right="84"/>
              <w:jc w:val="center"/>
              <w:rPr>
                <w:sz w:val="24"/>
              </w:rPr>
            </w:pPr>
            <w:r>
              <w:rPr>
                <w:sz w:val="24"/>
              </w:rPr>
              <w:t>27.5</w:t>
            </w:r>
          </w:p>
        </w:tc>
        <w:tc>
          <w:tcPr>
            <w:tcW w:w="1217" w:type="dxa"/>
          </w:tcPr>
          <w:p w:rsidR="00F3177F" w:rsidRDefault="0089671D">
            <w:pPr>
              <w:pStyle w:val="TableParagraph"/>
              <w:spacing w:before="4"/>
              <w:ind w:left="373" w:right="373"/>
              <w:jc w:val="center"/>
              <w:rPr>
                <w:sz w:val="24"/>
              </w:rPr>
            </w:pPr>
            <w:r>
              <w:rPr>
                <w:sz w:val="24"/>
              </w:rPr>
              <w:t>45.5</w:t>
            </w:r>
          </w:p>
        </w:tc>
      </w:tr>
      <w:tr w:rsidR="00F3177F">
        <w:trPr>
          <w:trHeight w:hRule="exact" w:val="442"/>
        </w:trPr>
        <w:tc>
          <w:tcPr>
            <w:tcW w:w="5994" w:type="dxa"/>
          </w:tcPr>
          <w:p w:rsidR="00F3177F" w:rsidRDefault="0089671D">
            <w:pPr>
              <w:pStyle w:val="TableParagraph"/>
              <w:spacing w:before="4"/>
              <w:ind w:left="103"/>
              <w:rPr>
                <w:sz w:val="24"/>
              </w:rPr>
            </w:pPr>
            <w:r>
              <w:rPr>
                <w:sz w:val="24"/>
              </w:rPr>
              <w:t>23. Are there any unpleasant odors (smell)?</w:t>
            </w:r>
          </w:p>
        </w:tc>
        <w:tc>
          <w:tcPr>
            <w:tcW w:w="1311" w:type="dxa"/>
          </w:tcPr>
          <w:p w:rsidR="00F3177F" w:rsidRDefault="0089671D">
            <w:pPr>
              <w:pStyle w:val="TableParagraph"/>
              <w:spacing w:before="4"/>
              <w:ind w:left="82" w:right="84"/>
              <w:jc w:val="center"/>
              <w:rPr>
                <w:sz w:val="24"/>
              </w:rPr>
            </w:pPr>
            <w:r>
              <w:rPr>
                <w:sz w:val="24"/>
              </w:rPr>
              <w:t>31.7</w:t>
            </w:r>
          </w:p>
        </w:tc>
        <w:tc>
          <w:tcPr>
            <w:tcW w:w="1217" w:type="dxa"/>
          </w:tcPr>
          <w:p w:rsidR="00F3177F" w:rsidRDefault="0089671D">
            <w:pPr>
              <w:pStyle w:val="TableParagraph"/>
              <w:spacing w:before="4"/>
              <w:ind w:left="373" w:right="373"/>
              <w:jc w:val="center"/>
              <w:rPr>
                <w:sz w:val="24"/>
              </w:rPr>
            </w:pPr>
            <w:r>
              <w:rPr>
                <w:sz w:val="24"/>
              </w:rPr>
              <w:t>52.3</w:t>
            </w:r>
          </w:p>
        </w:tc>
      </w:tr>
      <w:tr w:rsidR="00F3177F">
        <w:trPr>
          <w:trHeight w:hRule="exact" w:val="444"/>
        </w:trPr>
        <w:tc>
          <w:tcPr>
            <w:tcW w:w="5994" w:type="dxa"/>
          </w:tcPr>
          <w:p w:rsidR="00F3177F" w:rsidRDefault="0089671D">
            <w:pPr>
              <w:pStyle w:val="TableParagraph"/>
              <w:spacing w:before="4"/>
              <w:ind w:left="103"/>
              <w:rPr>
                <w:sz w:val="24"/>
              </w:rPr>
            </w:pPr>
            <w:r>
              <w:rPr>
                <w:sz w:val="24"/>
              </w:rPr>
              <w:t>24. Is it hard to hear what is being said in the classroom?</w:t>
            </w:r>
          </w:p>
        </w:tc>
        <w:tc>
          <w:tcPr>
            <w:tcW w:w="1311" w:type="dxa"/>
          </w:tcPr>
          <w:p w:rsidR="00F3177F" w:rsidRDefault="0089671D">
            <w:pPr>
              <w:pStyle w:val="TableParagraph"/>
              <w:spacing w:before="4"/>
              <w:ind w:left="82" w:right="84"/>
              <w:jc w:val="center"/>
              <w:rPr>
                <w:sz w:val="24"/>
              </w:rPr>
            </w:pPr>
            <w:r>
              <w:rPr>
                <w:sz w:val="24"/>
              </w:rPr>
              <w:t>22.5</w:t>
            </w:r>
          </w:p>
        </w:tc>
        <w:tc>
          <w:tcPr>
            <w:tcW w:w="1217" w:type="dxa"/>
          </w:tcPr>
          <w:p w:rsidR="00F3177F" w:rsidRDefault="0089671D">
            <w:pPr>
              <w:pStyle w:val="TableParagraph"/>
              <w:spacing w:before="4"/>
              <w:ind w:left="373" w:right="373"/>
              <w:jc w:val="center"/>
              <w:rPr>
                <w:sz w:val="24"/>
              </w:rPr>
            </w:pPr>
            <w:r>
              <w:rPr>
                <w:sz w:val="24"/>
              </w:rPr>
              <w:t>31.8</w:t>
            </w:r>
          </w:p>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104"/>
              <w:rPr>
                <w:sz w:val="24"/>
              </w:rPr>
            </w:pPr>
            <w:r>
              <w:rPr>
                <w:sz w:val="24"/>
              </w:rPr>
              <w:t>25. Is there distracting noise or disturbance from the students in the class?</w:t>
            </w:r>
          </w:p>
        </w:tc>
        <w:tc>
          <w:tcPr>
            <w:tcW w:w="1311" w:type="dxa"/>
          </w:tcPr>
          <w:p w:rsidR="00F3177F" w:rsidRDefault="0089671D">
            <w:pPr>
              <w:pStyle w:val="TableParagraph"/>
              <w:spacing w:before="200"/>
              <w:ind w:left="82" w:right="84"/>
              <w:jc w:val="center"/>
              <w:rPr>
                <w:sz w:val="24"/>
              </w:rPr>
            </w:pPr>
            <w:r>
              <w:rPr>
                <w:sz w:val="24"/>
              </w:rPr>
              <w:t>43.3</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38.6</w:t>
            </w:r>
          </w:p>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96"/>
              <w:rPr>
                <w:sz w:val="24"/>
              </w:rPr>
            </w:pPr>
            <w:r>
              <w:rPr>
                <w:sz w:val="24"/>
              </w:rPr>
              <w:t>26. Is there disturbing noise from the students or teachers of other classes or classrooms?</w:t>
            </w:r>
          </w:p>
        </w:tc>
        <w:tc>
          <w:tcPr>
            <w:tcW w:w="1311" w:type="dxa"/>
          </w:tcPr>
          <w:p w:rsidR="00F3177F" w:rsidRDefault="0089671D">
            <w:pPr>
              <w:pStyle w:val="TableParagraph"/>
              <w:spacing w:before="200"/>
              <w:ind w:left="82" w:right="84"/>
              <w:jc w:val="center"/>
              <w:rPr>
                <w:sz w:val="24"/>
              </w:rPr>
            </w:pPr>
            <w:r>
              <w:rPr>
                <w:sz w:val="24"/>
              </w:rPr>
              <w:t>16.7</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30.7</w:t>
            </w:r>
          </w:p>
        </w:tc>
      </w:tr>
      <w:tr w:rsidR="00F3177F">
        <w:trPr>
          <w:trHeight w:hRule="exact" w:val="838"/>
        </w:trPr>
        <w:tc>
          <w:tcPr>
            <w:tcW w:w="5994" w:type="dxa"/>
            <w:tcBorders>
              <w:left w:val="single" w:sz="8" w:space="0" w:color="000000"/>
            </w:tcBorders>
          </w:tcPr>
          <w:p w:rsidR="00F3177F" w:rsidRDefault="0089671D">
            <w:pPr>
              <w:pStyle w:val="TableParagraph"/>
              <w:tabs>
                <w:tab w:val="left" w:pos="633"/>
                <w:tab w:val="left" w:pos="1033"/>
                <w:tab w:val="left" w:pos="1746"/>
                <w:tab w:val="left" w:pos="2988"/>
                <w:tab w:val="left" w:pos="3727"/>
                <w:tab w:val="left" w:pos="4800"/>
                <w:tab w:val="left" w:pos="5579"/>
              </w:tabs>
              <w:spacing w:line="360" w:lineRule="auto"/>
              <w:ind w:left="98" w:right="104"/>
              <w:rPr>
                <w:sz w:val="24"/>
              </w:rPr>
            </w:pPr>
            <w:r>
              <w:rPr>
                <w:sz w:val="24"/>
              </w:rPr>
              <w:t>27.</w:t>
            </w:r>
            <w:r>
              <w:rPr>
                <w:sz w:val="24"/>
              </w:rPr>
              <w:tab/>
            </w:r>
            <w:r>
              <w:rPr>
                <w:spacing w:val="-3"/>
                <w:sz w:val="24"/>
              </w:rPr>
              <w:t>Is</w:t>
            </w:r>
            <w:r>
              <w:rPr>
                <w:spacing w:val="-3"/>
                <w:sz w:val="24"/>
              </w:rPr>
              <w:tab/>
            </w:r>
            <w:r>
              <w:rPr>
                <w:sz w:val="24"/>
              </w:rPr>
              <w:t>there</w:t>
            </w:r>
            <w:r>
              <w:rPr>
                <w:sz w:val="24"/>
              </w:rPr>
              <w:tab/>
              <w:t>distracting</w:t>
            </w:r>
            <w:r>
              <w:rPr>
                <w:sz w:val="24"/>
              </w:rPr>
              <w:tab/>
              <w:t>noise</w:t>
            </w:r>
            <w:r>
              <w:rPr>
                <w:sz w:val="24"/>
              </w:rPr>
              <w:tab/>
              <w:t>outdoors</w:t>
            </w:r>
            <w:r>
              <w:rPr>
                <w:sz w:val="24"/>
              </w:rPr>
              <w:tab/>
              <w:t>(from</w:t>
            </w:r>
            <w:r>
              <w:rPr>
                <w:sz w:val="24"/>
              </w:rPr>
              <w:tab/>
              <w:t>the traffic/schoolyard/ construction, or the</w:t>
            </w:r>
            <w:r>
              <w:rPr>
                <w:spacing w:val="-10"/>
                <w:sz w:val="24"/>
              </w:rPr>
              <w:t xml:space="preserve"> </w:t>
            </w:r>
            <w:r>
              <w:rPr>
                <w:sz w:val="24"/>
              </w:rPr>
              <w:t>like)?</w:t>
            </w:r>
          </w:p>
        </w:tc>
        <w:tc>
          <w:tcPr>
            <w:tcW w:w="1311" w:type="dxa"/>
          </w:tcPr>
          <w:p w:rsidR="00F3177F" w:rsidRDefault="0089671D">
            <w:pPr>
              <w:pStyle w:val="TableParagraph"/>
              <w:spacing w:before="200"/>
              <w:ind w:left="82" w:right="84"/>
              <w:jc w:val="center"/>
              <w:rPr>
                <w:sz w:val="24"/>
              </w:rPr>
            </w:pPr>
            <w:r>
              <w:rPr>
                <w:sz w:val="24"/>
              </w:rPr>
              <w:t>22.5</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43.2</w:t>
            </w:r>
          </w:p>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118"/>
              <w:rPr>
                <w:sz w:val="24"/>
              </w:rPr>
            </w:pPr>
            <w:r>
              <w:rPr>
                <w:sz w:val="24"/>
              </w:rPr>
              <w:t xml:space="preserve">28. </w:t>
            </w:r>
            <w:r>
              <w:rPr>
                <w:spacing w:val="-3"/>
                <w:sz w:val="24"/>
              </w:rPr>
              <w:t xml:space="preserve">Is </w:t>
            </w:r>
            <w:r>
              <w:rPr>
                <w:sz w:val="24"/>
              </w:rPr>
              <w:t>there distracting hiss or noise from ventilation or other things in the</w:t>
            </w:r>
            <w:r>
              <w:rPr>
                <w:spacing w:val="-5"/>
                <w:sz w:val="24"/>
              </w:rPr>
              <w:t xml:space="preserve"> </w:t>
            </w:r>
            <w:r>
              <w:rPr>
                <w:sz w:val="24"/>
              </w:rPr>
              <w:t>building?</w:t>
            </w:r>
          </w:p>
        </w:tc>
        <w:tc>
          <w:tcPr>
            <w:tcW w:w="1311" w:type="dxa"/>
          </w:tcPr>
          <w:p w:rsidR="00F3177F" w:rsidRDefault="0089671D">
            <w:pPr>
              <w:pStyle w:val="TableParagraph"/>
              <w:spacing w:before="200"/>
              <w:ind w:left="82" w:right="84"/>
              <w:jc w:val="center"/>
              <w:rPr>
                <w:sz w:val="24"/>
              </w:rPr>
            </w:pPr>
            <w:r>
              <w:rPr>
                <w:sz w:val="24"/>
              </w:rPr>
              <w:t>7.9</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11.9</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29. Is the light good enough at your workplace?</w:t>
            </w:r>
          </w:p>
        </w:tc>
        <w:tc>
          <w:tcPr>
            <w:tcW w:w="1311" w:type="dxa"/>
          </w:tcPr>
          <w:p w:rsidR="00F3177F" w:rsidRDefault="0089671D">
            <w:pPr>
              <w:pStyle w:val="TableParagraph"/>
              <w:spacing w:before="4"/>
              <w:ind w:left="82" w:right="84"/>
              <w:jc w:val="center"/>
              <w:rPr>
                <w:sz w:val="24"/>
              </w:rPr>
            </w:pPr>
            <w:r>
              <w:rPr>
                <w:sz w:val="24"/>
              </w:rPr>
              <w:t>84.6</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80.7</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30. Is there reflection from the blackboard?</w:t>
            </w:r>
          </w:p>
        </w:tc>
        <w:tc>
          <w:tcPr>
            <w:tcW w:w="1311" w:type="dxa"/>
          </w:tcPr>
          <w:p w:rsidR="00F3177F" w:rsidRDefault="0089671D">
            <w:pPr>
              <w:pStyle w:val="TableParagraph"/>
              <w:spacing w:before="4"/>
              <w:ind w:left="82" w:right="84"/>
              <w:jc w:val="center"/>
              <w:rPr>
                <w:sz w:val="24"/>
              </w:rPr>
            </w:pPr>
            <w:r>
              <w:rPr>
                <w:sz w:val="24"/>
              </w:rPr>
              <w:t>37.1</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42.6</w:t>
            </w:r>
          </w:p>
        </w:tc>
      </w:tr>
      <w:tr w:rsidR="00F3177F">
        <w:trPr>
          <w:trHeight w:hRule="exact" w:val="444"/>
        </w:trPr>
        <w:tc>
          <w:tcPr>
            <w:tcW w:w="5994" w:type="dxa"/>
            <w:tcBorders>
              <w:left w:val="single" w:sz="8" w:space="0" w:color="000000"/>
            </w:tcBorders>
          </w:tcPr>
          <w:p w:rsidR="00F3177F" w:rsidRDefault="0089671D">
            <w:pPr>
              <w:pStyle w:val="TableParagraph"/>
              <w:spacing w:before="4"/>
              <w:ind w:left="98" w:right="104"/>
              <w:rPr>
                <w:sz w:val="24"/>
              </w:rPr>
            </w:pPr>
            <w:r>
              <w:rPr>
                <w:sz w:val="24"/>
              </w:rPr>
              <w:t>31. Is there annoying light from the Sun?</w:t>
            </w:r>
          </w:p>
        </w:tc>
        <w:tc>
          <w:tcPr>
            <w:tcW w:w="1311" w:type="dxa"/>
          </w:tcPr>
          <w:p w:rsidR="00F3177F" w:rsidRDefault="0089671D">
            <w:pPr>
              <w:pStyle w:val="TableParagraph"/>
              <w:spacing w:before="4"/>
              <w:ind w:left="83" w:right="83"/>
              <w:jc w:val="center"/>
              <w:rPr>
                <w:sz w:val="24"/>
              </w:rPr>
            </w:pPr>
            <w:r>
              <w:rPr>
                <w:sz w:val="24"/>
              </w:rPr>
              <w:t>40</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57.4</w:t>
            </w:r>
          </w:p>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104"/>
              <w:rPr>
                <w:sz w:val="24"/>
              </w:rPr>
            </w:pPr>
            <w:r>
              <w:rPr>
                <w:sz w:val="24"/>
              </w:rPr>
              <w:t>32. Have you received an electric shock when touched by something (static electricity)?</w:t>
            </w:r>
          </w:p>
        </w:tc>
        <w:tc>
          <w:tcPr>
            <w:tcW w:w="1311" w:type="dxa"/>
          </w:tcPr>
          <w:p w:rsidR="00F3177F" w:rsidRDefault="0089671D">
            <w:pPr>
              <w:pStyle w:val="TableParagraph"/>
              <w:spacing w:before="200"/>
              <w:ind w:left="82" w:right="84"/>
              <w:jc w:val="center"/>
              <w:rPr>
                <w:sz w:val="24"/>
              </w:rPr>
            </w:pPr>
            <w:r>
              <w:rPr>
                <w:sz w:val="24"/>
              </w:rPr>
              <w:t>15.4</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21.6</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33. Is it clean enough in the classroom?</w:t>
            </w:r>
          </w:p>
        </w:tc>
        <w:tc>
          <w:tcPr>
            <w:tcW w:w="1311" w:type="dxa"/>
          </w:tcPr>
          <w:p w:rsidR="00F3177F" w:rsidRDefault="0089671D">
            <w:pPr>
              <w:pStyle w:val="TableParagraph"/>
              <w:spacing w:before="4"/>
              <w:ind w:left="82" w:right="84"/>
              <w:jc w:val="center"/>
              <w:rPr>
                <w:sz w:val="24"/>
              </w:rPr>
            </w:pPr>
            <w:r>
              <w:rPr>
                <w:sz w:val="24"/>
              </w:rPr>
              <w:t>73.3</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38.1</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34. Do you enjoy well in school?</w:t>
            </w:r>
          </w:p>
        </w:tc>
        <w:tc>
          <w:tcPr>
            <w:tcW w:w="1311" w:type="dxa"/>
          </w:tcPr>
          <w:p w:rsidR="00F3177F" w:rsidRDefault="0089671D">
            <w:pPr>
              <w:pStyle w:val="TableParagraph"/>
              <w:spacing w:before="4"/>
              <w:ind w:left="82" w:right="84"/>
              <w:jc w:val="center"/>
              <w:rPr>
                <w:sz w:val="24"/>
              </w:rPr>
            </w:pPr>
            <w:r>
              <w:rPr>
                <w:sz w:val="24"/>
              </w:rPr>
              <w:t>88.8</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86.4</w:t>
            </w:r>
          </w:p>
        </w:tc>
      </w:tr>
      <w:tr w:rsidR="00F3177F">
        <w:trPr>
          <w:trHeight w:hRule="exact" w:val="379"/>
        </w:trPr>
        <w:tc>
          <w:tcPr>
            <w:tcW w:w="5994" w:type="dxa"/>
            <w:tcBorders>
              <w:left w:val="single" w:sz="8" w:space="0" w:color="000000"/>
            </w:tcBorders>
          </w:tcPr>
          <w:p w:rsidR="00F3177F" w:rsidRDefault="0089671D">
            <w:pPr>
              <w:pStyle w:val="TableParagraph"/>
              <w:spacing w:before="37"/>
              <w:ind w:left="1824" w:right="104"/>
              <w:rPr>
                <w:sz w:val="24"/>
              </w:rPr>
            </w:pPr>
            <w:r>
              <w:rPr>
                <w:sz w:val="24"/>
              </w:rPr>
              <w:t>OTHER CONDITIONS</w:t>
            </w:r>
          </w:p>
        </w:tc>
        <w:tc>
          <w:tcPr>
            <w:tcW w:w="2528" w:type="dxa"/>
            <w:gridSpan w:val="2"/>
            <w:tcBorders>
              <w:right w:val="single" w:sz="8" w:space="0" w:color="000000"/>
            </w:tcBorders>
          </w:tcPr>
          <w:p w:rsidR="00F3177F" w:rsidRDefault="00F3177F"/>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104"/>
              <w:rPr>
                <w:sz w:val="24"/>
              </w:rPr>
            </w:pPr>
            <w:r>
              <w:rPr>
                <w:sz w:val="24"/>
              </w:rPr>
              <w:t>35. Do you have trouble seeing what's on the board (even if you use glasses)?</w:t>
            </w:r>
          </w:p>
        </w:tc>
        <w:tc>
          <w:tcPr>
            <w:tcW w:w="1311" w:type="dxa"/>
          </w:tcPr>
          <w:p w:rsidR="00F3177F" w:rsidRDefault="0089671D">
            <w:pPr>
              <w:pStyle w:val="TableParagraph"/>
              <w:spacing w:before="200"/>
              <w:ind w:left="82" w:right="84"/>
              <w:jc w:val="center"/>
              <w:rPr>
                <w:sz w:val="24"/>
              </w:rPr>
            </w:pPr>
            <w:r>
              <w:rPr>
                <w:sz w:val="24"/>
              </w:rPr>
              <w:t>19.2</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23.3</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36. Have you eaten anything today?</w:t>
            </w:r>
          </w:p>
        </w:tc>
        <w:tc>
          <w:tcPr>
            <w:tcW w:w="1311" w:type="dxa"/>
          </w:tcPr>
          <w:p w:rsidR="00F3177F" w:rsidRDefault="0089671D">
            <w:pPr>
              <w:pStyle w:val="TableParagraph"/>
              <w:spacing w:before="4"/>
              <w:ind w:left="82" w:right="84"/>
              <w:jc w:val="center"/>
              <w:rPr>
                <w:sz w:val="24"/>
              </w:rPr>
            </w:pPr>
            <w:r>
              <w:rPr>
                <w:sz w:val="24"/>
              </w:rPr>
              <w:t>68.8</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58.6</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37. Do you have asthma?</w:t>
            </w:r>
          </w:p>
        </w:tc>
        <w:tc>
          <w:tcPr>
            <w:tcW w:w="1311" w:type="dxa"/>
          </w:tcPr>
          <w:p w:rsidR="00F3177F" w:rsidRDefault="0089671D">
            <w:pPr>
              <w:pStyle w:val="TableParagraph"/>
              <w:spacing w:before="4"/>
              <w:ind w:left="83" w:right="83"/>
              <w:jc w:val="center"/>
              <w:rPr>
                <w:sz w:val="24"/>
              </w:rPr>
            </w:pPr>
            <w:r>
              <w:rPr>
                <w:sz w:val="24"/>
              </w:rPr>
              <w:t>29</w:t>
            </w:r>
          </w:p>
        </w:tc>
        <w:tc>
          <w:tcPr>
            <w:tcW w:w="1217" w:type="dxa"/>
            <w:tcBorders>
              <w:right w:val="single" w:sz="8" w:space="0" w:color="000000"/>
            </w:tcBorders>
          </w:tcPr>
          <w:p w:rsidR="00F3177F" w:rsidRDefault="0089671D">
            <w:pPr>
              <w:pStyle w:val="TableParagraph"/>
              <w:spacing w:before="4"/>
              <w:ind w:left="81" w:right="79"/>
              <w:jc w:val="center"/>
              <w:rPr>
                <w:sz w:val="24"/>
              </w:rPr>
            </w:pPr>
            <w:r>
              <w:rPr>
                <w:sz w:val="24"/>
              </w:rPr>
              <w:t>40</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38. Do you have allergies bothering?</w:t>
            </w:r>
          </w:p>
        </w:tc>
        <w:tc>
          <w:tcPr>
            <w:tcW w:w="1311" w:type="dxa"/>
          </w:tcPr>
          <w:p w:rsidR="00F3177F" w:rsidRDefault="0089671D">
            <w:pPr>
              <w:pStyle w:val="TableParagraph"/>
              <w:spacing w:before="4"/>
              <w:ind w:left="82" w:right="84"/>
              <w:jc w:val="center"/>
              <w:rPr>
                <w:sz w:val="24"/>
              </w:rPr>
            </w:pPr>
            <w:r>
              <w:rPr>
                <w:sz w:val="24"/>
              </w:rPr>
              <w:t>14.2</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22.2</w:t>
            </w:r>
          </w:p>
        </w:tc>
      </w:tr>
      <w:tr w:rsidR="00F3177F">
        <w:trPr>
          <w:trHeight w:hRule="exact" w:val="442"/>
        </w:trPr>
        <w:tc>
          <w:tcPr>
            <w:tcW w:w="5994" w:type="dxa"/>
            <w:tcBorders>
              <w:left w:val="single" w:sz="8" w:space="0" w:color="000000"/>
            </w:tcBorders>
          </w:tcPr>
          <w:p w:rsidR="00F3177F" w:rsidRDefault="0089671D">
            <w:pPr>
              <w:pStyle w:val="TableParagraph"/>
              <w:spacing w:before="4"/>
              <w:ind w:left="98" w:right="104"/>
              <w:rPr>
                <w:sz w:val="24"/>
              </w:rPr>
            </w:pPr>
            <w:r>
              <w:rPr>
                <w:sz w:val="24"/>
              </w:rPr>
              <w:t>39. Do you use regular medication for asthma or allergies?</w:t>
            </w:r>
          </w:p>
        </w:tc>
        <w:tc>
          <w:tcPr>
            <w:tcW w:w="1311" w:type="dxa"/>
          </w:tcPr>
          <w:p w:rsidR="00F3177F" w:rsidRDefault="0089671D">
            <w:pPr>
              <w:pStyle w:val="TableParagraph"/>
              <w:spacing w:before="4"/>
              <w:ind w:left="82" w:right="84"/>
              <w:jc w:val="center"/>
              <w:rPr>
                <w:sz w:val="24"/>
              </w:rPr>
            </w:pPr>
            <w:r>
              <w:rPr>
                <w:sz w:val="24"/>
              </w:rPr>
              <w:t>5.8</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10.2</w:t>
            </w:r>
          </w:p>
        </w:tc>
      </w:tr>
      <w:tr w:rsidR="00F3177F">
        <w:trPr>
          <w:trHeight w:hRule="exact" w:val="444"/>
        </w:trPr>
        <w:tc>
          <w:tcPr>
            <w:tcW w:w="5994" w:type="dxa"/>
            <w:tcBorders>
              <w:left w:val="single" w:sz="8" w:space="0" w:color="000000"/>
            </w:tcBorders>
          </w:tcPr>
          <w:p w:rsidR="00F3177F" w:rsidRDefault="0089671D">
            <w:pPr>
              <w:pStyle w:val="TableParagraph"/>
              <w:spacing w:before="71"/>
              <w:ind w:left="1870" w:right="104"/>
              <w:rPr>
                <w:sz w:val="24"/>
              </w:rPr>
            </w:pPr>
            <w:r>
              <w:rPr>
                <w:sz w:val="24"/>
              </w:rPr>
              <w:t>HOME CONDITIONS</w:t>
            </w:r>
          </w:p>
        </w:tc>
        <w:tc>
          <w:tcPr>
            <w:tcW w:w="2528" w:type="dxa"/>
            <w:gridSpan w:val="2"/>
            <w:tcBorders>
              <w:right w:val="single" w:sz="8" w:space="0" w:color="000000"/>
            </w:tcBorders>
          </w:tcPr>
          <w:p w:rsidR="00F3177F" w:rsidRDefault="00F3177F"/>
        </w:tc>
      </w:tr>
      <w:tr w:rsidR="00F3177F">
        <w:trPr>
          <w:trHeight w:hRule="exact" w:val="838"/>
        </w:trPr>
        <w:tc>
          <w:tcPr>
            <w:tcW w:w="5994" w:type="dxa"/>
            <w:tcBorders>
              <w:left w:val="single" w:sz="8" w:space="0" w:color="000000"/>
            </w:tcBorders>
          </w:tcPr>
          <w:p w:rsidR="00F3177F" w:rsidRDefault="0089671D">
            <w:pPr>
              <w:pStyle w:val="TableParagraph"/>
              <w:spacing w:line="360" w:lineRule="auto"/>
              <w:ind w:left="98" w:right="89"/>
              <w:rPr>
                <w:sz w:val="24"/>
              </w:rPr>
            </w:pPr>
            <w:r>
              <w:rPr>
                <w:sz w:val="24"/>
              </w:rPr>
              <w:t>40. Do you share your bedroom with any brothers, sisters or anyone?</w:t>
            </w:r>
          </w:p>
        </w:tc>
        <w:tc>
          <w:tcPr>
            <w:tcW w:w="1311" w:type="dxa"/>
          </w:tcPr>
          <w:p w:rsidR="00F3177F" w:rsidRDefault="0089671D">
            <w:pPr>
              <w:pStyle w:val="TableParagraph"/>
              <w:spacing w:before="200"/>
              <w:ind w:left="82" w:right="84"/>
              <w:jc w:val="center"/>
              <w:rPr>
                <w:sz w:val="24"/>
              </w:rPr>
            </w:pPr>
            <w:r>
              <w:rPr>
                <w:sz w:val="24"/>
              </w:rPr>
              <w:t>67.5</w:t>
            </w:r>
          </w:p>
        </w:tc>
        <w:tc>
          <w:tcPr>
            <w:tcW w:w="1217" w:type="dxa"/>
            <w:tcBorders>
              <w:right w:val="single" w:sz="8" w:space="0" w:color="000000"/>
            </w:tcBorders>
          </w:tcPr>
          <w:p w:rsidR="00F3177F" w:rsidRDefault="0089671D">
            <w:pPr>
              <w:pStyle w:val="TableParagraph"/>
              <w:spacing w:before="200"/>
              <w:ind w:left="83" w:right="79"/>
              <w:jc w:val="center"/>
              <w:rPr>
                <w:sz w:val="24"/>
              </w:rPr>
            </w:pPr>
            <w:r>
              <w:rPr>
                <w:sz w:val="24"/>
              </w:rPr>
              <w:t>68.8</w:t>
            </w:r>
          </w:p>
        </w:tc>
      </w:tr>
    </w:tbl>
    <w:p w:rsidR="00F3177F" w:rsidRDefault="00F3177F">
      <w:pPr>
        <w:jc w:val="center"/>
        <w:rPr>
          <w:sz w:val="24"/>
        </w:rPr>
        <w:sectPr w:rsidR="00F3177F">
          <w:pgSz w:w="12240" w:h="15840"/>
          <w:pgMar w:top="1440" w:right="1300" w:bottom="2260" w:left="1720" w:header="0" w:footer="2072" w:gutter="0"/>
          <w:cols w:space="720"/>
        </w:sect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9"/>
        <w:gridCol w:w="1580"/>
        <w:gridCol w:w="1579"/>
        <w:gridCol w:w="1311"/>
        <w:gridCol w:w="1217"/>
      </w:tblGrid>
      <w:tr w:rsidR="00F3177F">
        <w:trPr>
          <w:trHeight w:hRule="exact" w:val="838"/>
        </w:trPr>
        <w:tc>
          <w:tcPr>
            <w:tcW w:w="5994" w:type="dxa"/>
            <w:gridSpan w:val="4"/>
          </w:tcPr>
          <w:p w:rsidR="00F3177F" w:rsidRDefault="0089671D">
            <w:pPr>
              <w:pStyle w:val="TableParagraph"/>
              <w:spacing w:line="362" w:lineRule="auto"/>
              <w:ind w:left="103"/>
              <w:rPr>
                <w:sz w:val="24"/>
              </w:rPr>
            </w:pPr>
            <w:r>
              <w:rPr>
                <w:sz w:val="24"/>
              </w:rPr>
              <w:lastRenderedPageBreak/>
              <w:t>41. Do you have carpet that covers the entire floor in your bedroom (wall-to-wall blanket)?</w:t>
            </w:r>
          </w:p>
        </w:tc>
        <w:tc>
          <w:tcPr>
            <w:tcW w:w="1311" w:type="dxa"/>
          </w:tcPr>
          <w:p w:rsidR="00F3177F" w:rsidRDefault="0089671D">
            <w:pPr>
              <w:pStyle w:val="TableParagraph"/>
              <w:spacing w:before="201"/>
              <w:ind w:left="439"/>
              <w:rPr>
                <w:sz w:val="24"/>
              </w:rPr>
            </w:pPr>
            <w:r>
              <w:rPr>
                <w:sz w:val="24"/>
              </w:rPr>
              <w:t>46.3</w:t>
            </w:r>
          </w:p>
        </w:tc>
        <w:tc>
          <w:tcPr>
            <w:tcW w:w="1217" w:type="dxa"/>
          </w:tcPr>
          <w:p w:rsidR="00F3177F" w:rsidRDefault="0089671D">
            <w:pPr>
              <w:pStyle w:val="TableParagraph"/>
              <w:spacing w:before="201"/>
              <w:ind w:left="373" w:right="373"/>
              <w:jc w:val="center"/>
              <w:rPr>
                <w:sz w:val="24"/>
              </w:rPr>
            </w:pPr>
            <w:r>
              <w:rPr>
                <w:sz w:val="24"/>
              </w:rPr>
              <w:t>40.9</w:t>
            </w:r>
          </w:p>
        </w:tc>
      </w:tr>
      <w:tr w:rsidR="00F3177F">
        <w:trPr>
          <w:trHeight w:hRule="exact" w:val="838"/>
        </w:trPr>
        <w:tc>
          <w:tcPr>
            <w:tcW w:w="5994" w:type="dxa"/>
            <w:gridSpan w:val="4"/>
            <w:tcBorders>
              <w:left w:val="single" w:sz="8" w:space="0" w:color="000000"/>
            </w:tcBorders>
          </w:tcPr>
          <w:p w:rsidR="00F3177F" w:rsidRDefault="0089671D">
            <w:pPr>
              <w:pStyle w:val="TableParagraph"/>
              <w:spacing w:line="360" w:lineRule="auto"/>
              <w:ind w:left="98" w:right="104"/>
              <w:rPr>
                <w:sz w:val="24"/>
              </w:rPr>
            </w:pPr>
            <w:r>
              <w:rPr>
                <w:sz w:val="24"/>
              </w:rPr>
              <w:t>42. Is your bedroom well ventilated at night (open window, or the equivalent good aeration)?</w:t>
            </w:r>
          </w:p>
        </w:tc>
        <w:tc>
          <w:tcPr>
            <w:tcW w:w="1311" w:type="dxa"/>
          </w:tcPr>
          <w:p w:rsidR="00F3177F" w:rsidRDefault="0089671D">
            <w:pPr>
              <w:pStyle w:val="TableParagraph"/>
              <w:spacing w:before="203"/>
              <w:ind w:left="439"/>
              <w:rPr>
                <w:sz w:val="24"/>
              </w:rPr>
            </w:pPr>
            <w:r>
              <w:rPr>
                <w:sz w:val="24"/>
              </w:rPr>
              <w:t>90.4</w:t>
            </w:r>
          </w:p>
        </w:tc>
        <w:tc>
          <w:tcPr>
            <w:tcW w:w="1217" w:type="dxa"/>
            <w:tcBorders>
              <w:right w:val="single" w:sz="8" w:space="0" w:color="000000"/>
            </w:tcBorders>
          </w:tcPr>
          <w:p w:rsidR="00F3177F" w:rsidRDefault="0089671D">
            <w:pPr>
              <w:pStyle w:val="TableParagraph"/>
              <w:spacing w:before="203"/>
              <w:ind w:left="83" w:right="79"/>
              <w:jc w:val="center"/>
              <w:rPr>
                <w:sz w:val="24"/>
              </w:rPr>
            </w:pPr>
            <w:r>
              <w:rPr>
                <w:sz w:val="24"/>
              </w:rPr>
              <w:t>94.9</w:t>
            </w:r>
          </w:p>
        </w:tc>
      </w:tr>
      <w:tr w:rsidR="00F3177F">
        <w:trPr>
          <w:trHeight w:hRule="exact" w:val="442"/>
        </w:trPr>
        <w:tc>
          <w:tcPr>
            <w:tcW w:w="5994" w:type="dxa"/>
            <w:gridSpan w:val="4"/>
          </w:tcPr>
          <w:p w:rsidR="00F3177F" w:rsidRDefault="0089671D">
            <w:pPr>
              <w:pStyle w:val="TableParagraph"/>
              <w:spacing w:before="4"/>
              <w:ind w:left="103"/>
              <w:rPr>
                <w:sz w:val="24"/>
              </w:rPr>
            </w:pPr>
            <w:r>
              <w:rPr>
                <w:sz w:val="24"/>
              </w:rPr>
              <w:t>43. Do you live with someone who smokes?</w:t>
            </w:r>
          </w:p>
        </w:tc>
        <w:tc>
          <w:tcPr>
            <w:tcW w:w="1311" w:type="dxa"/>
          </w:tcPr>
          <w:p w:rsidR="00F3177F" w:rsidRDefault="0089671D">
            <w:pPr>
              <w:pStyle w:val="TableParagraph"/>
              <w:spacing w:before="4"/>
              <w:ind w:left="439"/>
              <w:rPr>
                <w:sz w:val="24"/>
              </w:rPr>
            </w:pPr>
            <w:r>
              <w:rPr>
                <w:sz w:val="24"/>
              </w:rPr>
              <w:t>47.6</w:t>
            </w:r>
          </w:p>
        </w:tc>
        <w:tc>
          <w:tcPr>
            <w:tcW w:w="1217" w:type="dxa"/>
          </w:tcPr>
          <w:p w:rsidR="00F3177F" w:rsidRDefault="0089671D">
            <w:pPr>
              <w:pStyle w:val="TableParagraph"/>
              <w:spacing w:before="4"/>
              <w:ind w:left="373" w:right="373"/>
              <w:jc w:val="center"/>
              <w:rPr>
                <w:sz w:val="24"/>
              </w:rPr>
            </w:pPr>
            <w:r>
              <w:rPr>
                <w:sz w:val="24"/>
              </w:rPr>
              <w:t>54</w:t>
            </w:r>
          </w:p>
        </w:tc>
      </w:tr>
      <w:tr w:rsidR="00F3177F">
        <w:trPr>
          <w:trHeight w:hRule="exact" w:val="444"/>
        </w:trPr>
        <w:tc>
          <w:tcPr>
            <w:tcW w:w="5994" w:type="dxa"/>
            <w:gridSpan w:val="4"/>
            <w:tcBorders>
              <w:left w:val="single" w:sz="8" w:space="0" w:color="000000"/>
            </w:tcBorders>
          </w:tcPr>
          <w:p w:rsidR="00F3177F" w:rsidRDefault="0089671D">
            <w:pPr>
              <w:pStyle w:val="TableParagraph"/>
              <w:spacing w:before="4"/>
              <w:ind w:left="98" w:right="104"/>
              <w:rPr>
                <w:sz w:val="24"/>
              </w:rPr>
            </w:pPr>
            <w:r>
              <w:rPr>
                <w:sz w:val="24"/>
              </w:rPr>
              <w:t>44. Do you have a pet at home?</w:t>
            </w:r>
          </w:p>
        </w:tc>
        <w:tc>
          <w:tcPr>
            <w:tcW w:w="1311" w:type="dxa"/>
          </w:tcPr>
          <w:p w:rsidR="00F3177F" w:rsidRDefault="0089671D">
            <w:pPr>
              <w:pStyle w:val="TableParagraph"/>
              <w:spacing w:before="4"/>
              <w:ind w:left="439"/>
              <w:rPr>
                <w:sz w:val="24"/>
              </w:rPr>
            </w:pPr>
            <w:r>
              <w:rPr>
                <w:sz w:val="24"/>
              </w:rPr>
              <w:t>23.8</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18.8</w:t>
            </w:r>
          </w:p>
        </w:tc>
      </w:tr>
      <w:tr w:rsidR="00F3177F">
        <w:trPr>
          <w:trHeight w:hRule="exact" w:val="442"/>
        </w:trPr>
        <w:tc>
          <w:tcPr>
            <w:tcW w:w="5994" w:type="dxa"/>
            <w:gridSpan w:val="4"/>
            <w:tcBorders>
              <w:left w:val="single" w:sz="8" w:space="0" w:color="000000"/>
            </w:tcBorders>
          </w:tcPr>
          <w:p w:rsidR="00F3177F" w:rsidRDefault="0089671D">
            <w:pPr>
              <w:pStyle w:val="TableParagraph"/>
              <w:spacing w:before="4"/>
              <w:ind w:left="98" w:right="104"/>
              <w:rPr>
                <w:sz w:val="24"/>
              </w:rPr>
            </w:pPr>
            <w:r>
              <w:rPr>
                <w:sz w:val="24"/>
              </w:rPr>
              <w:t>45. Do you have regular contact with other animals/pets?</w:t>
            </w:r>
          </w:p>
        </w:tc>
        <w:tc>
          <w:tcPr>
            <w:tcW w:w="1311" w:type="dxa"/>
          </w:tcPr>
          <w:p w:rsidR="00F3177F" w:rsidRDefault="0089671D">
            <w:pPr>
              <w:pStyle w:val="TableParagraph"/>
              <w:spacing w:before="4"/>
              <w:ind w:left="439"/>
              <w:rPr>
                <w:sz w:val="24"/>
              </w:rPr>
            </w:pPr>
            <w:r>
              <w:rPr>
                <w:sz w:val="24"/>
              </w:rPr>
              <w:t>16.3</w:t>
            </w:r>
          </w:p>
        </w:tc>
        <w:tc>
          <w:tcPr>
            <w:tcW w:w="1217" w:type="dxa"/>
            <w:tcBorders>
              <w:right w:val="single" w:sz="8" w:space="0" w:color="000000"/>
            </w:tcBorders>
          </w:tcPr>
          <w:p w:rsidR="00F3177F" w:rsidRDefault="0089671D">
            <w:pPr>
              <w:pStyle w:val="TableParagraph"/>
              <w:spacing w:before="4"/>
              <w:ind w:left="83" w:right="79"/>
              <w:jc w:val="center"/>
              <w:rPr>
                <w:sz w:val="24"/>
              </w:rPr>
            </w:pPr>
            <w:r>
              <w:rPr>
                <w:sz w:val="24"/>
              </w:rPr>
              <w:t>18.2</w:t>
            </w:r>
          </w:p>
        </w:tc>
      </w:tr>
      <w:tr w:rsidR="00F3177F">
        <w:trPr>
          <w:trHeight w:hRule="exact" w:val="442"/>
        </w:trPr>
        <w:tc>
          <w:tcPr>
            <w:tcW w:w="5994" w:type="dxa"/>
            <w:gridSpan w:val="4"/>
          </w:tcPr>
          <w:p w:rsidR="00F3177F" w:rsidRDefault="0089671D">
            <w:pPr>
              <w:pStyle w:val="TableParagraph"/>
              <w:spacing w:before="4"/>
              <w:ind w:left="1442"/>
              <w:rPr>
                <w:sz w:val="24"/>
              </w:rPr>
            </w:pPr>
            <w:r>
              <w:rPr>
                <w:sz w:val="24"/>
              </w:rPr>
              <w:t>ENVIRONMENTAL SURVEY</w:t>
            </w:r>
          </w:p>
        </w:tc>
        <w:tc>
          <w:tcPr>
            <w:tcW w:w="2528" w:type="dxa"/>
            <w:gridSpan w:val="2"/>
            <w:vMerge w:val="restart"/>
          </w:tcPr>
          <w:p w:rsidR="00F3177F" w:rsidRDefault="00F3177F"/>
        </w:tc>
      </w:tr>
      <w:tr w:rsidR="00F3177F">
        <w:trPr>
          <w:trHeight w:hRule="exact" w:val="658"/>
        </w:trPr>
        <w:tc>
          <w:tcPr>
            <w:tcW w:w="5994" w:type="dxa"/>
            <w:gridSpan w:val="4"/>
            <w:tcBorders>
              <w:left w:val="single" w:sz="8" w:space="0" w:color="000000"/>
            </w:tcBorders>
          </w:tcPr>
          <w:p w:rsidR="00F3177F" w:rsidRDefault="0089671D">
            <w:pPr>
              <w:pStyle w:val="TableParagraph"/>
              <w:spacing w:before="112"/>
              <w:ind w:left="969" w:right="104"/>
              <w:rPr>
                <w:sz w:val="24"/>
              </w:rPr>
            </w:pPr>
            <w:r>
              <w:rPr>
                <w:sz w:val="24"/>
              </w:rPr>
              <w:t>How do you perceive the air quality now?</w:t>
            </w:r>
          </w:p>
        </w:tc>
        <w:tc>
          <w:tcPr>
            <w:tcW w:w="2528" w:type="dxa"/>
            <w:gridSpan w:val="2"/>
            <w:vMerge/>
          </w:tcPr>
          <w:p w:rsidR="00F3177F" w:rsidRDefault="00F3177F"/>
        </w:tc>
      </w:tr>
      <w:tr w:rsidR="00F3177F">
        <w:trPr>
          <w:trHeight w:hRule="exact" w:val="1394"/>
        </w:trPr>
        <w:tc>
          <w:tcPr>
            <w:tcW w:w="1416" w:type="dxa"/>
            <w:tcBorders>
              <w:left w:val="single" w:sz="8" w:space="0" w:color="000000"/>
              <w:bottom w:val="single" w:sz="8" w:space="0" w:color="000000"/>
            </w:tcBorders>
          </w:tcPr>
          <w:p w:rsidR="00F3177F" w:rsidRDefault="0089671D">
            <w:pPr>
              <w:pStyle w:val="TableParagraph"/>
              <w:spacing w:before="128"/>
              <w:ind w:left="153" w:right="155" w:hanging="1"/>
              <w:jc w:val="center"/>
              <w:rPr>
                <w:sz w:val="24"/>
              </w:rPr>
            </w:pPr>
            <w:r>
              <w:rPr>
                <w:sz w:val="24"/>
              </w:rPr>
              <w:t>Very good (clearly acceptable)</w:t>
            </w:r>
          </w:p>
          <w:p w:rsidR="00F3177F" w:rsidRDefault="0089671D">
            <w:pPr>
              <w:pStyle w:val="TableParagraph"/>
              <w:ind w:left="113" w:right="121"/>
              <w:jc w:val="center"/>
              <w:rPr>
                <w:sz w:val="24"/>
              </w:rPr>
            </w:pPr>
            <w:r>
              <w:rPr>
                <w:sz w:val="24"/>
              </w:rPr>
              <w:t>- Score as 1</w:t>
            </w:r>
          </w:p>
        </w:tc>
        <w:tc>
          <w:tcPr>
            <w:tcW w:w="1419" w:type="dxa"/>
            <w:tcBorders>
              <w:bottom w:val="single" w:sz="8" w:space="0" w:color="000000"/>
            </w:tcBorders>
          </w:tcPr>
          <w:p w:rsidR="00F3177F" w:rsidRDefault="0089671D">
            <w:pPr>
              <w:pStyle w:val="TableParagraph"/>
              <w:ind w:left="158" w:right="158" w:hanging="1"/>
              <w:jc w:val="center"/>
              <w:rPr>
                <w:sz w:val="24"/>
              </w:rPr>
            </w:pPr>
            <w:r>
              <w:rPr>
                <w:sz w:val="24"/>
              </w:rPr>
              <w:t>A little bit of good (as far as acceptable)</w:t>
            </w:r>
          </w:p>
          <w:p w:rsidR="00F3177F" w:rsidRDefault="0089671D">
            <w:pPr>
              <w:pStyle w:val="TableParagraph"/>
              <w:ind w:left="121" w:right="121"/>
              <w:jc w:val="center"/>
              <w:rPr>
                <w:sz w:val="24"/>
              </w:rPr>
            </w:pPr>
            <w:r>
              <w:rPr>
                <w:sz w:val="24"/>
              </w:rPr>
              <w:t>- Score as 2</w:t>
            </w:r>
          </w:p>
        </w:tc>
        <w:tc>
          <w:tcPr>
            <w:tcW w:w="1580" w:type="dxa"/>
            <w:tcBorders>
              <w:bottom w:val="single" w:sz="8" w:space="0" w:color="000000"/>
            </w:tcBorders>
          </w:tcPr>
          <w:p w:rsidR="00F3177F" w:rsidRDefault="0089671D">
            <w:pPr>
              <w:pStyle w:val="TableParagraph"/>
              <w:ind w:left="120" w:right="117" w:hanging="2"/>
              <w:jc w:val="center"/>
              <w:rPr>
                <w:sz w:val="24"/>
              </w:rPr>
            </w:pPr>
            <w:r>
              <w:rPr>
                <w:sz w:val="24"/>
              </w:rPr>
              <w:t xml:space="preserve">A little bit poor (as far as       </w:t>
            </w:r>
            <w:r>
              <w:rPr>
                <w:spacing w:val="-1"/>
                <w:sz w:val="24"/>
              </w:rPr>
              <w:t>unacceptable)</w:t>
            </w:r>
          </w:p>
          <w:p w:rsidR="00F3177F" w:rsidRDefault="0089671D">
            <w:pPr>
              <w:pStyle w:val="TableParagraph"/>
              <w:ind w:left="200" w:right="203"/>
              <w:jc w:val="center"/>
              <w:rPr>
                <w:sz w:val="24"/>
              </w:rPr>
            </w:pPr>
            <w:r>
              <w:rPr>
                <w:sz w:val="24"/>
              </w:rPr>
              <w:t>- Score as 3</w:t>
            </w:r>
          </w:p>
        </w:tc>
        <w:tc>
          <w:tcPr>
            <w:tcW w:w="1579" w:type="dxa"/>
            <w:tcBorders>
              <w:bottom w:val="single" w:sz="8" w:space="0" w:color="000000"/>
            </w:tcBorders>
          </w:tcPr>
          <w:p w:rsidR="00F3177F" w:rsidRDefault="0089671D">
            <w:pPr>
              <w:pStyle w:val="TableParagraph"/>
              <w:spacing w:before="128"/>
              <w:ind w:left="119" w:right="117" w:hanging="1"/>
              <w:jc w:val="center"/>
              <w:rPr>
                <w:sz w:val="24"/>
              </w:rPr>
            </w:pPr>
            <w:r>
              <w:rPr>
                <w:sz w:val="24"/>
              </w:rPr>
              <w:t>Very bad (clearly unacceptable)</w:t>
            </w:r>
          </w:p>
          <w:p w:rsidR="00F3177F" w:rsidRDefault="0089671D">
            <w:pPr>
              <w:pStyle w:val="TableParagraph"/>
              <w:ind w:left="200" w:right="203"/>
              <w:jc w:val="center"/>
              <w:rPr>
                <w:sz w:val="24"/>
              </w:rPr>
            </w:pPr>
            <w:r>
              <w:rPr>
                <w:sz w:val="24"/>
              </w:rPr>
              <w:t>- Score as 4</w:t>
            </w:r>
          </w:p>
        </w:tc>
        <w:tc>
          <w:tcPr>
            <w:tcW w:w="1311" w:type="dxa"/>
            <w:tcBorders>
              <w:bottom w:val="single" w:sz="8" w:space="0" w:color="000000"/>
            </w:tcBorders>
          </w:tcPr>
          <w:p w:rsidR="00F3177F" w:rsidRDefault="00F3177F">
            <w:pPr>
              <w:pStyle w:val="TableParagraph"/>
              <w:rPr>
                <w:sz w:val="24"/>
              </w:rPr>
            </w:pPr>
          </w:p>
          <w:p w:rsidR="00F3177F" w:rsidRDefault="0089671D">
            <w:pPr>
              <w:pStyle w:val="TableParagraph"/>
              <w:spacing w:before="200"/>
              <w:ind w:left="439"/>
              <w:rPr>
                <w:sz w:val="24"/>
              </w:rPr>
            </w:pPr>
            <w:r>
              <w:rPr>
                <w:sz w:val="24"/>
              </w:rPr>
              <w:t>2.07</w:t>
            </w:r>
          </w:p>
        </w:tc>
        <w:tc>
          <w:tcPr>
            <w:tcW w:w="1217" w:type="dxa"/>
            <w:tcBorders>
              <w:bottom w:val="single" w:sz="8" w:space="0" w:color="000000"/>
              <w:right w:val="single" w:sz="8" w:space="0" w:color="000000"/>
            </w:tcBorders>
          </w:tcPr>
          <w:p w:rsidR="00F3177F" w:rsidRDefault="00F3177F">
            <w:pPr>
              <w:pStyle w:val="TableParagraph"/>
              <w:rPr>
                <w:sz w:val="24"/>
              </w:rPr>
            </w:pPr>
          </w:p>
          <w:p w:rsidR="00F3177F" w:rsidRDefault="0089671D">
            <w:pPr>
              <w:pStyle w:val="TableParagraph"/>
              <w:spacing w:before="200"/>
              <w:ind w:left="83" w:right="79"/>
              <w:jc w:val="center"/>
              <w:rPr>
                <w:sz w:val="24"/>
              </w:rPr>
            </w:pPr>
            <w:r>
              <w:rPr>
                <w:sz w:val="24"/>
              </w:rPr>
              <w:t>2.42</w:t>
            </w:r>
          </w:p>
        </w:tc>
      </w:tr>
    </w:tbl>
    <w:p w:rsidR="00F3177F" w:rsidRDefault="00F3177F">
      <w:pPr>
        <w:jc w:val="center"/>
        <w:rPr>
          <w:sz w:val="24"/>
        </w:rPr>
        <w:sectPr w:rsidR="00F3177F">
          <w:pgSz w:w="12240" w:h="15840"/>
          <w:pgMar w:top="1440" w:right="1300" w:bottom="2260" w:left="1720" w:header="0" w:footer="2072" w:gutter="0"/>
          <w:cols w:space="720"/>
        </w:sectPr>
      </w:pPr>
    </w:p>
    <w:p w:rsidR="00F3177F" w:rsidRDefault="0089671D">
      <w:pPr>
        <w:pStyle w:val="BodyText"/>
        <w:spacing w:before="54" w:after="12" w:line="360" w:lineRule="auto"/>
        <w:ind w:left="584" w:right="151"/>
      </w:pPr>
      <w:r>
        <w:rPr>
          <w:b/>
        </w:rPr>
        <w:lastRenderedPageBreak/>
        <w:t xml:space="preserve">Appendix B. </w:t>
      </w:r>
      <w:r>
        <w:t>A Sample Primary School Energy Policy (Court Farm Primary School, 2014).</w:t>
      </w:r>
    </w:p>
    <w:p w:rsidR="00F3177F" w:rsidRDefault="0089671D">
      <w:pPr>
        <w:pStyle w:val="BodyText"/>
        <w:ind w:left="584"/>
        <w:rPr>
          <w:sz w:val="20"/>
        </w:rPr>
      </w:pPr>
      <w:r>
        <w:rPr>
          <w:noProof/>
          <w:sz w:val="20"/>
        </w:rPr>
        <w:drawing>
          <wp:inline distT="0" distB="0" distL="0" distR="0">
            <wp:extent cx="5387227" cy="7024020"/>
            <wp:effectExtent l="0" t="0" r="0" b="0"/>
            <wp:docPr id="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149" cstate="print"/>
                    <a:stretch>
                      <a:fillRect/>
                    </a:stretch>
                  </pic:blipFill>
                  <pic:spPr>
                    <a:xfrm>
                      <a:off x="0" y="0"/>
                      <a:ext cx="5387227" cy="7024020"/>
                    </a:xfrm>
                    <a:prstGeom prst="rect">
                      <a:avLst/>
                    </a:prstGeom>
                  </pic:spPr>
                </pic:pic>
              </a:graphicData>
            </a:graphic>
          </wp:inline>
        </w:drawing>
      </w:r>
    </w:p>
    <w:p w:rsidR="00F3177F" w:rsidRDefault="00F3177F">
      <w:pPr>
        <w:rPr>
          <w:sz w:val="20"/>
        </w:rPr>
        <w:sectPr w:rsidR="00F3177F">
          <w:pgSz w:w="12240" w:h="15840"/>
          <w:pgMar w:top="1380" w:right="1340" w:bottom="2260" w:left="1720" w:header="0" w:footer="2072" w:gutter="0"/>
          <w:cols w:space="720"/>
        </w:sectPr>
      </w:pPr>
    </w:p>
    <w:p w:rsidR="00F3177F" w:rsidRDefault="0089671D">
      <w:pPr>
        <w:pStyle w:val="BodyText"/>
        <w:ind w:left="584"/>
        <w:rPr>
          <w:sz w:val="20"/>
        </w:rPr>
      </w:pPr>
      <w:r>
        <w:rPr>
          <w:noProof/>
          <w:sz w:val="20"/>
        </w:rPr>
        <w:lastRenderedPageBreak/>
        <w:drawing>
          <wp:inline distT="0" distB="0" distL="0" distR="0">
            <wp:extent cx="5343595" cy="5970174"/>
            <wp:effectExtent l="0" t="0" r="0" b="0"/>
            <wp:docPr id="6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150" cstate="print"/>
                    <a:stretch>
                      <a:fillRect/>
                    </a:stretch>
                  </pic:blipFill>
                  <pic:spPr>
                    <a:xfrm>
                      <a:off x="0" y="0"/>
                      <a:ext cx="5343595" cy="5970174"/>
                    </a:xfrm>
                    <a:prstGeom prst="rect">
                      <a:avLst/>
                    </a:prstGeom>
                  </pic:spPr>
                </pic:pic>
              </a:graphicData>
            </a:graphic>
          </wp:inline>
        </w:drawing>
      </w:r>
    </w:p>
    <w:p w:rsidR="00F3177F" w:rsidRDefault="00F3177F">
      <w:pPr>
        <w:rPr>
          <w:sz w:val="20"/>
        </w:rPr>
        <w:sectPr w:rsidR="00F3177F">
          <w:pgSz w:w="12240" w:h="15840"/>
          <w:pgMar w:top="1440" w:right="1340" w:bottom="2260" w:left="1720" w:header="0" w:footer="2072" w:gutter="0"/>
          <w:cols w:space="720"/>
        </w:sectPr>
      </w:pPr>
    </w:p>
    <w:p w:rsidR="00F3177F" w:rsidRDefault="0089671D">
      <w:pPr>
        <w:pStyle w:val="BodyText"/>
        <w:spacing w:before="54" w:line="360" w:lineRule="auto"/>
        <w:ind w:left="584"/>
      </w:pPr>
      <w:r>
        <w:rPr>
          <w:b/>
          <w:spacing w:val="-3"/>
        </w:rPr>
        <w:lastRenderedPageBreak/>
        <w:t xml:space="preserve">Appendix </w:t>
      </w:r>
      <w:r>
        <w:rPr>
          <w:b/>
        </w:rPr>
        <w:t xml:space="preserve">C: </w:t>
      </w:r>
      <w:r>
        <w:t xml:space="preserve">Key Elements </w:t>
      </w:r>
      <w:r>
        <w:rPr>
          <w:spacing w:val="-3"/>
        </w:rPr>
        <w:t xml:space="preserve">and Potential Changes </w:t>
      </w:r>
      <w:r>
        <w:t xml:space="preserve">in the Kosovo </w:t>
      </w:r>
      <w:r>
        <w:rPr>
          <w:spacing w:val="-3"/>
        </w:rPr>
        <w:t xml:space="preserve">Legislative </w:t>
      </w:r>
      <w:r>
        <w:t xml:space="preserve">Framework </w:t>
      </w:r>
      <w:r>
        <w:rPr>
          <w:spacing w:val="-3"/>
        </w:rPr>
        <w:t xml:space="preserve">(World Bank </w:t>
      </w:r>
      <w:r>
        <w:t>Groups, 2016)</w:t>
      </w:r>
    </w:p>
    <w:p w:rsidR="00F3177F" w:rsidRDefault="00F3177F">
      <w:pPr>
        <w:pStyle w:val="BodyText"/>
        <w:spacing w:before="6"/>
      </w:pPr>
    </w:p>
    <w:p w:rsidR="00F3177F" w:rsidRDefault="0089671D">
      <w:pPr>
        <w:pStyle w:val="BodyText"/>
        <w:spacing w:after="12" w:line="360" w:lineRule="auto"/>
        <w:ind w:left="584"/>
      </w:pPr>
      <w:r>
        <w:t>The major elements of the existing primary and secondary legislation relevant to EE implementation are summarized below:</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6834"/>
      </w:tblGrid>
      <w:tr w:rsidR="00F3177F">
        <w:trPr>
          <w:trHeight w:hRule="exact" w:val="5807"/>
        </w:trPr>
        <w:tc>
          <w:tcPr>
            <w:tcW w:w="1625" w:type="dxa"/>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spacing w:before="9"/>
              <w:rPr>
                <w:sz w:val="23"/>
              </w:rPr>
            </w:pPr>
          </w:p>
          <w:p w:rsidR="00F3177F" w:rsidRDefault="0089671D">
            <w:pPr>
              <w:pStyle w:val="TableParagraph"/>
              <w:ind w:left="292" w:right="294" w:firstLine="1"/>
              <w:jc w:val="center"/>
              <w:rPr>
                <w:b/>
                <w:sz w:val="24"/>
              </w:rPr>
            </w:pPr>
            <w:r>
              <w:rPr>
                <w:b/>
                <w:sz w:val="24"/>
              </w:rPr>
              <w:t>Law on Energy Efficiency</w:t>
            </w:r>
          </w:p>
        </w:tc>
        <w:tc>
          <w:tcPr>
            <w:tcW w:w="6834" w:type="dxa"/>
          </w:tcPr>
          <w:p w:rsidR="00F3177F" w:rsidRDefault="0089671D">
            <w:pPr>
              <w:pStyle w:val="TableParagraph"/>
              <w:ind w:left="100" w:right="246"/>
              <w:rPr>
                <w:sz w:val="24"/>
              </w:rPr>
            </w:pPr>
            <w:r>
              <w:rPr>
                <w:sz w:val="24"/>
              </w:rPr>
              <w:t>Obligates MoED and municipalities to prepare EE action plans and set up the EE Agency and fund EE initiatives.</w:t>
            </w:r>
          </w:p>
          <w:p w:rsidR="00F3177F" w:rsidRDefault="0089671D">
            <w:pPr>
              <w:pStyle w:val="TableParagraph"/>
              <w:ind w:left="100"/>
              <w:rPr>
                <w:sz w:val="24"/>
              </w:rPr>
            </w:pPr>
            <w:r>
              <w:rPr>
                <w:sz w:val="24"/>
              </w:rPr>
              <w:t>As far as public building stock is concerned, the Law sets new responsibilities for municipalities regarding energy efficiency, water management, and other related issues. In addition, the law states that the energy and water responsibilities associated with educational institutions, public health organizations, and social services, along with environmental protection, should be shared between municipal and central authorities. The municipality is also responsible for the design and implementation of regional policies related to energy, water, and other issues, as they are an important attribute to national energy policies.</w:t>
            </w:r>
          </w:p>
          <w:p w:rsidR="00F3177F" w:rsidRDefault="0089671D">
            <w:pPr>
              <w:pStyle w:val="TableParagraph"/>
              <w:ind w:left="100" w:right="179"/>
              <w:rPr>
                <w:sz w:val="24"/>
              </w:rPr>
            </w:pPr>
            <w:r>
              <w:rPr>
                <w:sz w:val="24"/>
              </w:rPr>
              <w:t>A notable deficiency within the Law is that it does not provide incentive measures for efficient energy consumers nor does it enforce penalty provisions for failing to comply with the Law or for disregarding EE objectives. Furthermore, the Law foresees an Energy audit as a systematic procedure to obtain: (i) adequate knowledge of the existing energy consumption profile of a building or group of buildings, of an industrial operation, or of a private or public service; (ii) identification of opportunities for cost-effective energy savings; and (iii) reports on the findings.</w:t>
            </w:r>
          </w:p>
        </w:tc>
      </w:tr>
      <w:tr w:rsidR="00F3177F">
        <w:trPr>
          <w:trHeight w:hRule="exact" w:val="1272"/>
        </w:trPr>
        <w:tc>
          <w:tcPr>
            <w:tcW w:w="1625" w:type="dxa"/>
          </w:tcPr>
          <w:p w:rsidR="00F3177F" w:rsidRDefault="0089671D">
            <w:pPr>
              <w:pStyle w:val="TableParagraph"/>
              <w:ind w:left="169" w:right="171"/>
              <w:jc w:val="center"/>
              <w:rPr>
                <w:b/>
                <w:sz w:val="24"/>
              </w:rPr>
            </w:pPr>
            <w:r>
              <w:rPr>
                <w:b/>
                <w:sz w:val="24"/>
              </w:rPr>
              <w:t>Kosovo Energy Efficiency Agency</w:t>
            </w:r>
          </w:p>
        </w:tc>
        <w:tc>
          <w:tcPr>
            <w:tcW w:w="6834" w:type="dxa"/>
          </w:tcPr>
          <w:p w:rsidR="00F3177F" w:rsidRDefault="0089671D">
            <w:pPr>
              <w:pStyle w:val="TableParagraph"/>
              <w:spacing w:before="71"/>
              <w:ind w:left="100" w:right="179"/>
              <w:rPr>
                <w:sz w:val="24"/>
              </w:rPr>
            </w:pPr>
            <w:r>
              <w:rPr>
                <w:sz w:val="24"/>
              </w:rPr>
              <w:t>Established in 2011 to implement the Law on Energy Efficiency. Headed up by a Chief Executive Officer and consists of 3 divisions: the Planning Division, the Promotion and Project Development Division, and the Monitoring and Reporting Division</w:t>
            </w:r>
          </w:p>
        </w:tc>
      </w:tr>
      <w:tr w:rsidR="00F3177F">
        <w:trPr>
          <w:trHeight w:hRule="exact" w:val="998"/>
        </w:trPr>
        <w:tc>
          <w:tcPr>
            <w:tcW w:w="1625" w:type="dxa"/>
          </w:tcPr>
          <w:p w:rsidR="00F3177F" w:rsidRDefault="0089671D">
            <w:pPr>
              <w:pStyle w:val="TableParagraph"/>
              <w:spacing w:before="215"/>
              <w:ind w:left="288" w:right="286" w:firstLine="112"/>
              <w:rPr>
                <w:b/>
                <w:sz w:val="24"/>
              </w:rPr>
            </w:pPr>
            <w:r>
              <w:rPr>
                <w:b/>
                <w:sz w:val="24"/>
              </w:rPr>
              <w:t>NEEAP 2010-2018</w:t>
            </w:r>
          </w:p>
        </w:tc>
        <w:tc>
          <w:tcPr>
            <w:tcW w:w="6834" w:type="dxa"/>
          </w:tcPr>
          <w:p w:rsidR="00F3177F" w:rsidRDefault="0089671D">
            <w:pPr>
              <w:pStyle w:val="TableParagraph"/>
              <w:spacing w:before="210"/>
              <w:ind w:left="100" w:right="246"/>
              <w:rPr>
                <w:sz w:val="24"/>
              </w:rPr>
            </w:pPr>
            <w:r>
              <w:rPr>
                <w:sz w:val="24"/>
              </w:rPr>
              <w:t>As committed under the Energy Community Treaty, indicative targets for EE savings set at 9% by 2018; updated every 3 years.</w:t>
            </w:r>
          </w:p>
        </w:tc>
      </w:tr>
      <w:tr w:rsidR="00F3177F">
        <w:trPr>
          <w:trHeight w:hRule="exact" w:val="1993"/>
        </w:trPr>
        <w:tc>
          <w:tcPr>
            <w:tcW w:w="1625" w:type="dxa"/>
          </w:tcPr>
          <w:p w:rsidR="00F3177F" w:rsidRDefault="00F3177F">
            <w:pPr>
              <w:pStyle w:val="TableParagraph"/>
              <w:rPr>
                <w:sz w:val="24"/>
              </w:rPr>
            </w:pPr>
          </w:p>
          <w:p w:rsidR="00F3177F" w:rsidRDefault="00F3177F">
            <w:pPr>
              <w:pStyle w:val="TableParagraph"/>
              <w:rPr>
                <w:sz w:val="24"/>
              </w:rPr>
            </w:pPr>
          </w:p>
          <w:p w:rsidR="00F3177F" w:rsidRDefault="0089671D">
            <w:pPr>
              <w:pStyle w:val="TableParagraph"/>
              <w:spacing w:before="160"/>
              <w:ind w:left="434" w:right="406" w:hanging="12"/>
              <w:rPr>
                <w:b/>
                <w:sz w:val="24"/>
              </w:rPr>
            </w:pPr>
            <w:r>
              <w:rPr>
                <w:b/>
                <w:sz w:val="24"/>
              </w:rPr>
              <w:t>Law on Energy</w:t>
            </w:r>
          </w:p>
        </w:tc>
        <w:tc>
          <w:tcPr>
            <w:tcW w:w="6834" w:type="dxa"/>
          </w:tcPr>
          <w:p w:rsidR="00F3177F" w:rsidRDefault="0089671D">
            <w:pPr>
              <w:pStyle w:val="TableParagraph"/>
              <w:spacing w:before="18"/>
              <w:ind w:left="100" w:right="606"/>
              <w:jc w:val="both"/>
              <w:rPr>
                <w:sz w:val="24"/>
              </w:rPr>
            </w:pPr>
            <w:r>
              <w:rPr>
                <w:sz w:val="24"/>
              </w:rPr>
              <w:t>Approved in October 2010: Determines EE targets, encourages advanced metering systems, provides EE policy framework and subsequent implementation.</w:t>
            </w:r>
          </w:p>
          <w:p w:rsidR="00F3177F" w:rsidRDefault="0089671D">
            <w:pPr>
              <w:pStyle w:val="TableParagraph"/>
              <w:ind w:left="100"/>
              <w:rPr>
                <w:sz w:val="24"/>
              </w:rPr>
            </w:pPr>
            <w:r>
              <w:rPr>
                <w:sz w:val="24"/>
              </w:rPr>
              <w:t>Regarding buildings, this law states that the Ministry should, among other things, foster improvements in the energy efficiency level of buildings, and establish requirements for energy efficiency certification of buildings.</w:t>
            </w:r>
          </w:p>
        </w:tc>
      </w:tr>
    </w:tbl>
    <w:p w:rsidR="00F3177F" w:rsidRDefault="00F3177F">
      <w:pPr>
        <w:rPr>
          <w:sz w:val="24"/>
        </w:rPr>
        <w:sectPr w:rsidR="00F3177F">
          <w:pgSz w:w="12240" w:h="15840"/>
          <w:pgMar w:top="1380" w:right="1280" w:bottom="2260" w:left="1720" w:header="0" w:footer="2072" w:gutter="0"/>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6819"/>
      </w:tblGrid>
      <w:tr w:rsidR="00F3177F">
        <w:trPr>
          <w:trHeight w:hRule="exact" w:val="1697"/>
        </w:trPr>
        <w:tc>
          <w:tcPr>
            <w:tcW w:w="1625" w:type="dxa"/>
          </w:tcPr>
          <w:p w:rsidR="00F3177F" w:rsidRDefault="00F3177F">
            <w:pPr>
              <w:pStyle w:val="TableParagraph"/>
              <w:rPr>
                <w:sz w:val="24"/>
              </w:rPr>
            </w:pPr>
          </w:p>
          <w:p w:rsidR="00F3177F" w:rsidRDefault="00F3177F">
            <w:pPr>
              <w:pStyle w:val="TableParagraph"/>
              <w:rPr>
                <w:sz w:val="25"/>
              </w:rPr>
            </w:pPr>
          </w:p>
          <w:p w:rsidR="00F3177F" w:rsidRDefault="0089671D">
            <w:pPr>
              <w:pStyle w:val="TableParagraph"/>
              <w:ind w:left="134" w:right="115" w:firstLine="288"/>
              <w:rPr>
                <w:b/>
                <w:sz w:val="24"/>
              </w:rPr>
            </w:pPr>
            <w:r>
              <w:rPr>
                <w:b/>
                <w:sz w:val="24"/>
              </w:rPr>
              <w:t>Law on Construction</w:t>
            </w:r>
          </w:p>
        </w:tc>
        <w:tc>
          <w:tcPr>
            <w:tcW w:w="6819" w:type="dxa"/>
          </w:tcPr>
          <w:p w:rsidR="00F3177F" w:rsidRDefault="00F3177F">
            <w:pPr>
              <w:pStyle w:val="TableParagraph"/>
              <w:spacing w:before="6"/>
              <w:rPr>
                <w:sz w:val="24"/>
              </w:rPr>
            </w:pPr>
          </w:p>
          <w:p w:rsidR="00F3177F" w:rsidRDefault="0089671D">
            <w:pPr>
              <w:pStyle w:val="TableParagraph"/>
              <w:ind w:left="100" w:right="504"/>
              <w:rPr>
                <w:sz w:val="24"/>
              </w:rPr>
            </w:pPr>
            <w:r>
              <w:rPr>
                <w:sz w:val="24"/>
              </w:rPr>
              <w:t>Contains important features related to energy performance of buildings including building code norms for new and renovation projects, implementation of EE measures, and certificate of compliance with EE measures.</w:t>
            </w:r>
          </w:p>
        </w:tc>
      </w:tr>
      <w:tr w:rsidR="00F3177F">
        <w:trPr>
          <w:trHeight w:hRule="exact" w:val="3046"/>
        </w:trPr>
        <w:tc>
          <w:tcPr>
            <w:tcW w:w="1625" w:type="dxa"/>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spacing w:before="8"/>
              <w:rPr>
                <w:sz w:val="23"/>
              </w:rPr>
            </w:pPr>
          </w:p>
          <w:p w:rsidR="00F3177F" w:rsidRDefault="0089671D">
            <w:pPr>
              <w:pStyle w:val="TableParagraph"/>
              <w:ind w:left="175" w:right="171"/>
              <w:jc w:val="center"/>
              <w:rPr>
                <w:b/>
                <w:sz w:val="24"/>
              </w:rPr>
            </w:pPr>
            <w:r>
              <w:rPr>
                <w:b/>
                <w:sz w:val="24"/>
              </w:rPr>
              <w:t>Law on PPP and Concessions</w:t>
            </w:r>
          </w:p>
        </w:tc>
        <w:tc>
          <w:tcPr>
            <w:tcW w:w="6819" w:type="dxa"/>
          </w:tcPr>
          <w:p w:rsidR="00F3177F" w:rsidRDefault="0089671D">
            <w:pPr>
              <w:pStyle w:val="TableParagraph"/>
              <w:ind w:left="100" w:right="155"/>
              <w:rPr>
                <w:sz w:val="24"/>
              </w:rPr>
            </w:pPr>
            <w:r>
              <w:rPr>
                <w:sz w:val="24"/>
              </w:rPr>
              <w:t>States that the duration of a Public-Private Partnership shall be set forth in the corresponding Agreement, and that duration of a Public- Private Partnership shall be reasonably related to and reflect: (i) the life-cycle of the public infrastructure; (ii) rate of return and (iii) value-for-money of each individual Public-Private Partnership Project.</w:t>
            </w:r>
          </w:p>
          <w:p w:rsidR="00F3177F" w:rsidRDefault="0089671D">
            <w:pPr>
              <w:pStyle w:val="TableParagraph"/>
              <w:ind w:left="100"/>
              <w:rPr>
                <w:sz w:val="24"/>
              </w:rPr>
            </w:pPr>
            <w:r>
              <w:rPr>
                <w:sz w:val="24"/>
              </w:rPr>
              <w:t>Regarding financial rights, the law stipulates that a Private Partner shall have the right to charge, receive or collect tariffs, fees and any other charges for the use of the Public Infrastructure or the provision of public services in accordance with the terms and conditions set forth in the respective Agreement.</w:t>
            </w:r>
          </w:p>
        </w:tc>
      </w:tr>
      <w:tr w:rsidR="00F3177F">
        <w:trPr>
          <w:trHeight w:hRule="exact" w:val="4978"/>
        </w:trPr>
        <w:tc>
          <w:tcPr>
            <w:tcW w:w="1625" w:type="dxa"/>
          </w:tcPr>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rPr>
                <w:sz w:val="24"/>
              </w:rPr>
            </w:pPr>
          </w:p>
          <w:p w:rsidR="00F3177F" w:rsidRDefault="00F3177F">
            <w:pPr>
              <w:pStyle w:val="TableParagraph"/>
              <w:spacing w:before="7"/>
              <w:rPr>
                <w:sz w:val="35"/>
              </w:rPr>
            </w:pPr>
          </w:p>
          <w:p w:rsidR="00F3177F" w:rsidRDefault="0089671D">
            <w:pPr>
              <w:pStyle w:val="TableParagraph"/>
              <w:ind w:left="169" w:right="171"/>
              <w:jc w:val="center"/>
              <w:rPr>
                <w:b/>
                <w:sz w:val="24"/>
              </w:rPr>
            </w:pPr>
            <w:r>
              <w:rPr>
                <w:b/>
                <w:sz w:val="24"/>
              </w:rPr>
              <w:t>Municipal Energy Efficiency Plans (MEEP)</w:t>
            </w:r>
          </w:p>
        </w:tc>
        <w:tc>
          <w:tcPr>
            <w:tcW w:w="6819" w:type="dxa"/>
          </w:tcPr>
          <w:p w:rsidR="00F3177F" w:rsidRDefault="0089671D">
            <w:pPr>
              <w:pStyle w:val="TableParagraph"/>
              <w:ind w:left="100"/>
              <w:rPr>
                <w:sz w:val="24"/>
              </w:rPr>
            </w:pPr>
            <w:r>
              <w:rPr>
                <w:sz w:val="24"/>
              </w:rPr>
              <w:t>Under the Law on EE, Municipal Energy Offices are required to develop Municipal EE Plans and Implementation Progress Reports. The overall objective of municipal EE plans is to reduce energy consumption in the building stock, transport and public lighting, and in the operation of municipal services by reducing the burden of energy costs on municipal budgets. Hence, the MEEP is expected to impact the municipality through:</w:t>
            </w:r>
          </w:p>
          <w:p w:rsidR="00F3177F" w:rsidRDefault="0089671D">
            <w:pPr>
              <w:pStyle w:val="TableParagraph"/>
              <w:numPr>
                <w:ilvl w:val="0"/>
                <w:numId w:val="9"/>
              </w:numPr>
              <w:tabs>
                <w:tab w:val="left" w:pos="245"/>
              </w:tabs>
              <w:ind w:firstLine="0"/>
              <w:rPr>
                <w:sz w:val="24"/>
              </w:rPr>
            </w:pPr>
            <w:r>
              <w:rPr>
                <w:sz w:val="24"/>
              </w:rPr>
              <w:t>improvement of municipal</w:t>
            </w:r>
            <w:r>
              <w:rPr>
                <w:spacing w:val="-8"/>
                <w:sz w:val="24"/>
              </w:rPr>
              <w:t xml:space="preserve"> </w:t>
            </w:r>
            <w:r>
              <w:rPr>
                <w:sz w:val="24"/>
              </w:rPr>
              <w:t>services;</w:t>
            </w:r>
          </w:p>
          <w:p w:rsidR="00F3177F" w:rsidRDefault="0089671D">
            <w:pPr>
              <w:pStyle w:val="TableParagraph"/>
              <w:numPr>
                <w:ilvl w:val="0"/>
                <w:numId w:val="9"/>
              </w:numPr>
              <w:tabs>
                <w:tab w:val="left" w:pos="245"/>
              </w:tabs>
              <w:ind w:left="244"/>
              <w:rPr>
                <w:sz w:val="24"/>
              </w:rPr>
            </w:pPr>
            <w:r>
              <w:rPr>
                <w:sz w:val="24"/>
              </w:rPr>
              <w:t>reducing energy costs in the municipal</w:t>
            </w:r>
            <w:r>
              <w:rPr>
                <w:spacing w:val="-6"/>
                <w:sz w:val="24"/>
              </w:rPr>
              <w:t xml:space="preserve"> </w:t>
            </w:r>
            <w:r>
              <w:rPr>
                <w:sz w:val="24"/>
              </w:rPr>
              <w:t>budget;</w:t>
            </w:r>
          </w:p>
          <w:p w:rsidR="00F3177F" w:rsidRDefault="0089671D">
            <w:pPr>
              <w:pStyle w:val="TableParagraph"/>
              <w:numPr>
                <w:ilvl w:val="0"/>
                <w:numId w:val="9"/>
              </w:numPr>
              <w:tabs>
                <w:tab w:val="left" w:pos="245"/>
              </w:tabs>
              <w:ind w:left="244"/>
              <w:rPr>
                <w:sz w:val="24"/>
              </w:rPr>
            </w:pPr>
            <w:r>
              <w:rPr>
                <w:sz w:val="24"/>
              </w:rPr>
              <w:t>renovation of energy systems and</w:t>
            </w:r>
            <w:r>
              <w:rPr>
                <w:spacing w:val="-8"/>
                <w:sz w:val="24"/>
              </w:rPr>
              <w:t xml:space="preserve"> </w:t>
            </w:r>
            <w:r>
              <w:rPr>
                <w:sz w:val="24"/>
              </w:rPr>
              <w:t>buildings;</w:t>
            </w:r>
          </w:p>
          <w:p w:rsidR="00F3177F" w:rsidRDefault="0089671D">
            <w:pPr>
              <w:pStyle w:val="TableParagraph"/>
              <w:numPr>
                <w:ilvl w:val="0"/>
                <w:numId w:val="9"/>
              </w:numPr>
              <w:tabs>
                <w:tab w:val="left" w:pos="245"/>
              </w:tabs>
              <w:ind w:left="244"/>
              <w:rPr>
                <w:sz w:val="24"/>
              </w:rPr>
            </w:pPr>
            <w:r>
              <w:rPr>
                <w:sz w:val="24"/>
              </w:rPr>
              <w:t>improving the sanitary conditions and increased</w:t>
            </w:r>
            <w:r>
              <w:rPr>
                <w:spacing w:val="-12"/>
                <w:sz w:val="24"/>
              </w:rPr>
              <w:t xml:space="preserve"> </w:t>
            </w:r>
            <w:r>
              <w:rPr>
                <w:sz w:val="24"/>
              </w:rPr>
              <w:t>productivity;</w:t>
            </w:r>
          </w:p>
          <w:p w:rsidR="00F3177F" w:rsidRDefault="0089671D">
            <w:pPr>
              <w:pStyle w:val="TableParagraph"/>
              <w:numPr>
                <w:ilvl w:val="0"/>
                <w:numId w:val="9"/>
              </w:numPr>
              <w:tabs>
                <w:tab w:val="left" w:pos="245"/>
              </w:tabs>
              <w:ind w:right="346" w:firstLine="0"/>
              <w:rPr>
                <w:sz w:val="24"/>
              </w:rPr>
            </w:pPr>
            <w:proofErr w:type="gramStart"/>
            <w:r>
              <w:rPr>
                <w:sz w:val="24"/>
              </w:rPr>
              <w:t>raising</w:t>
            </w:r>
            <w:proofErr w:type="gramEnd"/>
            <w:r>
              <w:rPr>
                <w:sz w:val="24"/>
              </w:rPr>
              <w:t xml:space="preserve"> awareness of the energy saving policy-makers,</w:t>
            </w:r>
            <w:r>
              <w:rPr>
                <w:spacing w:val="-12"/>
                <w:sz w:val="24"/>
              </w:rPr>
              <w:t xml:space="preserve"> </w:t>
            </w:r>
            <w:r>
              <w:rPr>
                <w:sz w:val="24"/>
              </w:rPr>
              <w:t>operators, and</w:t>
            </w:r>
            <w:r>
              <w:rPr>
                <w:spacing w:val="-3"/>
                <w:sz w:val="24"/>
              </w:rPr>
              <w:t xml:space="preserve"> </w:t>
            </w:r>
            <w:r>
              <w:rPr>
                <w:sz w:val="24"/>
              </w:rPr>
              <w:t>end-users.</w:t>
            </w:r>
          </w:p>
          <w:p w:rsidR="00F3177F" w:rsidRDefault="0089671D">
            <w:pPr>
              <w:pStyle w:val="TableParagraph"/>
              <w:ind w:left="100" w:right="211"/>
              <w:rPr>
                <w:sz w:val="24"/>
              </w:rPr>
            </w:pPr>
            <w:r>
              <w:rPr>
                <w:sz w:val="24"/>
              </w:rPr>
              <w:t>Nevertheless, municipalities are currently not allowed to take loans as they do not meet the criteria stipulated in the Law on Loans. The central government, however, has allowed municipalities to obtain loans for implementing EE measures, in order to meet the KEEAP requirements.</w:t>
            </w:r>
          </w:p>
        </w:tc>
      </w:tr>
      <w:tr w:rsidR="00F3177F">
        <w:trPr>
          <w:trHeight w:hRule="exact" w:val="848"/>
        </w:trPr>
        <w:tc>
          <w:tcPr>
            <w:tcW w:w="1625" w:type="dxa"/>
          </w:tcPr>
          <w:p w:rsidR="00F3177F" w:rsidRDefault="0089671D">
            <w:pPr>
              <w:pStyle w:val="TableParagraph"/>
              <w:spacing w:before="138"/>
              <w:ind w:left="240" w:right="222" w:firstLine="26"/>
              <w:rPr>
                <w:b/>
                <w:sz w:val="24"/>
              </w:rPr>
            </w:pPr>
            <w:r>
              <w:rPr>
                <w:b/>
                <w:sz w:val="24"/>
              </w:rPr>
              <w:t>Secondary Legislation</w:t>
            </w:r>
          </w:p>
        </w:tc>
        <w:tc>
          <w:tcPr>
            <w:tcW w:w="6819" w:type="dxa"/>
          </w:tcPr>
          <w:p w:rsidR="00F3177F" w:rsidRDefault="0089671D">
            <w:pPr>
              <w:pStyle w:val="TableParagraph"/>
              <w:spacing w:before="133"/>
              <w:ind w:left="100" w:right="155"/>
              <w:rPr>
                <w:sz w:val="24"/>
              </w:rPr>
            </w:pPr>
            <w:r>
              <w:rPr>
                <w:sz w:val="24"/>
              </w:rPr>
              <w:t>Series of secondary legislation adopted (e.g., appliance labeling, energy auditing, etc.).</w:t>
            </w:r>
          </w:p>
        </w:tc>
      </w:tr>
    </w:tbl>
    <w:p w:rsidR="00F3177F" w:rsidRDefault="00F3177F">
      <w:pPr>
        <w:pStyle w:val="BodyText"/>
        <w:spacing w:before="7"/>
        <w:rPr>
          <w:sz w:val="29"/>
        </w:rPr>
      </w:pPr>
    </w:p>
    <w:p w:rsidR="00F3177F" w:rsidRDefault="0089671D">
      <w:pPr>
        <w:pStyle w:val="BodyText"/>
        <w:spacing w:before="69" w:line="360" w:lineRule="auto"/>
        <w:ind w:left="584" w:right="164"/>
        <w:jc w:val="both"/>
      </w:pPr>
      <w:r>
        <w:t>These laws and subsequent legal acts are being implemented by a number of actors, which in many cases are supported by donors. However, all actions related to the Law on EE and the related secondary legislation are overseen and regulated by government authorities. These authorities and their respective roles are summarized below:</w:t>
      </w:r>
    </w:p>
    <w:p w:rsidR="00F3177F" w:rsidRDefault="00F3177F">
      <w:pPr>
        <w:spacing w:line="360" w:lineRule="auto"/>
        <w:jc w:val="both"/>
        <w:sectPr w:rsidR="00F3177F">
          <w:footerReference w:type="default" r:id="rId151"/>
          <w:pgSz w:w="12240" w:h="15840"/>
          <w:pgMar w:top="1440" w:right="1280" w:bottom="1440" w:left="1720" w:header="0" w:footer="1244" w:gutter="0"/>
          <w:pgNumType w:start="176"/>
          <w:cols w:space="720"/>
        </w:sectPr>
      </w:pPr>
    </w:p>
    <w:p w:rsidR="00F3177F" w:rsidRDefault="0089671D">
      <w:pPr>
        <w:pStyle w:val="ListParagraph"/>
        <w:numPr>
          <w:ilvl w:val="2"/>
          <w:numId w:val="10"/>
        </w:numPr>
        <w:tabs>
          <w:tab w:val="left" w:pos="1305"/>
        </w:tabs>
        <w:spacing w:before="34" w:line="355" w:lineRule="auto"/>
        <w:ind w:right="118"/>
        <w:jc w:val="both"/>
        <w:rPr>
          <w:sz w:val="24"/>
        </w:rPr>
      </w:pPr>
      <w:r>
        <w:rPr>
          <w:sz w:val="24"/>
        </w:rPr>
        <w:lastRenderedPageBreak/>
        <w:t>Kosovo Energy Efficiency Agency (KEEA) (under the Ministry of Economic Development): responsible for the implementation of Kosovo’s plan on energy efficiency, as well as for reporting on the implementation of the agreed</w:t>
      </w:r>
      <w:r>
        <w:rPr>
          <w:spacing w:val="-13"/>
          <w:sz w:val="24"/>
        </w:rPr>
        <w:t xml:space="preserve"> </w:t>
      </w:r>
      <w:r>
        <w:rPr>
          <w:sz w:val="24"/>
        </w:rPr>
        <w:t>targets.</w:t>
      </w:r>
    </w:p>
    <w:p w:rsidR="00F3177F" w:rsidRDefault="0089671D">
      <w:pPr>
        <w:pStyle w:val="ListParagraph"/>
        <w:numPr>
          <w:ilvl w:val="2"/>
          <w:numId w:val="10"/>
        </w:numPr>
        <w:tabs>
          <w:tab w:val="left" w:pos="1305"/>
        </w:tabs>
        <w:spacing w:before="11" w:line="357" w:lineRule="auto"/>
        <w:ind w:right="115"/>
        <w:jc w:val="both"/>
        <w:rPr>
          <w:sz w:val="24"/>
        </w:rPr>
      </w:pPr>
      <w:r>
        <w:rPr>
          <w:sz w:val="24"/>
        </w:rPr>
        <w:t>Energy Regulatory Office (ERO): independent body reporting to the Kosovo Assembly; responsible for monitoring the energy market development; encouraging energy efficiency among market players; ensuring protection of customers including vulnerable</w:t>
      </w:r>
      <w:r>
        <w:rPr>
          <w:spacing w:val="-7"/>
          <w:sz w:val="24"/>
        </w:rPr>
        <w:t xml:space="preserve"> </w:t>
      </w:r>
      <w:r>
        <w:rPr>
          <w:sz w:val="24"/>
        </w:rPr>
        <w:t>customers.</w:t>
      </w:r>
    </w:p>
    <w:p w:rsidR="00F3177F" w:rsidRDefault="0089671D">
      <w:pPr>
        <w:pStyle w:val="ListParagraph"/>
        <w:numPr>
          <w:ilvl w:val="2"/>
          <w:numId w:val="10"/>
        </w:numPr>
        <w:tabs>
          <w:tab w:val="left" w:pos="1305"/>
        </w:tabs>
        <w:spacing w:before="8" w:line="355" w:lineRule="auto"/>
        <w:ind w:right="120"/>
        <w:jc w:val="both"/>
        <w:rPr>
          <w:sz w:val="24"/>
        </w:rPr>
      </w:pPr>
      <w:r>
        <w:rPr>
          <w:sz w:val="24"/>
        </w:rPr>
        <w:t xml:space="preserve">Ministry of Economic Development (MED): responsible for preparing the Kosovo energy strategy and policies for energy efficiency and </w:t>
      </w:r>
      <w:proofErr w:type="gramStart"/>
      <w:r>
        <w:rPr>
          <w:sz w:val="24"/>
        </w:rPr>
        <w:t>renewable  energy</w:t>
      </w:r>
      <w:proofErr w:type="gramEnd"/>
      <w:r>
        <w:rPr>
          <w:sz w:val="24"/>
        </w:rPr>
        <w:t>.</w:t>
      </w:r>
    </w:p>
    <w:p w:rsidR="00F3177F" w:rsidRDefault="0089671D">
      <w:pPr>
        <w:pStyle w:val="ListParagraph"/>
        <w:numPr>
          <w:ilvl w:val="2"/>
          <w:numId w:val="10"/>
        </w:numPr>
        <w:tabs>
          <w:tab w:val="left" w:pos="1305"/>
        </w:tabs>
        <w:spacing w:before="9" w:line="352" w:lineRule="auto"/>
        <w:ind w:right="117"/>
        <w:jc w:val="both"/>
        <w:rPr>
          <w:sz w:val="24"/>
        </w:rPr>
      </w:pPr>
      <w:r>
        <w:rPr>
          <w:sz w:val="24"/>
        </w:rPr>
        <w:t>Ministry of Environment and Spatial Planning (MESP): responsible for implementing the directive on energy performance in</w:t>
      </w:r>
      <w:r>
        <w:rPr>
          <w:spacing w:val="-15"/>
          <w:sz w:val="24"/>
        </w:rPr>
        <w:t xml:space="preserve"> </w:t>
      </w:r>
      <w:r>
        <w:rPr>
          <w:sz w:val="24"/>
        </w:rPr>
        <w:t>buildings.</w:t>
      </w:r>
    </w:p>
    <w:p w:rsidR="00F3177F" w:rsidRDefault="0089671D">
      <w:pPr>
        <w:pStyle w:val="ListParagraph"/>
        <w:numPr>
          <w:ilvl w:val="2"/>
          <w:numId w:val="10"/>
        </w:numPr>
        <w:tabs>
          <w:tab w:val="left" w:pos="1305"/>
        </w:tabs>
        <w:spacing w:before="14" w:line="357" w:lineRule="auto"/>
        <w:ind w:right="119"/>
        <w:jc w:val="both"/>
        <w:rPr>
          <w:sz w:val="24"/>
        </w:rPr>
      </w:pPr>
      <w:r>
        <w:rPr>
          <w:sz w:val="24"/>
        </w:rPr>
        <w:t>Ministry of Local Government Administration (MLGA) and Association of Kosovo Municipalities: responsible for improving energy data quality and for ensuring energy efficiency planning and implementation at local levels, as well as promoting renewable energy projects in their respective</w:t>
      </w:r>
      <w:r>
        <w:rPr>
          <w:spacing w:val="-14"/>
          <w:sz w:val="24"/>
        </w:rPr>
        <w:t xml:space="preserve"> </w:t>
      </w:r>
      <w:r>
        <w:rPr>
          <w:sz w:val="24"/>
        </w:rPr>
        <w:t>municipalities.</w:t>
      </w:r>
    </w:p>
    <w:p w:rsidR="00F3177F" w:rsidRDefault="0089671D">
      <w:pPr>
        <w:pStyle w:val="ListParagraph"/>
        <w:numPr>
          <w:ilvl w:val="2"/>
          <w:numId w:val="10"/>
        </w:numPr>
        <w:tabs>
          <w:tab w:val="left" w:pos="1305"/>
        </w:tabs>
        <w:spacing w:before="9" w:line="355" w:lineRule="auto"/>
        <w:ind w:right="114"/>
        <w:jc w:val="both"/>
        <w:rPr>
          <w:sz w:val="24"/>
        </w:rPr>
      </w:pPr>
      <w:r>
        <w:rPr>
          <w:sz w:val="24"/>
        </w:rPr>
        <w:t>Ministry of Trade and Industry (MTI): responsible for ensuring the implementation of the legislation on biofuels in accordance with the Energy Community</w:t>
      </w:r>
      <w:r>
        <w:rPr>
          <w:spacing w:val="-6"/>
          <w:sz w:val="24"/>
        </w:rPr>
        <w:t xml:space="preserve"> </w:t>
      </w:r>
      <w:r>
        <w:rPr>
          <w:sz w:val="24"/>
        </w:rPr>
        <w:t>requirements.</w:t>
      </w:r>
    </w:p>
    <w:p w:rsidR="00F3177F" w:rsidRDefault="00F3177F">
      <w:pPr>
        <w:pStyle w:val="BodyText"/>
      </w:pPr>
    </w:p>
    <w:p w:rsidR="00F3177F" w:rsidRDefault="0089671D">
      <w:pPr>
        <w:pStyle w:val="Heading2"/>
        <w:spacing w:before="153"/>
        <w:ind w:left="584" w:firstLine="0"/>
      </w:pPr>
      <w:r>
        <w:t>Potential Changes in the Legislative Framework</w:t>
      </w:r>
    </w:p>
    <w:p w:rsidR="00F3177F" w:rsidRDefault="0089671D">
      <w:pPr>
        <w:pStyle w:val="BodyText"/>
        <w:spacing w:before="132" w:line="360" w:lineRule="auto"/>
        <w:ind w:left="584" w:right="119"/>
        <w:jc w:val="both"/>
      </w:pPr>
      <w:r>
        <w:t xml:space="preserve">The existing laws and institutional mechanisms exemplify the efforts of Kosovar authorities towards implementing energy efficiency. The Government of Kosovo (GOK) has developed institutional and regulatory frameworks for EE and renewable energy. Additionally, GOK has worked to streamline and better </w:t>
      </w:r>
      <w:proofErr w:type="gramStart"/>
      <w:r>
        <w:t>regulate  implementation</w:t>
      </w:r>
      <w:proofErr w:type="gramEnd"/>
      <w:r>
        <w:t xml:space="preserve"> effort by declaring secondary legislation and developing rulebooks, financing mechanisms, and other implementation elements, all of which were absent until recent</w:t>
      </w:r>
      <w:r>
        <w:rPr>
          <w:spacing w:val="-5"/>
        </w:rPr>
        <w:t xml:space="preserve"> </w:t>
      </w:r>
      <w:r>
        <w:t>years.</w:t>
      </w:r>
    </w:p>
    <w:p w:rsidR="00F3177F" w:rsidRDefault="0089671D">
      <w:pPr>
        <w:pStyle w:val="BodyText"/>
        <w:spacing w:before="212" w:line="360" w:lineRule="auto"/>
        <w:ind w:left="584" w:right="121"/>
        <w:jc w:val="both"/>
      </w:pPr>
      <w:r>
        <w:t>The current status of EE in Kosovo has been shaped primarily by the provisions of Kosovo’s current Law on Energy Efficiency. This Law, however, is presently under</w:t>
      </w:r>
    </w:p>
    <w:p w:rsidR="00F3177F" w:rsidRDefault="00F3177F">
      <w:pPr>
        <w:spacing w:line="360" w:lineRule="auto"/>
        <w:jc w:val="both"/>
        <w:sectPr w:rsidR="00F3177F">
          <w:pgSz w:w="12240" w:h="15840"/>
          <w:pgMar w:top="1400" w:right="1320" w:bottom="1500" w:left="1720" w:header="0" w:footer="1244" w:gutter="0"/>
          <w:cols w:space="720"/>
        </w:sectPr>
      </w:pPr>
    </w:p>
    <w:p w:rsidR="00F3177F" w:rsidRDefault="0089671D">
      <w:pPr>
        <w:pStyle w:val="BodyText"/>
        <w:spacing w:before="54" w:line="360" w:lineRule="auto"/>
        <w:ind w:left="584" w:right="119"/>
        <w:jc w:val="both"/>
      </w:pPr>
      <w:proofErr w:type="gramStart"/>
      <w:r>
        <w:lastRenderedPageBreak/>
        <w:t>review</w:t>
      </w:r>
      <w:proofErr w:type="gramEnd"/>
      <w:r>
        <w:t xml:space="preserve"> and is expected to change substantially during the course of 2016. As a result, Kosovo’s EE situation and circumstances are expected to modify accordingly. The new law is expected make way for the launch of an Energy Efficiency Fund, which will be initiated with a governmental grant, and then seek loans from international financial institutions (IFIs) and other sources. The legal precedence and justification for this fund derives from Article 52 of Directive 2012/27/EU, which specifies that “the financing facilities could in particular use those contributions, resources and revenues to enable and encourage private capital investment, in particular drawing on institutional investors.”</w:t>
      </w:r>
    </w:p>
    <w:p w:rsidR="00F3177F" w:rsidRDefault="0089671D">
      <w:pPr>
        <w:pStyle w:val="BodyText"/>
        <w:spacing w:before="213" w:line="360" w:lineRule="auto"/>
        <w:ind w:left="584" w:right="117"/>
        <w:jc w:val="both"/>
      </w:pPr>
      <w:r>
        <w:t xml:space="preserve">Additionally, Chapter 8, Article 16 of Kosovo’s Draft Law on Energy Performance of Buildings legally supports and foresees the presence of an EE fund by stating that “all funds collected from fines imposed based on this Law shall be transferred to the </w:t>
      </w:r>
      <w:proofErr w:type="gramStart"/>
      <w:r>
        <w:t>Fund  on</w:t>
      </w:r>
      <w:proofErr w:type="gramEnd"/>
      <w:r>
        <w:t xml:space="preserve"> Energy Efficiency or, in the absence of such a Fund, to the Budget of the Republic of Kosovo.” Three pre-feasibility studies, aimed at analyzing respectively the legal, technical, and financial terms for starting the fund were recently conducted by the MED and</w:t>
      </w:r>
      <w:r>
        <w:rPr>
          <w:spacing w:val="-3"/>
        </w:rPr>
        <w:t xml:space="preserve"> </w:t>
      </w:r>
      <w:r>
        <w:t>KEEA.</w:t>
      </w:r>
    </w:p>
    <w:p w:rsidR="00F3177F" w:rsidRDefault="0089671D">
      <w:pPr>
        <w:pStyle w:val="BodyText"/>
        <w:spacing w:before="210"/>
        <w:ind w:left="584"/>
        <w:jc w:val="both"/>
      </w:pPr>
      <w:r>
        <w:t>However, these studies have not yet been published.</w:t>
      </w:r>
    </w:p>
    <w:p w:rsidR="00F3177F" w:rsidRDefault="00F3177F">
      <w:pPr>
        <w:pStyle w:val="BodyText"/>
        <w:rPr>
          <w:sz w:val="30"/>
        </w:rPr>
      </w:pPr>
    </w:p>
    <w:p w:rsidR="00F3177F" w:rsidRDefault="0089671D">
      <w:pPr>
        <w:pStyle w:val="BodyText"/>
        <w:spacing w:line="360" w:lineRule="auto"/>
        <w:ind w:left="584" w:right="118"/>
        <w:jc w:val="both"/>
      </w:pPr>
      <w:r>
        <w:t>Despite the comprehensive legal framework, many challenges remain within the implementation and regulatory processes as well as for the implementing actors and governing entities. For example, in recent years KEEA has undertaken many tasks and activities related to its main task of implementing the Law on Energy Efficiency and preparing the 1st and 2nd NEEAPs; however, it has limited technical and almost no implementation capacities. This shortfall can be largely attributed to the inadequate budget/staffing the agency is coping with while adhering to its responsibilities. At the municipal level, EE improvements through MEEAPs are also encountering implementation difficulties due to insufficient access to financing. The public sector suffers from a range of procedural barriers, from budgeting to procurement, which tend to be rigid in nature and prevent many EE improvements from being realized.</w:t>
      </w:r>
    </w:p>
    <w:p w:rsidR="00F3177F" w:rsidRDefault="00F3177F">
      <w:pPr>
        <w:spacing w:line="360" w:lineRule="auto"/>
        <w:jc w:val="both"/>
        <w:sectPr w:rsidR="00F3177F">
          <w:pgSz w:w="12240" w:h="15840"/>
          <w:pgMar w:top="1380" w:right="1320" w:bottom="1500" w:left="1720" w:header="0" w:footer="1244" w:gutter="0"/>
          <w:cols w:space="720"/>
        </w:sectPr>
      </w:pPr>
    </w:p>
    <w:p w:rsidR="00F3177F" w:rsidRDefault="0089671D">
      <w:pPr>
        <w:pStyle w:val="BodyText"/>
        <w:spacing w:before="54" w:line="360" w:lineRule="auto"/>
        <w:ind w:left="584" w:right="98"/>
        <w:jc w:val="both"/>
      </w:pPr>
      <w:r>
        <w:lastRenderedPageBreak/>
        <w:t>The Energy Regulatory Office of Kosovo has increased energy prices, roughly 3.1% annually, from 2007 through 2015 for an approximate total increase of 27.9%.  However, there have been few indications that such increases in energy costs have yielded positive impacts on EE levels. Kosovo has not developed a comprehensive communication strategy for promoting the benefits of EE throughout the country, nor has it established incentives in the promotion and compliance processes. There are, nevertheless, several positive incentive measures currently in the implementation phase. For example, loans with low interest rates have been introduced for individuals and companies that have EE</w:t>
      </w:r>
      <w:r>
        <w:rPr>
          <w:spacing w:val="-5"/>
        </w:rPr>
        <w:t xml:space="preserve"> </w:t>
      </w:r>
      <w:r>
        <w:t>projects.</w:t>
      </w:r>
    </w:p>
    <w:p w:rsidR="00F3177F" w:rsidRDefault="00F3177F">
      <w:pPr>
        <w:spacing w:line="360" w:lineRule="auto"/>
        <w:jc w:val="both"/>
        <w:sectPr w:rsidR="00F3177F">
          <w:pgSz w:w="12240" w:h="15840"/>
          <w:pgMar w:top="1380" w:right="1340" w:bottom="1500" w:left="1720" w:header="0" w:footer="1244" w:gutter="0"/>
          <w:cols w:space="720"/>
        </w:sectPr>
      </w:pPr>
    </w:p>
    <w:p w:rsidR="00F3177F" w:rsidRDefault="0089671D">
      <w:pPr>
        <w:pStyle w:val="BodyText"/>
        <w:spacing w:before="54" w:line="360" w:lineRule="auto"/>
        <w:ind w:left="584" w:right="212"/>
      </w:pPr>
      <w:r>
        <w:rPr>
          <w:b/>
        </w:rPr>
        <w:lastRenderedPageBreak/>
        <w:t xml:space="preserve">Appendix D: </w:t>
      </w:r>
      <w:r>
        <w:t>Energy Efficiency Barrier Matrix for Public Sector in Kosovo (World Bank, 2013).</w:t>
      </w:r>
    </w:p>
    <w:p w:rsidR="00F3177F" w:rsidRDefault="00F3177F">
      <w:pPr>
        <w:pStyle w:val="BodyText"/>
        <w:rPr>
          <w:sz w:val="25"/>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357"/>
      </w:tblGrid>
      <w:tr w:rsidR="00F3177F">
        <w:trPr>
          <w:trHeight w:hRule="exact" w:val="286"/>
        </w:trPr>
        <w:tc>
          <w:tcPr>
            <w:tcW w:w="4249" w:type="dxa"/>
          </w:tcPr>
          <w:p w:rsidR="00F3177F" w:rsidRDefault="0089671D">
            <w:pPr>
              <w:pStyle w:val="TableParagraph"/>
              <w:spacing w:line="273" w:lineRule="exact"/>
              <w:ind w:left="1005" w:right="770"/>
              <w:rPr>
                <w:b/>
                <w:sz w:val="24"/>
              </w:rPr>
            </w:pPr>
            <w:r>
              <w:rPr>
                <w:b/>
                <w:sz w:val="24"/>
              </w:rPr>
              <w:t>Legal and Regulatory</w:t>
            </w:r>
          </w:p>
        </w:tc>
        <w:tc>
          <w:tcPr>
            <w:tcW w:w="4357" w:type="dxa"/>
          </w:tcPr>
          <w:p w:rsidR="00F3177F" w:rsidRDefault="0089671D">
            <w:pPr>
              <w:pStyle w:val="TableParagraph"/>
              <w:spacing w:line="273" w:lineRule="exact"/>
              <w:ind w:left="1518" w:right="1520"/>
              <w:jc w:val="center"/>
              <w:rPr>
                <w:b/>
                <w:sz w:val="24"/>
              </w:rPr>
            </w:pPr>
            <w:r>
              <w:rPr>
                <w:b/>
                <w:sz w:val="24"/>
              </w:rPr>
              <w:t>Financial</w:t>
            </w:r>
          </w:p>
        </w:tc>
      </w:tr>
      <w:tr w:rsidR="00F3177F">
        <w:trPr>
          <w:trHeight w:hRule="exact" w:val="5816"/>
        </w:trPr>
        <w:tc>
          <w:tcPr>
            <w:tcW w:w="4249" w:type="dxa"/>
          </w:tcPr>
          <w:p w:rsidR="00F3177F" w:rsidRDefault="00F3177F">
            <w:pPr>
              <w:pStyle w:val="TableParagraph"/>
              <w:rPr>
                <w:sz w:val="20"/>
              </w:rPr>
            </w:pPr>
          </w:p>
          <w:p w:rsidR="00F3177F" w:rsidRDefault="0089671D">
            <w:pPr>
              <w:pStyle w:val="TableParagraph"/>
              <w:numPr>
                <w:ilvl w:val="0"/>
                <w:numId w:val="8"/>
              </w:numPr>
              <w:tabs>
                <w:tab w:val="left" w:pos="310"/>
              </w:tabs>
              <w:spacing w:before="161" w:line="276" w:lineRule="auto"/>
              <w:ind w:right="315" w:hanging="252"/>
              <w:rPr>
                <w:sz w:val="20"/>
              </w:rPr>
            </w:pPr>
            <w:r>
              <w:rPr>
                <w:b/>
                <w:sz w:val="20"/>
              </w:rPr>
              <w:t>Barrier Public Legal and Regulatory (PLR</w:t>
            </w:r>
            <w:proofErr w:type="gramStart"/>
            <w:r>
              <w:rPr>
                <w:b/>
                <w:sz w:val="20"/>
              </w:rPr>
              <w:t>)1</w:t>
            </w:r>
            <w:proofErr w:type="gramEnd"/>
            <w:r>
              <w:rPr>
                <w:b/>
                <w:sz w:val="20"/>
              </w:rPr>
              <w:t xml:space="preserve">: </w:t>
            </w:r>
            <w:r>
              <w:rPr>
                <w:sz w:val="20"/>
              </w:rPr>
              <w:t>Budgetary rules do not allow municipalities to benefit from any energy savings they achieve in the longer term – whilst other national grants to</w:t>
            </w:r>
            <w:r>
              <w:rPr>
                <w:spacing w:val="-17"/>
                <w:sz w:val="20"/>
              </w:rPr>
              <w:t xml:space="preserve"> </w:t>
            </w:r>
            <w:r>
              <w:rPr>
                <w:sz w:val="20"/>
              </w:rPr>
              <w:t>municipalities are awarded according to set formulae, each year’s budget allocation for utility bills is based on the previous year’s outturn. Any savings achieved in energy costs may not be used to finance</w:t>
            </w:r>
            <w:r>
              <w:rPr>
                <w:spacing w:val="-14"/>
                <w:sz w:val="20"/>
              </w:rPr>
              <w:t xml:space="preserve"> </w:t>
            </w:r>
            <w:r>
              <w:rPr>
                <w:sz w:val="20"/>
              </w:rPr>
              <w:t>investments.</w:t>
            </w:r>
          </w:p>
          <w:p w:rsidR="00F3177F" w:rsidRDefault="0089671D">
            <w:pPr>
              <w:pStyle w:val="TableParagraph"/>
              <w:numPr>
                <w:ilvl w:val="0"/>
                <w:numId w:val="8"/>
              </w:numPr>
              <w:tabs>
                <w:tab w:val="left" w:pos="310"/>
              </w:tabs>
              <w:spacing w:before="3" w:line="276" w:lineRule="auto"/>
              <w:ind w:right="489" w:hanging="252"/>
              <w:rPr>
                <w:sz w:val="20"/>
              </w:rPr>
            </w:pPr>
            <w:r>
              <w:rPr>
                <w:b/>
                <w:sz w:val="20"/>
              </w:rPr>
              <w:t xml:space="preserve">Impact: </w:t>
            </w:r>
            <w:r>
              <w:rPr>
                <w:sz w:val="20"/>
              </w:rPr>
              <w:t>Reduced incentive to invest in</w:t>
            </w:r>
            <w:r>
              <w:rPr>
                <w:spacing w:val="-16"/>
                <w:sz w:val="20"/>
              </w:rPr>
              <w:t xml:space="preserve"> </w:t>
            </w:r>
            <w:r>
              <w:rPr>
                <w:sz w:val="20"/>
              </w:rPr>
              <w:t>EE measures.</w:t>
            </w:r>
          </w:p>
          <w:p w:rsidR="00F3177F" w:rsidRDefault="0089671D">
            <w:pPr>
              <w:pStyle w:val="TableParagraph"/>
              <w:spacing w:line="276" w:lineRule="auto"/>
              <w:ind w:left="355" w:right="770"/>
              <w:rPr>
                <w:sz w:val="20"/>
              </w:rPr>
            </w:pPr>
            <w:r>
              <w:rPr>
                <w:sz w:val="20"/>
              </w:rPr>
              <w:t>Barrier to operation of Energy Serving Companies (ESCOs)</w:t>
            </w:r>
          </w:p>
          <w:p w:rsidR="00F3177F" w:rsidRDefault="0089671D">
            <w:pPr>
              <w:pStyle w:val="TableParagraph"/>
              <w:numPr>
                <w:ilvl w:val="0"/>
                <w:numId w:val="8"/>
              </w:numPr>
              <w:tabs>
                <w:tab w:val="left" w:pos="310"/>
              </w:tabs>
              <w:spacing w:line="276" w:lineRule="auto"/>
              <w:ind w:right="473" w:hanging="252"/>
              <w:rPr>
                <w:sz w:val="20"/>
              </w:rPr>
            </w:pPr>
            <w:r>
              <w:rPr>
                <w:b/>
                <w:sz w:val="20"/>
              </w:rPr>
              <w:t xml:space="preserve">Remedy: </w:t>
            </w:r>
            <w:r>
              <w:rPr>
                <w:sz w:val="20"/>
              </w:rPr>
              <w:t>Research possibility of making changes to the municipal budget setting process or of circumventing this</w:t>
            </w:r>
            <w:r>
              <w:rPr>
                <w:spacing w:val="-20"/>
                <w:sz w:val="20"/>
              </w:rPr>
              <w:t xml:space="preserve"> </w:t>
            </w:r>
            <w:r>
              <w:rPr>
                <w:sz w:val="20"/>
              </w:rPr>
              <w:t>constraint</w:t>
            </w:r>
          </w:p>
          <w:p w:rsidR="00F3177F" w:rsidRDefault="0089671D">
            <w:pPr>
              <w:pStyle w:val="TableParagraph"/>
              <w:numPr>
                <w:ilvl w:val="0"/>
                <w:numId w:val="8"/>
              </w:numPr>
              <w:tabs>
                <w:tab w:val="left" w:pos="310"/>
              </w:tabs>
              <w:spacing w:line="276" w:lineRule="auto"/>
              <w:ind w:right="525" w:hanging="252"/>
              <w:rPr>
                <w:sz w:val="20"/>
              </w:rPr>
            </w:pPr>
            <w:r>
              <w:rPr>
                <w:b/>
                <w:sz w:val="20"/>
              </w:rPr>
              <w:t xml:space="preserve">Responsibility: </w:t>
            </w:r>
            <w:r>
              <w:rPr>
                <w:sz w:val="20"/>
              </w:rPr>
              <w:t>GoK, Ministry of</w:t>
            </w:r>
            <w:r>
              <w:rPr>
                <w:spacing w:val="-12"/>
                <w:sz w:val="20"/>
              </w:rPr>
              <w:t xml:space="preserve"> </w:t>
            </w:r>
            <w:r>
              <w:rPr>
                <w:sz w:val="20"/>
              </w:rPr>
              <w:t>Finance (MoF)</w:t>
            </w:r>
          </w:p>
        </w:tc>
        <w:tc>
          <w:tcPr>
            <w:tcW w:w="4357" w:type="dxa"/>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89671D">
            <w:pPr>
              <w:pStyle w:val="TableParagraph"/>
              <w:numPr>
                <w:ilvl w:val="0"/>
                <w:numId w:val="7"/>
              </w:numPr>
              <w:tabs>
                <w:tab w:val="left" w:pos="310"/>
              </w:tabs>
              <w:spacing w:before="161" w:line="276" w:lineRule="auto"/>
              <w:ind w:right="338" w:hanging="233"/>
              <w:rPr>
                <w:sz w:val="20"/>
              </w:rPr>
            </w:pPr>
            <w:r>
              <w:rPr>
                <w:b/>
                <w:sz w:val="20"/>
              </w:rPr>
              <w:t xml:space="preserve">Barrier Public Financial (PF)1: </w:t>
            </w:r>
            <w:r>
              <w:rPr>
                <w:sz w:val="20"/>
              </w:rPr>
              <w:t>The Law</w:t>
            </w:r>
            <w:r>
              <w:rPr>
                <w:spacing w:val="-13"/>
                <w:sz w:val="20"/>
              </w:rPr>
              <w:t xml:space="preserve"> </w:t>
            </w:r>
            <w:r>
              <w:rPr>
                <w:sz w:val="20"/>
              </w:rPr>
              <w:t>on Public Debt imposes various restrictions on municipalities’ ability to borrow money, principally the need to have</w:t>
            </w:r>
            <w:r>
              <w:rPr>
                <w:spacing w:val="-15"/>
                <w:sz w:val="20"/>
              </w:rPr>
              <w:t xml:space="preserve"> </w:t>
            </w:r>
            <w:r>
              <w:rPr>
                <w:sz w:val="20"/>
              </w:rPr>
              <w:t>two</w:t>
            </w:r>
          </w:p>
          <w:p w:rsidR="00F3177F" w:rsidRDefault="0089671D">
            <w:pPr>
              <w:pStyle w:val="TableParagraph"/>
              <w:ind w:left="335"/>
              <w:rPr>
                <w:sz w:val="20"/>
              </w:rPr>
            </w:pPr>
            <w:r>
              <w:rPr>
                <w:sz w:val="20"/>
              </w:rPr>
              <w:t>consecutive years of unqualified accounts</w:t>
            </w:r>
          </w:p>
          <w:p w:rsidR="00F3177F" w:rsidRDefault="0089671D">
            <w:pPr>
              <w:pStyle w:val="TableParagraph"/>
              <w:numPr>
                <w:ilvl w:val="0"/>
                <w:numId w:val="7"/>
              </w:numPr>
              <w:tabs>
                <w:tab w:val="left" w:pos="310"/>
              </w:tabs>
              <w:spacing w:before="34" w:line="276" w:lineRule="auto"/>
              <w:ind w:right="416" w:hanging="233"/>
              <w:rPr>
                <w:sz w:val="20"/>
              </w:rPr>
            </w:pPr>
            <w:r>
              <w:rPr>
                <w:b/>
                <w:sz w:val="20"/>
              </w:rPr>
              <w:t xml:space="preserve">Impact: </w:t>
            </w:r>
            <w:r>
              <w:rPr>
                <w:sz w:val="20"/>
              </w:rPr>
              <w:t>Cash strapped municipalities</w:t>
            </w:r>
            <w:r>
              <w:rPr>
                <w:spacing w:val="-12"/>
                <w:sz w:val="20"/>
              </w:rPr>
              <w:t xml:space="preserve"> </w:t>
            </w:r>
            <w:r>
              <w:rPr>
                <w:sz w:val="20"/>
              </w:rPr>
              <w:t>cannot borrow in order to finance EE</w:t>
            </w:r>
            <w:r>
              <w:rPr>
                <w:spacing w:val="-15"/>
                <w:sz w:val="20"/>
              </w:rPr>
              <w:t xml:space="preserve"> </w:t>
            </w:r>
            <w:r>
              <w:rPr>
                <w:sz w:val="20"/>
              </w:rPr>
              <w:t>projects</w:t>
            </w:r>
          </w:p>
          <w:p w:rsidR="00F3177F" w:rsidRDefault="0089671D">
            <w:pPr>
              <w:pStyle w:val="TableParagraph"/>
              <w:numPr>
                <w:ilvl w:val="0"/>
                <w:numId w:val="7"/>
              </w:numPr>
              <w:tabs>
                <w:tab w:val="left" w:pos="310"/>
              </w:tabs>
              <w:spacing w:before="3" w:line="276" w:lineRule="auto"/>
              <w:ind w:right="208" w:hanging="233"/>
              <w:rPr>
                <w:sz w:val="20"/>
              </w:rPr>
            </w:pPr>
            <w:r>
              <w:rPr>
                <w:b/>
                <w:sz w:val="20"/>
              </w:rPr>
              <w:t xml:space="preserve">Remedy: </w:t>
            </w:r>
            <w:r>
              <w:rPr>
                <w:sz w:val="20"/>
              </w:rPr>
              <w:t>Deliver funds to municipalities via other channels, such as central government</w:t>
            </w:r>
            <w:r>
              <w:rPr>
                <w:spacing w:val="-17"/>
                <w:sz w:val="20"/>
              </w:rPr>
              <w:t xml:space="preserve"> </w:t>
            </w:r>
            <w:r>
              <w:rPr>
                <w:sz w:val="20"/>
              </w:rPr>
              <w:t>(via appropriate ministries) until borrowing criteria met</w:t>
            </w:r>
          </w:p>
          <w:p w:rsidR="00F3177F" w:rsidRDefault="0089671D">
            <w:pPr>
              <w:pStyle w:val="TableParagraph"/>
              <w:numPr>
                <w:ilvl w:val="0"/>
                <w:numId w:val="7"/>
              </w:numPr>
              <w:tabs>
                <w:tab w:val="left" w:pos="310"/>
              </w:tabs>
              <w:ind w:left="309" w:hanging="206"/>
              <w:rPr>
                <w:sz w:val="20"/>
              </w:rPr>
            </w:pPr>
            <w:r>
              <w:rPr>
                <w:b/>
                <w:sz w:val="20"/>
              </w:rPr>
              <w:t xml:space="preserve">Responsibility: </w:t>
            </w:r>
            <w:r>
              <w:rPr>
                <w:sz w:val="20"/>
              </w:rPr>
              <w:t>IFIs, GoK, MoF,</w:t>
            </w:r>
            <w:r>
              <w:rPr>
                <w:spacing w:val="-9"/>
                <w:sz w:val="20"/>
              </w:rPr>
              <w:t xml:space="preserve"> </w:t>
            </w:r>
            <w:r>
              <w:rPr>
                <w:sz w:val="20"/>
              </w:rPr>
              <w:t>KEEA</w:t>
            </w:r>
          </w:p>
        </w:tc>
      </w:tr>
      <w:tr w:rsidR="00F3177F">
        <w:trPr>
          <w:trHeight w:hRule="exact" w:val="5489"/>
        </w:trPr>
        <w:tc>
          <w:tcPr>
            <w:tcW w:w="4249" w:type="dxa"/>
          </w:tcPr>
          <w:p w:rsidR="00F3177F" w:rsidRDefault="00F3177F">
            <w:pPr>
              <w:pStyle w:val="TableParagraph"/>
              <w:rPr>
                <w:sz w:val="20"/>
              </w:rPr>
            </w:pPr>
          </w:p>
          <w:p w:rsidR="00F3177F" w:rsidRDefault="00F3177F">
            <w:pPr>
              <w:pStyle w:val="TableParagraph"/>
              <w:rPr>
                <w:sz w:val="20"/>
              </w:rPr>
            </w:pPr>
          </w:p>
          <w:p w:rsidR="00F3177F" w:rsidRDefault="0089671D">
            <w:pPr>
              <w:pStyle w:val="TableParagraph"/>
              <w:numPr>
                <w:ilvl w:val="0"/>
                <w:numId w:val="6"/>
              </w:numPr>
              <w:tabs>
                <w:tab w:val="left" w:pos="310"/>
              </w:tabs>
              <w:spacing w:before="159" w:line="276" w:lineRule="auto"/>
              <w:ind w:right="118" w:hanging="252"/>
              <w:rPr>
                <w:sz w:val="20"/>
              </w:rPr>
            </w:pPr>
            <w:r>
              <w:rPr>
                <w:b/>
                <w:sz w:val="20"/>
              </w:rPr>
              <w:t xml:space="preserve">Barrier PLR2: </w:t>
            </w:r>
            <w:r>
              <w:rPr>
                <w:sz w:val="20"/>
              </w:rPr>
              <w:t>Energy savings may be deferred due to compliance with Technical Regulation Nr. 03/2009, which states that ‘energy sustainability’ requires achievement</w:t>
            </w:r>
            <w:r>
              <w:rPr>
                <w:spacing w:val="-13"/>
                <w:sz w:val="20"/>
              </w:rPr>
              <w:t xml:space="preserve"> </w:t>
            </w:r>
            <w:r>
              <w:rPr>
                <w:sz w:val="20"/>
              </w:rPr>
              <w:t>of planned comfort levels in public buildings, as well as energy</w:t>
            </w:r>
            <w:r>
              <w:rPr>
                <w:spacing w:val="-9"/>
                <w:sz w:val="20"/>
              </w:rPr>
              <w:t xml:space="preserve"> </w:t>
            </w:r>
            <w:r>
              <w:rPr>
                <w:sz w:val="20"/>
              </w:rPr>
              <w:t>efficiency</w:t>
            </w:r>
          </w:p>
          <w:p w:rsidR="00F3177F" w:rsidRDefault="0089671D">
            <w:pPr>
              <w:pStyle w:val="TableParagraph"/>
              <w:numPr>
                <w:ilvl w:val="0"/>
                <w:numId w:val="6"/>
              </w:numPr>
              <w:tabs>
                <w:tab w:val="left" w:pos="310"/>
              </w:tabs>
              <w:spacing w:line="276" w:lineRule="auto"/>
              <w:ind w:right="182" w:hanging="252"/>
              <w:rPr>
                <w:sz w:val="20"/>
              </w:rPr>
            </w:pPr>
            <w:r>
              <w:rPr>
                <w:b/>
                <w:sz w:val="20"/>
              </w:rPr>
              <w:t xml:space="preserve">Impact: </w:t>
            </w:r>
            <w:r>
              <w:rPr>
                <w:sz w:val="20"/>
              </w:rPr>
              <w:t>Achieving comfort levels in some public buildings may initially increase energy consumption and energy costs, even if accompanied by implementation of EE measures; ESCO type arrangements cannot</w:t>
            </w:r>
            <w:r>
              <w:rPr>
                <w:spacing w:val="-18"/>
                <w:sz w:val="20"/>
              </w:rPr>
              <w:t xml:space="preserve"> </w:t>
            </w:r>
            <w:r>
              <w:rPr>
                <w:sz w:val="20"/>
              </w:rPr>
              <w:t>be applied in such a</w:t>
            </w:r>
            <w:r>
              <w:rPr>
                <w:spacing w:val="-10"/>
                <w:sz w:val="20"/>
              </w:rPr>
              <w:t xml:space="preserve"> </w:t>
            </w:r>
            <w:r>
              <w:rPr>
                <w:sz w:val="20"/>
              </w:rPr>
              <w:t>situation</w:t>
            </w:r>
          </w:p>
          <w:p w:rsidR="00F3177F" w:rsidRDefault="0089671D">
            <w:pPr>
              <w:pStyle w:val="TableParagraph"/>
              <w:numPr>
                <w:ilvl w:val="0"/>
                <w:numId w:val="6"/>
              </w:numPr>
              <w:tabs>
                <w:tab w:val="left" w:pos="310"/>
              </w:tabs>
              <w:spacing w:line="276" w:lineRule="auto"/>
              <w:ind w:right="392" w:hanging="252"/>
              <w:rPr>
                <w:sz w:val="20"/>
              </w:rPr>
            </w:pPr>
            <w:r>
              <w:rPr>
                <w:b/>
                <w:sz w:val="20"/>
              </w:rPr>
              <w:t xml:space="preserve">Remedy: </w:t>
            </w:r>
            <w:r>
              <w:rPr>
                <w:sz w:val="20"/>
              </w:rPr>
              <w:t>Develop schemes to provide financial assistance to help public</w:t>
            </w:r>
            <w:r>
              <w:rPr>
                <w:spacing w:val="-16"/>
                <w:sz w:val="20"/>
              </w:rPr>
              <w:t xml:space="preserve"> </w:t>
            </w:r>
            <w:r>
              <w:rPr>
                <w:sz w:val="20"/>
              </w:rPr>
              <w:t>buildings meet minimum legal comfort</w:t>
            </w:r>
            <w:r>
              <w:rPr>
                <w:spacing w:val="-17"/>
                <w:sz w:val="20"/>
              </w:rPr>
              <w:t xml:space="preserve"> </w:t>
            </w:r>
            <w:r>
              <w:rPr>
                <w:sz w:val="20"/>
              </w:rPr>
              <w:t>levels</w:t>
            </w:r>
          </w:p>
          <w:p w:rsidR="00F3177F" w:rsidRDefault="0089671D">
            <w:pPr>
              <w:pStyle w:val="TableParagraph"/>
              <w:numPr>
                <w:ilvl w:val="0"/>
                <w:numId w:val="6"/>
              </w:numPr>
              <w:tabs>
                <w:tab w:val="left" w:pos="310"/>
              </w:tabs>
              <w:ind w:left="309" w:hanging="206"/>
              <w:rPr>
                <w:sz w:val="20"/>
              </w:rPr>
            </w:pPr>
            <w:r>
              <w:rPr>
                <w:b/>
                <w:sz w:val="20"/>
              </w:rPr>
              <w:t xml:space="preserve">Responsibility: </w:t>
            </w:r>
            <w:r>
              <w:rPr>
                <w:sz w:val="20"/>
              </w:rPr>
              <w:t>IFIs, Ministries,</w:t>
            </w:r>
            <w:r>
              <w:rPr>
                <w:spacing w:val="-13"/>
                <w:sz w:val="20"/>
              </w:rPr>
              <w:t xml:space="preserve"> </w:t>
            </w:r>
            <w:r>
              <w:rPr>
                <w:sz w:val="20"/>
              </w:rPr>
              <w:t>municipalities</w:t>
            </w:r>
          </w:p>
        </w:tc>
        <w:tc>
          <w:tcPr>
            <w:tcW w:w="4357" w:type="dxa"/>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4"/>
              <w:rPr>
                <w:sz w:val="17"/>
              </w:rPr>
            </w:pPr>
          </w:p>
          <w:p w:rsidR="00F3177F" w:rsidRDefault="0089671D">
            <w:pPr>
              <w:pStyle w:val="TableParagraph"/>
              <w:numPr>
                <w:ilvl w:val="0"/>
                <w:numId w:val="5"/>
              </w:numPr>
              <w:tabs>
                <w:tab w:val="left" w:pos="310"/>
              </w:tabs>
              <w:spacing w:line="276" w:lineRule="auto"/>
              <w:ind w:right="438" w:hanging="233"/>
              <w:rPr>
                <w:sz w:val="20"/>
              </w:rPr>
            </w:pPr>
            <w:r>
              <w:rPr>
                <w:b/>
                <w:sz w:val="20"/>
              </w:rPr>
              <w:t xml:space="preserve">Barrier PF2: </w:t>
            </w:r>
            <w:r>
              <w:rPr>
                <w:sz w:val="20"/>
              </w:rPr>
              <w:t>Central government</w:t>
            </w:r>
            <w:r>
              <w:rPr>
                <w:spacing w:val="-12"/>
                <w:sz w:val="20"/>
              </w:rPr>
              <w:t xml:space="preserve"> </w:t>
            </w:r>
            <w:r>
              <w:rPr>
                <w:sz w:val="20"/>
              </w:rPr>
              <w:t>budgetary constraints limit investment opportunities., particularly in the current economic</w:t>
            </w:r>
            <w:r>
              <w:rPr>
                <w:spacing w:val="-18"/>
                <w:sz w:val="20"/>
              </w:rPr>
              <w:t xml:space="preserve"> </w:t>
            </w:r>
            <w:r>
              <w:rPr>
                <w:sz w:val="20"/>
              </w:rPr>
              <w:t>climate</w:t>
            </w:r>
          </w:p>
          <w:p w:rsidR="00F3177F" w:rsidRDefault="0089671D">
            <w:pPr>
              <w:pStyle w:val="TableParagraph"/>
              <w:numPr>
                <w:ilvl w:val="0"/>
                <w:numId w:val="5"/>
              </w:numPr>
              <w:tabs>
                <w:tab w:val="left" w:pos="310"/>
              </w:tabs>
              <w:spacing w:line="278" w:lineRule="auto"/>
              <w:ind w:right="201" w:hanging="233"/>
              <w:rPr>
                <w:sz w:val="20"/>
              </w:rPr>
            </w:pPr>
            <w:r>
              <w:rPr>
                <w:b/>
                <w:sz w:val="20"/>
              </w:rPr>
              <w:t xml:space="preserve">Impact: </w:t>
            </w:r>
            <w:r>
              <w:rPr>
                <w:sz w:val="20"/>
              </w:rPr>
              <w:t>Central government cannot finance</w:t>
            </w:r>
            <w:r>
              <w:rPr>
                <w:spacing w:val="-19"/>
                <w:sz w:val="20"/>
              </w:rPr>
              <w:t xml:space="preserve"> </w:t>
            </w:r>
            <w:r>
              <w:rPr>
                <w:sz w:val="20"/>
              </w:rPr>
              <w:t>EE projects</w:t>
            </w:r>
          </w:p>
          <w:p w:rsidR="00F3177F" w:rsidRDefault="0089671D">
            <w:pPr>
              <w:pStyle w:val="TableParagraph"/>
              <w:numPr>
                <w:ilvl w:val="0"/>
                <w:numId w:val="5"/>
              </w:numPr>
              <w:tabs>
                <w:tab w:val="left" w:pos="310"/>
              </w:tabs>
              <w:spacing w:line="229" w:lineRule="exact"/>
              <w:ind w:left="309" w:hanging="206"/>
              <w:rPr>
                <w:sz w:val="20"/>
              </w:rPr>
            </w:pPr>
            <w:r>
              <w:rPr>
                <w:b/>
                <w:sz w:val="20"/>
              </w:rPr>
              <w:t xml:space="preserve">Remedy: </w:t>
            </w:r>
            <w:r>
              <w:rPr>
                <w:sz w:val="20"/>
              </w:rPr>
              <w:t>Secure funding from</w:t>
            </w:r>
            <w:r>
              <w:rPr>
                <w:spacing w:val="-12"/>
                <w:sz w:val="20"/>
              </w:rPr>
              <w:t xml:space="preserve"> </w:t>
            </w:r>
            <w:r>
              <w:rPr>
                <w:sz w:val="20"/>
              </w:rPr>
              <w:t>IFIs</w:t>
            </w:r>
          </w:p>
          <w:p w:rsidR="00F3177F" w:rsidRDefault="0089671D">
            <w:pPr>
              <w:pStyle w:val="TableParagraph"/>
              <w:numPr>
                <w:ilvl w:val="0"/>
                <w:numId w:val="5"/>
              </w:numPr>
              <w:tabs>
                <w:tab w:val="left" w:pos="310"/>
              </w:tabs>
              <w:spacing w:before="34"/>
              <w:ind w:left="309" w:hanging="206"/>
              <w:rPr>
                <w:sz w:val="20"/>
              </w:rPr>
            </w:pPr>
            <w:r>
              <w:rPr>
                <w:b/>
                <w:sz w:val="20"/>
              </w:rPr>
              <w:t xml:space="preserve">Responsibility: </w:t>
            </w:r>
            <w:r>
              <w:rPr>
                <w:sz w:val="20"/>
              </w:rPr>
              <w:t>IFIs, GoK, MoF,</w:t>
            </w:r>
            <w:r>
              <w:rPr>
                <w:spacing w:val="-9"/>
                <w:sz w:val="20"/>
              </w:rPr>
              <w:t xml:space="preserve"> </w:t>
            </w:r>
            <w:r>
              <w:rPr>
                <w:sz w:val="20"/>
              </w:rPr>
              <w:t>KEEA</w:t>
            </w:r>
          </w:p>
        </w:tc>
      </w:tr>
    </w:tbl>
    <w:p w:rsidR="00F3177F" w:rsidRDefault="00F3177F">
      <w:pPr>
        <w:rPr>
          <w:sz w:val="20"/>
        </w:rPr>
        <w:sectPr w:rsidR="00F3177F">
          <w:pgSz w:w="12240" w:h="15840"/>
          <w:pgMar w:top="1380" w:right="1220" w:bottom="1500" w:left="1720" w:header="0" w:footer="1244"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357"/>
      </w:tblGrid>
      <w:tr w:rsidR="00F3177F">
        <w:trPr>
          <w:trHeight w:hRule="exact" w:val="3714"/>
        </w:trPr>
        <w:tc>
          <w:tcPr>
            <w:tcW w:w="4249" w:type="dxa"/>
          </w:tcPr>
          <w:p w:rsidR="00F3177F" w:rsidRDefault="0089671D">
            <w:pPr>
              <w:pStyle w:val="TableParagraph"/>
              <w:numPr>
                <w:ilvl w:val="0"/>
                <w:numId w:val="4"/>
              </w:numPr>
              <w:tabs>
                <w:tab w:val="left" w:pos="310"/>
              </w:tabs>
              <w:spacing w:line="276" w:lineRule="auto"/>
              <w:ind w:right="334" w:hanging="252"/>
              <w:rPr>
                <w:sz w:val="20"/>
              </w:rPr>
            </w:pPr>
            <w:r>
              <w:rPr>
                <w:b/>
                <w:sz w:val="20"/>
              </w:rPr>
              <w:lastRenderedPageBreak/>
              <w:t xml:space="preserve">Barrier PLR3: </w:t>
            </w:r>
            <w:r>
              <w:rPr>
                <w:sz w:val="20"/>
              </w:rPr>
              <w:t>The Law on Public Procurement requires government tenders</w:t>
            </w:r>
            <w:r>
              <w:rPr>
                <w:spacing w:val="-19"/>
                <w:sz w:val="20"/>
              </w:rPr>
              <w:t xml:space="preserve"> </w:t>
            </w:r>
            <w:r>
              <w:rPr>
                <w:sz w:val="20"/>
              </w:rPr>
              <w:t>to take account of positive EE related</w:t>
            </w:r>
            <w:r>
              <w:rPr>
                <w:spacing w:val="-16"/>
                <w:sz w:val="20"/>
              </w:rPr>
              <w:t xml:space="preserve"> </w:t>
            </w:r>
            <w:r>
              <w:rPr>
                <w:sz w:val="20"/>
              </w:rPr>
              <w:t>aspects.</w:t>
            </w:r>
          </w:p>
          <w:p w:rsidR="00F3177F" w:rsidRDefault="0089671D">
            <w:pPr>
              <w:pStyle w:val="TableParagraph"/>
              <w:spacing w:line="276" w:lineRule="auto"/>
              <w:ind w:left="355" w:right="537"/>
              <w:rPr>
                <w:sz w:val="20"/>
              </w:rPr>
            </w:pPr>
            <w:r>
              <w:rPr>
                <w:sz w:val="20"/>
              </w:rPr>
              <w:t>But it is not being implemented because the necessary secondary legislation not in place.</w:t>
            </w:r>
          </w:p>
          <w:p w:rsidR="00F3177F" w:rsidRDefault="0089671D">
            <w:pPr>
              <w:pStyle w:val="TableParagraph"/>
              <w:numPr>
                <w:ilvl w:val="0"/>
                <w:numId w:val="4"/>
              </w:numPr>
              <w:tabs>
                <w:tab w:val="left" w:pos="310"/>
              </w:tabs>
              <w:spacing w:line="276" w:lineRule="auto"/>
              <w:ind w:right="205" w:hanging="252"/>
              <w:rPr>
                <w:sz w:val="20"/>
              </w:rPr>
            </w:pPr>
            <w:r>
              <w:rPr>
                <w:b/>
                <w:sz w:val="20"/>
              </w:rPr>
              <w:t xml:space="preserve">Impact: </w:t>
            </w:r>
            <w:r>
              <w:rPr>
                <w:sz w:val="20"/>
              </w:rPr>
              <w:t>Tenders are evaluated purely on the basis of gross cost and the value of the</w:t>
            </w:r>
            <w:r>
              <w:rPr>
                <w:spacing w:val="-19"/>
                <w:sz w:val="20"/>
              </w:rPr>
              <w:t xml:space="preserve"> </w:t>
            </w:r>
            <w:r>
              <w:rPr>
                <w:sz w:val="20"/>
              </w:rPr>
              <w:t>energy saving potential of bids is</w:t>
            </w:r>
            <w:r>
              <w:rPr>
                <w:spacing w:val="-7"/>
                <w:sz w:val="20"/>
              </w:rPr>
              <w:t xml:space="preserve"> </w:t>
            </w:r>
            <w:r>
              <w:rPr>
                <w:sz w:val="20"/>
              </w:rPr>
              <w:t>ignored,</w:t>
            </w:r>
          </w:p>
          <w:p w:rsidR="00F3177F" w:rsidRDefault="0089671D">
            <w:pPr>
              <w:pStyle w:val="TableParagraph"/>
              <w:numPr>
                <w:ilvl w:val="0"/>
                <w:numId w:val="4"/>
              </w:numPr>
              <w:tabs>
                <w:tab w:val="left" w:pos="310"/>
              </w:tabs>
              <w:spacing w:line="276" w:lineRule="auto"/>
              <w:ind w:right="137" w:hanging="252"/>
              <w:rPr>
                <w:sz w:val="20"/>
              </w:rPr>
            </w:pPr>
            <w:r>
              <w:rPr>
                <w:b/>
                <w:sz w:val="20"/>
              </w:rPr>
              <w:t xml:space="preserve">Remedy: </w:t>
            </w:r>
            <w:r>
              <w:rPr>
                <w:sz w:val="20"/>
              </w:rPr>
              <w:t>The secondary legislation required</w:t>
            </w:r>
            <w:r>
              <w:rPr>
                <w:spacing w:val="-14"/>
                <w:sz w:val="20"/>
              </w:rPr>
              <w:t xml:space="preserve"> </w:t>
            </w:r>
            <w:r>
              <w:rPr>
                <w:sz w:val="20"/>
              </w:rPr>
              <w:t>to implement the amendments to the Public Procurement Law has to be drafted and enforced.</w:t>
            </w:r>
          </w:p>
          <w:p w:rsidR="00F3177F" w:rsidRDefault="0089671D">
            <w:pPr>
              <w:pStyle w:val="TableParagraph"/>
              <w:numPr>
                <w:ilvl w:val="0"/>
                <w:numId w:val="4"/>
              </w:numPr>
              <w:tabs>
                <w:tab w:val="left" w:pos="310"/>
              </w:tabs>
              <w:spacing w:before="1"/>
              <w:ind w:left="309" w:hanging="206"/>
              <w:rPr>
                <w:sz w:val="20"/>
              </w:rPr>
            </w:pPr>
            <w:r>
              <w:rPr>
                <w:b/>
                <w:sz w:val="20"/>
              </w:rPr>
              <w:t>Responsibility:</w:t>
            </w:r>
            <w:r>
              <w:rPr>
                <w:b/>
                <w:spacing w:val="-2"/>
                <w:sz w:val="20"/>
              </w:rPr>
              <w:t xml:space="preserve"> </w:t>
            </w:r>
            <w:r>
              <w:rPr>
                <w:sz w:val="20"/>
              </w:rPr>
              <w:t>MoF</w:t>
            </w:r>
          </w:p>
        </w:tc>
        <w:tc>
          <w:tcPr>
            <w:tcW w:w="4357" w:type="dxa"/>
          </w:tcPr>
          <w:p w:rsidR="00F3177F" w:rsidRDefault="00F3177F"/>
        </w:tc>
      </w:tr>
    </w:tbl>
    <w:p w:rsidR="00F3177F" w:rsidRDefault="00F3177F">
      <w:pPr>
        <w:pStyle w:val="BodyText"/>
        <w:spacing w:before="6"/>
        <w:rPr>
          <w:sz w:val="27"/>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357"/>
      </w:tblGrid>
      <w:tr w:rsidR="00F3177F">
        <w:trPr>
          <w:trHeight w:hRule="exact" w:val="329"/>
        </w:trPr>
        <w:tc>
          <w:tcPr>
            <w:tcW w:w="4249" w:type="dxa"/>
          </w:tcPr>
          <w:p w:rsidR="00F3177F" w:rsidRDefault="0089671D">
            <w:pPr>
              <w:pStyle w:val="TableParagraph"/>
              <w:spacing w:before="1"/>
              <w:ind w:left="1593" w:right="1593"/>
              <w:jc w:val="center"/>
              <w:rPr>
                <w:b/>
                <w:sz w:val="24"/>
              </w:rPr>
            </w:pPr>
            <w:r>
              <w:rPr>
                <w:b/>
                <w:sz w:val="24"/>
              </w:rPr>
              <w:t>Economic</w:t>
            </w:r>
          </w:p>
        </w:tc>
        <w:tc>
          <w:tcPr>
            <w:tcW w:w="4357" w:type="dxa"/>
          </w:tcPr>
          <w:p w:rsidR="00F3177F" w:rsidRDefault="0089671D">
            <w:pPr>
              <w:pStyle w:val="TableParagraph"/>
              <w:spacing w:before="1"/>
              <w:ind w:left="1519" w:right="1520"/>
              <w:jc w:val="center"/>
              <w:rPr>
                <w:b/>
                <w:sz w:val="24"/>
              </w:rPr>
            </w:pPr>
            <w:r>
              <w:rPr>
                <w:b/>
                <w:sz w:val="24"/>
              </w:rPr>
              <w:t>Institutional</w:t>
            </w:r>
          </w:p>
        </w:tc>
      </w:tr>
      <w:tr w:rsidR="00F3177F">
        <w:trPr>
          <w:trHeight w:hRule="exact" w:val="4772"/>
        </w:trPr>
        <w:tc>
          <w:tcPr>
            <w:tcW w:w="4249" w:type="dxa"/>
          </w:tcPr>
          <w:p w:rsidR="00F3177F" w:rsidRDefault="00F3177F">
            <w:pPr>
              <w:pStyle w:val="TableParagraph"/>
              <w:rPr>
                <w:sz w:val="20"/>
              </w:rPr>
            </w:pPr>
          </w:p>
          <w:p w:rsidR="00F3177F" w:rsidRDefault="00F3177F">
            <w:pPr>
              <w:pStyle w:val="TableParagraph"/>
              <w:rPr>
                <w:sz w:val="20"/>
              </w:rPr>
            </w:pPr>
          </w:p>
          <w:p w:rsidR="00F3177F" w:rsidRDefault="00F3177F">
            <w:pPr>
              <w:pStyle w:val="TableParagraph"/>
              <w:spacing w:before="8"/>
              <w:rPr>
                <w:sz w:val="28"/>
              </w:rPr>
            </w:pPr>
          </w:p>
          <w:p w:rsidR="00F3177F" w:rsidRDefault="0089671D">
            <w:pPr>
              <w:pStyle w:val="TableParagraph"/>
              <w:numPr>
                <w:ilvl w:val="0"/>
                <w:numId w:val="3"/>
              </w:numPr>
              <w:tabs>
                <w:tab w:val="left" w:pos="310"/>
              </w:tabs>
              <w:spacing w:line="276" w:lineRule="auto"/>
              <w:ind w:right="266" w:hanging="252"/>
              <w:rPr>
                <w:sz w:val="20"/>
              </w:rPr>
            </w:pPr>
            <w:r>
              <w:rPr>
                <w:b/>
                <w:sz w:val="20"/>
              </w:rPr>
              <w:t xml:space="preserve">Barrier Public Economic (PE)1: </w:t>
            </w:r>
            <w:r>
              <w:rPr>
                <w:sz w:val="20"/>
              </w:rPr>
              <w:t>EE is not a top priority for municipality mayors - water supply, waste disposal, sewage treatment are considered more</w:t>
            </w:r>
            <w:r>
              <w:rPr>
                <w:spacing w:val="-10"/>
                <w:sz w:val="20"/>
              </w:rPr>
              <w:t xml:space="preserve"> </w:t>
            </w:r>
            <w:r>
              <w:rPr>
                <w:sz w:val="20"/>
              </w:rPr>
              <w:t>important</w:t>
            </w:r>
          </w:p>
          <w:p w:rsidR="00F3177F" w:rsidRDefault="0089671D">
            <w:pPr>
              <w:pStyle w:val="TableParagraph"/>
              <w:numPr>
                <w:ilvl w:val="0"/>
                <w:numId w:val="3"/>
              </w:numPr>
              <w:tabs>
                <w:tab w:val="left" w:pos="310"/>
              </w:tabs>
              <w:spacing w:line="276" w:lineRule="auto"/>
              <w:ind w:right="115" w:hanging="252"/>
              <w:rPr>
                <w:sz w:val="20"/>
              </w:rPr>
            </w:pPr>
            <w:r>
              <w:rPr>
                <w:b/>
                <w:sz w:val="20"/>
              </w:rPr>
              <w:t xml:space="preserve">Impact: </w:t>
            </w:r>
            <w:r>
              <w:rPr>
                <w:sz w:val="20"/>
              </w:rPr>
              <w:t>Any available funds are spent on</w:t>
            </w:r>
            <w:r>
              <w:rPr>
                <w:spacing w:val="-13"/>
                <w:sz w:val="20"/>
              </w:rPr>
              <w:t xml:space="preserve"> </w:t>
            </w:r>
            <w:r>
              <w:rPr>
                <w:sz w:val="20"/>
              </w:rPr>
              <w:t>other projects, even though EE programs can have a better Return on Investment (ROI) than other priorities</w:t>
            </w:r>
          </w:p>
          <w:p w:rsidR="00F3177F" w:rsidRDefault="0089671D">
            <w:pPr>
              <w:pStyle w:val="TableParagraph"/>
              <w:numPr>
                <w:ilvl w:val="0"/>
                <w:numId w:val="3"/>
              </w:numPr>
              <w:tabs>
                <w:tab w:val="left" w:pos="310"/>
              </w:tabs>
              <w:spacing w:line="276" w:lineRule="auto"/>
              <w:ind w:right="382" w:hanging="252"/>
              <w:rPr>
                <w:sz w:val="20"/>
              </w:rPr>
            </w:pPr>
            <w:r>
              <w:rPr>
                <w:b/>
                <w:sz w:val="20"/>
              </w:rPr>
              <w:t xml:space="preserve">Remedy: </w:t>
            </w:r>
            <w:r>
              <w:rPr>
                <w:sz w:val="20"/>
              </w:rPr>
              <w:t>Set up dedicated funding</w:t>
            </w:r>
            <w:r>
              <w:rPr>
                <w:spacing w:val="-12"/>
                <w:sz w:val="20"/>
              </w:rPr>
              <w:t xml:space="preserve"> </w:t>
            </w:r>
            <w:r>
              <w:rPr>
                <w:sz w:val="20"/>
              </w:rPr>
              <w:t>facilities which can only be used for EE related investments</w:t>
            </w:r>
          </w:p>
          <w:p w:rsidR="00F3177F" w:rsidRDefault="0089671D">
            <w:pPr>
              <w:pStyle w:val="TableParagraph"/>
              <w:numPr>
                <w:ilvl w:val="0"/>
                <w:numId w:val="3"/>
              </w:numPr>
              <w:tabs>
                <w:tab w:val="left" w:pos="310"/>
              </w:tabs>
              <w:ind w:left="309" w:hanging="206"/>
              <w:rPr>
                <w:sz w:val="20"/>
              </w:rPr>
            </w:pPr>
            <w:r>
              <w:rPr>
                <w:b/>
                <w:sz w:val="20"/>
              </w:rPr>
              <w:t xml:space="preserve">Responsibility: </w:t>
            </w:r>
            <w:r>
              <w:rPr>
                <w:sz w:val="20"/>
              </w:rPr>
              <w:t>IFIs, KEEA,</w:t>
            </w:r>
            <w:r>
              <w:rPr>
                <w:spacing w:val="-10"/>
                <w:sz w:val="20"/>
              </w:rPr>
              <w:t xml:space="preserve"> </w:t>
            </w:r>
            <w:r>
              <w:rPr>
                <w:sz w:val="20"/>
              </w:rPr>
              <w:t>municipalities</w:t>
            </w:r>
          </w:p>
        </w:tc>
        <w:tc>
          <w:tcPr>
            <w:tcW w:w="4357" w:type="dxa"/>
          </w:tcPr>
          <w:p w:rsidR="00F3177F" w:rsidRDefault="0089671D">
            <w:pPr>
              <w:pStyle w:val="TableParagraph"/>
              <w:numPr>
                <w:ilvl w:val="0"/>
                <w:numId w:val="2"/>
              </w:numPr>
              <w:tabs>
                <w:tab w:val="left" w:pos="310"/>
              </w:tabs>
              <w:spacing w:line="276" w:lineRule="auto"/>
              <w:ind w:right="343" w:hanging="233"/>
              <w:rPr>
                <w:sz w:val="20"/>
              </w:rPr>
            </w:pPr>
            <w:r>
              <w:rPr>
                <w:b/>
                <w:sz w:val="20"/>
              </w:rPr>
              <w:t>Barrier Public Institutional (PI</w:t>
            </w:r>
            <w:proofErr w:type="gramStart"/>
            <w:r>
              <w:rPr>
                <w:b/>
                <w:sz w:val="20"/>
              </w:rPr>
              <w:t>)1</w:t>
            </w:r>
            <w:proofErr w:type="gramEnd"/>
            <w:r>
              <w:rPr>
                <w:b/>
                <w:sz w:val="20"/>
              </w:rPr>
              <w:t xml:space="preserve">: </w:t>
            </w:r>
            <w:r>
              <w:rPr>
                <w:sz w:val="20"/>
              </w:rPr>
              <w:t>The demands of the decentralization process</w:t>
            </w:r>
            <w:r>
              <w:rPr>
                <w:spacing w:val="-15"/>
                <w:sz w:val="20"/>
              </w:rPr>
              <w:t xml:space="preserve"> </w:t>
            </w:r>
            <w:r>
              <w:rPr>
                <w:sz w:val="20"/>
              </w:rPr>
              <w:t>place an increasing burden on municipalities while their resources are frozen or being reduced. There is insufficient EE expertise and insufficient resources at municipal</w:t>
            </w:r>
            <w:r>
              <w:rPr>
                <w:spacing w:val="-15"/>
                <w:sz w:val="20"/>
              </w:rPr>
              <w:t xml:space="preserve"> </w:t>
            </w:r>
            <w:r>
              <w:rPr>
                <w:sz w:val="20"/>
              </w:rPr>
              <w:t>level</w:t>
            </w:r>
          </w:p>
          <w:p w:rsidR="00F3177F" w:rsidRDefault="0089671D">
            <w:pPr>
              <w:pStyle w:val="TableParagraph"/>
              <w:numPr>
                <w:ilvl w:val="0"/>
                <w:numId w:val="2"/>
              </w:numPr>
              <w:tabs>
                <w:tab w:val="left" w:pos="310"/>
              </w:tabs>
              <w:spacing w:line="276" w:lineRule="auto"/>
              <w:ind w:right="634" w:hanging="233"/>
              <w:rPr>
                <w:sz w:val="20"/>
              </w:rPr>
            </w:pPr>
            <w:r>
              <w:rPr>
                <w:b/>
                <w:sz w:val="20"/>
              </w:rPr>
              <w:t xml:space="preserve">Impact: </w:t>
            </w:r>
            <w:r>
              <w:rPr>
                <w:sz w:val="20"/>
              </w:rPr>
              <w:t>Municipal EE planning and implementation are constrained and municipalities cannot deliver good</w:t>
            </w:r>
            <w:r>
              <w:rPr>
                <w:spacing w:val="-11"/>
                <w:sz w:val="20"/>
              </w:rPr>
              <w:t xml:space="preserve"> </w:t>
            </w:r>
            <w:r>
              <w:rPr>
                <w:sz w:val="20"/>
              </w:rPr>
              <w:t>quality EE</w:t>
            </w:r>
            <w:r>
              <w:rPr>
                <w:spacing w:val="-3"/>
                <w:sz w:val="20"/>
              </w:rPr>
              <w:t xml:space="preserve"> </w:t>
            </w:r>
            <w:r>
              <w:rPr>
                <w:sz w:val="20"/>
              </w:rPr>
              <w:t>plans</w:t>
            </w:r>
          </w:p>
          <w:p w:rsidR="00F3177F" w:rsidRDefault="0089671D">
            <w:pPr>
              <w:pStyle w:val="TableParagraph"/>
              <w:numPr>
                <w:ilvl w:val="0"/>
                <w:numId w:val="2"/>
              </w:numPr>
              <w:tabs>
                <w:tab w:val="left" w:pos="310"/>
              </w:tabs>
              <w:spacing w:line="276" w:lineRule="auto"/>
              <w:ind w:right="372" w:hanging="233"/>
              <w:rPr>
                <w:sz w:val="20"/>
              </w:rPr>
            </w:pPr>
            <w:r>
              <w:rPr>
                <w:b/>
                <w:sz w:val="20"/>
              </w:rPr>
              <w:t xml:space="preserve">Remedy: </w:t>
            </w:r>
            <w:r>
              <w:rPr>
                <w:sz w:val="20"/>
              </w:rPr>
              <w:t>Consider changing the basis for EE planning to a regional level (e.g. based on</w:t>
            </w:r>
            <w:r>
              <w:rPr>
                <w:spacing w:val="-17"/>
                <w:sz w:val="20"/>
              </w:rPr>
              <w:t xml:space="preserve"> </w:t>
            </w:r>
            <w:r>
              <w:rPr>
                <w:sz w:val="20"/>
              </w:rPr>
              <w:t>the Regional Development Agency structure). Training Agency to provide training to municipalities and to assist with setting up of EE planning support facility at regional level (being addressed by an EU funded</w:t>
            </w:r>
            <w:r>
              <w:rPr>
                <w:spacing w:val="-12"/>
                <w:sz w:val="20"/>
              </w:rPr>
              <w:t xml:space="preserve"> </w:t>
            </w:r>
            <w:r>
              <w:rPr>
                <w:sz w:val="20"/>
              </w:rPr>
              <w:t>project)</w:t>
            </w:r>
          </w:p>
          <w:p w:rsidR="00F3177F" w:rsidRDefault="0089671D">
            <w:pPr>
              <w:pStyle w:val="TableParagraph"/>
              <w:numPr>
                <w:ilvl w:val="0"/>
                <w:numId w:val="2"/>
              </w:numPr>
              <w:tabs>
                <w:tab w:val="left" w:pos="310"/>
              </w:tabs>
              <w:ind w:left="309" w:hanging="206"/>
              <w:rPr>
                <w:sz w:val="20"/>
              </w:rPr>
            </w:pPr>
            <w:r>
              <w:rPr>
                <w:b/>
                <w:sz w:val="20"/>
              </w:rPr>
              <w:t xml:space="preserve">Responsibility: </w:t>
            </w:r>
            <w:r>
              <w:rPr>
                <w:sz w:val="20"/>
              </w:rPr>
              <w:t>IFIs, KEEA,</w:t>
            </w:r>
            <w:r>
              <w:rPr>
                <w:spacing w:val="-10"/>
                <w:sz w:val="20"/>
              </w:rPr>
              <w:t xml:space="preserve"> </w:t>
            </w:r>
            <w:r>
              <w:rPr>
                <w:sz w:val="20"/>
              </w:rPr>
              <w:t>municipalities</w:t>
            </w:r>
          </w:p>
        </w:tc>
      </w:tr>
    </w:tbl>
    <w:p w:rsidR="00F3177F" w:rsidRDefault="00F3177F">
      <w:pPr>
        <w:rPr>
          <w:sz w:val="20"/>
        </w:rPr>
        <w:sectPr w:rsidR="00F3177F">
          <w:pgSz w:w="12240" w:h="15840"/>
          <w:pgMar w:top="1440" w:right="1220" w:bottom="1500" w:left="1720" w:header="0" w:footer="1244" w:gutter="0"/>
          <w:cols w:space="720"/>
        </w:sectPr>
      </w:pPr>
    </w:p>
    <w:p w:rsidR="00F3177F" w:rsidRDefault="0089671D">
      <w:pPr>
        <w:pStyle w:val="BodyText"/>
        <w:spacing w:before="54" w:line="360" w:lineRule="auto"/>
        <w:ind w:left="584" w:right="151"/>
      </w:pPr>
      <w:r>
        <w:rPr>
          <w:b/>
        </w:rPr>
        <w:lastRenderedPageBreak/>
        <w:t xml:space="preserve">Appendix E: </w:t>
      </w:r>
      <w:r>
        <w:t>Questionnaire to Determine Energy Consumption in Buildings (World Bank, 2013).</w:t>
      </w:r>
    </w:p>
    <w:p w:rsidR="00F3177F" w:rsidRDefault="0089671D">
      <w:pPr>
        <w:pStyle w:val="BodyText"/>
        <w:spacing w:before="7"/>
        <w:rPr>
          <w:sz w:val="21"/>
        </w:rPr>
      </w:pPr>
      <w:r>
        <w:rPr>
          <w:noProof/>
        </w:rPr>
        <w:drawing>
          <wp:anchor distT="0" distB="0" distL="0" distR="0" simplePos="0" relativeHeight="1864" behindDoc="0" locked="0" layoutInCell="1" allowOverlap="1">
            <wp:simplePos x="0" y="0"/>
            <wp:positionH relativeFrom="page">
              <wp:posOffset>1463039</wp:posOffset>
            </wp:positionH>
            <wp:positionV relativeFrom="paragraph">
              <wp:posOffset>182662</wp:posOffset>
            </wp:positionV>
            <wp:extent cx="5357913" cy="7235190"/>
            <wp:effectExtent l="0" t="0" r="0" b="0"/>
            <wp:wrapTopAndBottom/>
            <wp:docPr id="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152" cstate="print"/>
                    <a:stretch>
                      <a:fillRect/>
                    </a:stretch>
                  </pic:blipFill>
                  <pic:spPr>
                    <a:xfrm>
                      <a:off x="0" y="0"/>
                      <a:ext cx="5357913" cy="7235190"/>
                    </a:xfrm>
                    <a:prstGeom prst="rect">
                      <a:avLst/>
                    </a:prstGeom>
                  </pic:spPr>
                </pic:pic>
              </a:graphicData>
            </a:graphic>
          </wp:anchor>
        </w:drawing>
      </w:r>
    </w:p>
    <w:p w:rsidR="00F3177F" w:rsidRDefault="00F3177F">
      <w:pPr>
        <w:rPr>
          <w:sz w:val="21"/>
        </w:rPr>
        <w:sectPr w:rsidR="00F3177F">
          <w:pgSz w:w="12240" w:h="15840"/>
          <w:pgMar w:top="1380" w:right="1340" w:bottom="1500" w:left="1720" w:header="0" w:footer="1244" w:gutter="0"/>
          <w:cols w:space="720"/>
        </w:sectPr>
      </w:pPr>
    </w:p>
    <w:p w:rsidR="00F3177F" w:rsidRDefault="0089671D">
      <w:pPr>
        <w:pStyle w:val="BodyText"/>
        <w:ind w:left="584"/>
        <w:rPr>
          <w:sz w:val="20"/>
        </w:rPr>
      </w:pPr>
      <w:r>
        <w:rPr>
          <w:noProof/>
          <w:sz w:val="20"/>
        </w:rPr>
        <w:lastRenderedPageBreak/>
        <w:drawing>
          <wp:inline distT="0" distB="0" distL="0" distR="0">
            <wp:extent cx="5314888" cy="7721536"/>
            <wp:effectExtent l="0" t="0" r="0" b="0"/>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153" cstate="print"/>
                    <a:stretch>
                      <a:fillRect/>
                    </a:stretch>
                  </pic:blipFill>
                  <pic:spPr>
                    <a:xfrm>
                      <a:off x="0" y="0"/>
                      <a:ext cx="5314888" cy="7721536"/>
                    </a:xfrm>
                    <a:prstGeom prst="rect">
                      <a:avLst/>
                    </a:prstGeom>
                  </pic:spPr>
                </pic:pic>
              </a:graphicData>
            </a:graphic>
          </wp:inline>
        </w:drawing>
      </w:r>
    </w:p>
    <w:p w:rsidR="00F3177F" w:rsidRDefault="00F3177F">
      <w:pPr>
        <w:rPr>
          <w:sz w:val="20"/>
        </w:rPr>
        <w:sectPr w:rsidR="00F3177F">
          <w:pgSz w:w="12240" w:h="15840"/>
          <w:pgMar w:top="1440" w:right="1420" w:bottom="1440" w:left="1720" w:header="0" w:footer="1244" w:gutter="0"/>
          <w:cols w:space="720"/>
        </w:sectPr>
      </w:pPr>
    </w:p>
    <w:p w:rsidR="00F3177F" w:rsidRDefault="0089671D">
      <w:pPr>
        <w:pStyle w:val="BodyText"/>
        <w:ind w:left="584"/>
        <w:rPr>
          <w:sz w:val="20"/>
        </w:rPr>
      </w:pPr>
      <w:r>
        <w:rPr>
          <w:noProof/>
          <w:sz w:val="20"/>
        </w:rPr>
        <w:lastRenderedPageBreak/>
        <w:drawing>
          <wp:inline distT="0" distB="0" distL="0" distR="0">
            <wp:extent cx="5091641" cy="7922133"/>
            <wp:effectExtent l="0" t="0" r="0" b="0"/>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154" cstate="print"/>
                    <a:stretch>
                      <a:fillRect/>
                    </a:stretch>
                  </pic:blipFill>
                  <pic:spPr>
                    <a:xfrm>
                      <a:off x="0" y="0"/>
                      <a:ext cx="5091641" cy="7922133"/>
                    </a:xfrm>
                    <a:prstGeom prst="rect">
                      <a:avLst/>
                    </a:prstGeom>
                  </pic:spPr>
                </pic:pic>
              </a:graphicData>
            </a:graphic>
          </wp:inline>
        </w:drawing>
      </w:r>
    </w:p>
    <w:sectPr w:rsidR="00F3177F">
      <w:pgSz w:w="12240" w:h="15840"/>
      <w:pgMar w:top="1440" w:right="1720" w:bottom="1440" w:left="1720" w:header="0" w:footer="12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556" w:rsidRDefault="00CA6556">
      <w:r>
        <w:separator/>
      </w:r>
    </w:p>
  </w:endnote>
  <w:endnote w:type="continuationSeparator" w:id="0">
    <w:p w:rsidR="00CA6556" w:rsidRDefault="00CA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318.95pt;margin-top:695pt;width:17.5pt;height:14pt;z-index:-236152;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 roman </w:instrText>
                </w:r>
                <w:r>
                  <w:fldChar w:fldCharType="separate"/>
                </w:r>
                <w:r w:rsidR="00EF11E5">
                  <w:rPr>
                    <w:rFonts w:ascii="Garamond"/>
                    <w:noProof/>
                  </w:rPr>
                  <w:t>xiii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18.8pt;margin-top:695pt;width:17.7pt;height:14pt;z-index:-236128;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 roman </w:instrText>
                </w:r>
                <w:r>
                  <w:fldChar w:fldCharType="separate"/>
                </w:r>
                <w:r w:rsidR="00EF11E5">
                  <w:rPr>
                    <w:rFonts w:ascii="Garamond"/>
                    <w:noProof/>
                  </w:rPr>
                  <w:t>xiv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16.15pt;margin-top:695pt;width:22.95pt;height:14pt;z-index:-236104;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 roman </w:instrText>
                </w:r>
                <w:r>
                  <w:fldChar w:fldCharType="separate"/>
                </w:r>
                <w:r w:rsidR="00EF11E5">
                  <w:rPr>
                    <w:rFonts w:ascii="Garamond"/>
                    <w:noProof/>
                  </w:rPr>
                  <w:t>xv</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18.95pt;margin-top:695pt;width:17.55pt;height:14pt;z-index:-236080;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 roman </w:instrText>
                </w:r>
                <w:r>
                  <w:fldChar w:fldCharType="separate"/>
                </w:r>
                <w:r w:rsidR="00EF11E5">
                  <w:rPr>
                    <w:rFonts w:ascii="Garamond"/>
                    <w:noProof/>
                  </w:rPr>
                  <w:t>xix</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20.25pt;margin-top:695pt;width:14.8pt;height:14pt;z-index:-236056;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 roman </w:instrText>
                </w:r>
                <w:r>
                  <w:fldChar w:fldCharType="separate"/>
                </w:r>
                <w:r w:rsidR="00EF11E5">
                  <w:rPr>
                    <w:rFonts w:ascii="Garamond"/>
                    <w:noProof/>
                  </w:rPr>
                  <w:t>xx</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20.15pt;margin-top:674.4pt;width:15.05pt;height:14pt;z-index:-236032;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w:instrText>
                </w:r>
                <w:r>
                  <w:fldChar w:fldCharType="separate"/>
                </w:r>
                <w:r w:rsidR="00EF11E5">
                  <w:rPr>
                    <w:rFonts w:ascii="Garamond"/>
                    <w:noProof/>
                  </w:rPr>
                  <w:t>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18.35pt;margin-top:674.4pt;width:18.6pt;height:14pt;z-index:-236008;mso-position-horizontal-relative:page;mso-position-vertical-relative:page" filled="f" stroked="f">
          <v:textbox inset="0,0,0,0">
            <w:txbxContent>
              <w:p w:rsidR="008C4866" w:rsidRDefault="008C4866">
                <w:pPr>
                  <w:pStyle w:val="BodyText"/>
                  <w:spacing w:line="267" w:lineRule="exact"/>
                  <w:ind w:left="20" w:right="-6"/>
                  <w:rPr>
                    <w:rFonts w:ascii="Garamond"/>
                  </w:rPr>
                </w:pPr>
                <w:r>
                  <w:rPr>
                    <w:rFonts w:ascii="Garamond"/>
                  </w:rPr>
                  <w:t>100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18"/>
      </w:rPr>
    </w:pPr>
    <w:r>
      <w:pict>
        <v:shapetype id="_x0000_t202" coordsize="21600,21600" o:spt="202" path="m,l,21600r21600,l21600,xe">
          <v:stroke joinstyle="miter"/>
          <v:path gradientshapeok="t" o:connecttype="rect"/>
        </v:shapetype>
        <v:shape id="_x0000_s2050" type="#_x0000_t202" style="position:absolute;margin-left:317.35pt;margin-top:674.4pt;width:20.6pt;height:14pt;z-index:-235984;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w:instrText>
                </w:r>
                <w:r>
                  <w:fldChar w:fldCharType="separate"/>
                </w:r>
                <w:r w:rsidR="00EF11E5">
                  <w:rPr>
                    <w:rFonts w:ascii="Garamond"/>
                    <w:noProof/>
                  </w:rPr>
                  <w:t>175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CA6556">
    <w:pPr>
      <w:pStyle w:val="BodyText"/>
      <w:spacing w:line="14" w:lineRule="auto"/>
      <w:rPr>
        <w:sz w:val="18"/>
      </w:rPr>
    </w:pPr>
    <w:r>
      <w:pict>
        <v:shapetype id="_x0000_t202" coordsize="21600,21600" o:spt="202" path="m,l,21600r21600,l21600,xe">
          <v:stroke joinstyle="miter"/>
          <v:path gradientshapeok="t" o:connecttype="rect"/>
        </v:shapetype>
        <v:shape id="_x0000_s2049" type="#_x0000_t202" style="position:absolute;margin-left:317.35pt;margin-top:715.8pt;width:20.6pt;height:14pt;z-index:-235960;mso-position-horizontal-relative:page;mso-position-vertical-relative:page" filled="f" stroked="f">
          <v:textbox inset="0,0,0,0">
            <w:txbxContent>
              <w:p w:rsidR="008C4866" w:rsidRDefault="008C4866">
                <w:pPr>
                  <w:pStyle w:val="BodyText"/>
                  <w:spacing w:line="267" w:lineRule="exact"/>
                  <w:ind w:left="40"/>
                  <w:rPr>
                    <w:rFonts w:ascii="Garamond"/>
                  </w:rPr>
                </w:pPr>
                <w:r>
                  <w:fldChar w:fldCharType="begin"/>
                </w:r>
                <w:r>
                  <w:rPr>
                    <w:rFonts w:ascii="Garamond"/>
                  </w:rPr>
                  <w:instrText xml:space="preserve"> PAGE </w:instrText>
                </w:r>
                <w:r>
                  <w:fldChar w:fldCharType="separate"/>
                </w:r>
                <w:r w:rsidR="00EF11E5">
                  <w:rPr>
                    <w:rFonts w:ascii="Garamond"/>
                    <w:noProof/>
                  </w:rPr>
                  <w:t>184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556" w:rsidRDefault="00CA6556">
      <w:r>
        <w:separator/>
      </w:r>
    </w:p>
  </w:footnote>
  <w:footnote w:type="continuationSeparator" w:id="0">
    <w:p w:rsidR="00CA6556" w:rsidRDefault="00CA6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3BB6"/>
    <w:multiLevelType w:val="hybridMultilevel"/>
    <w:tmpl w:val="07348F76"/>
    <w:lvl w:ilvl="0" w:tplc="39B8C696">
      <w:numFmt w:val="bullet"/>
      <w:lvlText w:val="-"/>
      <w:lvlJc w:val="left"/>
      <w:pPr>
        <w:ind w:left="584" w:hanging="173"/>
      </w:pPr>
      <w:rPr>
        <w:rFonts w:ascii="Times New Roman" w:eastAsia="Times New Roman" w:hAnsi="Times New Roman" w:cs="Times New Roman" w:hint="default"/>
        <w:spacing w:val="-30"/>
        <w:w w:val="99"/>
        <w:sz w:val="24"/>
        <w:szCs w:val="24"/>
      </w:rPr>
    </w:lvl>
    <w:lvl w:ilvl="1" w:tplc="04440C62">
      <w:numFmt w:val="bullet"/>
      <w:lvlText w:val=""/>
      <w:lvlJc w:val="left"/>
      <w:pPr>
        <w:ind w:left="1304" w:hanging="360"/>
      </w:pPr>
      <w:rPr>
        <w:rFonts w:ascii="Symbol" w:eastAsia="Symbol" w:hAnsi="Symbol" w:cs="Symbol" w:hint="default"/>
        <w:w w:val="100"/>
        <w:sz w:val="24"/>
        <w:szCs w:val="24"/>
      </w:rPr>
    </w:lvl>
    <w:lvl w:ilvl="2" w:tplc="4CCA4360">
      <w:numFmt w:val="bullet"/>
      <w:lvlText w:val="•"/>
      <w:lvlJc w:val="left"/>
      <w:pPr>
        <w:ind w:left="2177" w:hanging="360"/>
      </w:pPr>
      <w:rPr>
        <w:rFonts w:hint="default"/>
      </w:rPr>
    </w:lvl>
    <w:lvl w:ilvl="3" w:tplc="3ED6FAEE">
      <w:numFmt w:val="bullet"/>
      <w:lvlText w:val="•"/>
      <w:lvlJc w:val="left"/>
      <w:pPr>
        <w:ind w:left="3055" w:hanging="360"/>
      </w:pPr>
      <w:rPr>
        <w:rFonts w:hint="default"/>
      </w:rPr>
    </w:lvl>
    <w:lvl w:ilvl="4" w:tplc="36140326">
      <w:numFmt w:val="bullet"/>
      <w:lvlText w:val="•"/>
      <w:lvlJc w:val="left"/>
      <w:pPr>
        <w:ind w:left="3933" w:hanging="360"/>
      </w:pPr>
      <w:rPr>
        <w:rFonts w:hint="default"/>
      </w:rPr>
    </w:lvl>
    <w:lvl w:ilvl="5" w:tplc="344808AE">
      <w:numFmt w:val="bullet"/>
      <w:lvlText w:val="•"/>
      <w:lvlJc w:val="left"/>
      <w:pPr>
        <w:ind w:left="4811" w:hanging="360"/>
      </w:pPr>
      <w:rPr>
        <w:rFonts w:hint="default"/>
      </w:rPr>
    </w:lvl>
    <w:lvl w:ilvl="6" w:tplc="6498976E">
      <w:numFmt w:val="bullet"/>
      <w:lvlText w:val="•"/>
      <w:lvlJc w:val="left"/>
      <w:pPr>
        <w:ind w:left="5688" w:hanging="360"/>
      </w:pPr>
      <w:rPr>
        <w:rFonts w:hint="default"/>
      </w:rPr>
    </w:lvl>
    <w:lvl w:ilvl="7" w:tplc="0332FFE0">
      <w:numFmt w:val="bullet"/>
      <w:lvlText w:val="•"/>
      <w:lvlJc w:val="left"/>
      <w:pPr>
        <w:ind w:left="6566" w:hanging="360"/>
      </w:pPr>
      <w:rPr>
        <w:rFonts w:hint="default"/>
      </w:rPr>
    </w:lvl>
    <w:lvl w:ilvl="8" w:tplc="F7BEC6C2">
      <w:numFmt w:val="bullet"/>
      <w:lvlText w:val="•"/>
      <w:lvlJc w:val="left"/>
      <w:pPr>
        <w:ind w:left="7444" w:hanging="360"/>
      </w:pPr>
      <w:rPr>
        <w:rFonts w:hint="default"/>
      </w:rPr>
    </w:lvl>
  </w:abstractNum>
  <w:abstractNum w:abstractNumId="1">
    <w:nsid w:val="0AB320F2"/>
    <w:multiLevelType w:val="hybridMultilevel"/>
    <w:tmpl w:val="283E33D4"/>
    <w:lvl w:ilvl="0" w:tplc="D0C49F3C">
      <w:start w:val="1"/>
      <w:numFmt w:val="lowerLetter"/>
      <w:lvlText w:val="%1."/>
      <w:lvlJc w:val="left"/>
      <w:pPr>
        <w:ind w:left="658" w:hanging="226"/>
        <w:jc w:val="left"/>
      </w:pPr>
      <w:rPr>
        <w:rFonts w:ascii="Times New Roman" w:eastAsia="Times New Roman" w:hAnsi="Times New Roman" w:cs="Times New Roman" w:hint="default"/>
        <w:spacing w:val="-2"/>
        <w:w w:val="99"/>
        <w:sz w:val="24"/>
        <w:szCs w:val="24"/>
      </w:rPr>
    </w:lvl>
    <w:lvl w:ilvl="1" w:tplc="624EC0B4">
      <w:numFmt w:val="bullet"/>
      <w:lvlText w:val="•"/>
      <w:lvlJc w:val="left"/>
      <w:pPr>
        <w:ind w:left="1530" w:hanging="226"/>
      </w:pPr>
      <w:rPr>
        <w:rFonts w:hint="default"/>
      </w:rPr>
    </w:lvl>
    <w:lvl w:ilvl="2" w:tplc="40B25C32">
      <w:numFmt w:val="bullet"/>
      <w:lvlText w:val="•"/>
      <w:lvlJc w:val="left"/>
      <w:pPr>
        <w:ind w:left="2400" w:hanging="226"/>
      </w:pPr>
      <w:rPr>
        <w:rFonts w:hint="default"/>
      </w:rPr>
    </w:lvl>
    <w:lvl w:ilvl="3" w:tplc="6930D3F2">
      <w:numFmt w:val="bullet"/>
      <w:lvlText w:val="•"/>
      <w:lvlJc w:val="left"/>
      <w:pPr>
        <w:ind w:left="3270" w:hanging="226"/>
      </w:pPr>
      <w:rPr>
        <w:rFonts w:hint="default"/>
      </w:rPr>
    </w:lvl>
    <w:lvl w:ilvl="4" w:tplc="693803D4">
      <w:numFmt w:val="bullet"/>
      <w:lvlText w:val="•"/>
      <w:lvlJc w:val="left"/>
      <w:pPr>
        <w:ind w:left="4140" w:hanging="226"/>
      </w:pPr>
      <w:rPr>
        <w:rFonts w:hint="default"/>
      </w:rPr>
    </w:lvl>
    <w:lvl w:ilvl="5" w:tplc="3C607A16">
      <w:numFmt w:val="bullet"/>
      <w:lvlText w:val="•"/>
      <w:lvlJc w:val="left"/>
      <w:pPr>
        <w:ind w:left="5010" w:hanging="226"/>
      </w:pPr>
      <w:rPr>
        <w:rFonts w:hint="default"/>
      </w:rPr>
    </w:lvl>
    <w:lvl w:ilvl="6" w:tplc="28CEF5BE">
      <w:numFmt w:val="bullet"/>
      <w:lvlText w:val="•"/>
      <w:lvlJc w:val="left"/>
      <w:pPr>
        <w:ind w:left="5880" w:hanging="226"/>
      </w:pPr>
      <w:rPr>
        <w:rFonts w:hint="default"/>
      </w:rPr>
    </w:lvl>
    <w:lvl w:ilvl="7" w:tplc="41B8A524">
      <w:numFmt w:val="bullet"/>
      <w:lvlText w:val="•"/>
      <w:lvlJc w:val="left"/>
      <w:pPr>
        <w:ind w:left="6750" w:hanging="226"/>
      </w:pPr>
      <w:rPr>
        <w:rFonts w:hint="default"/>
      </w:rPr>
    </w:lvl>
    <w:lvl w:ilvl="8" w:tplc="02889494">
      <w:numFmt w:val="bullet"/>
      <w:lvlText w:val="•"/>
      <w:lvlJc w:val="left"/>
      <w:pPr>
        <w:ind w:left="7620" w:hanging="226"/>
      </w:pPr>
      <w:rPr>
        <w:rFonts w:hint="default"/>
      </w:rPr>
    </w:lvl>
  </w:abstractNum>
  <w:abstractNum w:abstractNumId="2">
    <w:nsid w:val="0E9107BD"/>
    <w:multiLevelType w:val="hybridMultilevel"/>
    <w:tmpl w:val="3E98A130"/>
    <w:lvl w:ilvl="0" w:tplc="48F8E7F8">
      <w:numFmt w:val="bullet"/>
      <w:lvlText w:val=""/>
      <w:lvlJc w:val="left"/>
      <w:pPr>
        <w:ind w:left="355" w:hanging="207"/>
      </w:pPr>
      <w:rPr>
        <w:rFonts w:ascii="Wingdings" w:eastAsia="Wingdings" w:hAnsi="Wingdings" w:cs="Wingdings" w:hint="default"/>
        <w:w w:val="99"/>
        <w:sz w:val="20"/>
        <w:szCs w:val="20"/>
      </w:rPr>
    </w:lvl>
    <w:lvl w:ilvl="1" w:tplc="AE0A61B2">
      <w:numFmt w:val="bullet"/>
      <w:lvlText w:val="•"/>
      <w:lvlJc w:val="left"/>
      <w:pPr>
        <w:ind w:left="747" w:hanging="207"/>
      </w:pPr>
      <w:rPr>
        <w:rFonts w:hint="default"/>
      </w:rPr>
    </w:lvl>
    <w:lvl w:ilvl="2" w:tplc="661827CE">
      <w:numFmt w:val="bullet"/>
      <w:lvlText w:val="•"/>
      <w:lvlJc w:val="left"/>
      <w:pPr>
        <w:ind w:left="1135" w:hanging="207"/>
      </w:pPr>
      <w:rPr>
        <w:rFonts w:hint="default"/>
      </w:rPr>
    </w:lvl>
    <w:lvl w:ilvl="3" w:tplc="844CFEA0">
      <w:numFmt w:val="bullet"/>
      <w:lvlText w:val="•"/>
      <w:lvlJc w:val="left"/>
      <w:pPr>
        <w:ind w:left="1523" w:hanging="207"/>
      </w:pPr>
      <w:rPr>
        <w:rFonts w:hint="default"/>
      </w:rPr>
    </w:lvl>
    <w:lvl w:ilvl="4" w:tplc="FB9C167A">
      <w:numFmt w:val="bullet"/>
      <w:lvlText w:val="•"/>
      <w:lvlJc w:val="left"/>
      <w:pPr>
        <w:ind w:left="1911" w:hanging="207"/>
      </w:pPr>
      <w:rPr>
        <w:rFonts w:hint="default"/>
      </w:rPr>
    </w:lvl>
    <w:lvl w:ilvl="5" w:tplc="B64AA6CC">
      <w:numFmt w:val="bullet"/>
      <w:lvlText w:val="•"/>
      <w:lvlJc w:val="left"/>
      <w:pPr>
        <w:ind w:left="2299" w:hanging="207"/>
      </w:pPr>
      <w:rPr>
        <w:rFonts w:hint="default"/>
      </w:rPr>
    </w:lvl>
    <w:lvl w:ilvl="6" w:tplc="7B783FCE">
      <w:numFmt w:val="bullet"/>
      <w:lvlText w:val="•"/>
      <w:lvlJc w:val="left"/>
      <w:pPr>
        <w:ind w:left="2687" w:hanging="207"/>
      </w:pPr>
      <w:rPr>
        <w:rFonts w:hint="default"/>
      </w:rPr>
    </w:lvl>
    <w:lvl w:ilvl="7" w:tplc="4C2C8316">
      <w:numFmt w:val="bullet"/>
      <w:lvlText w:val="•"/>
      <w:lvlJc w:val="left"/>
      <w:pPr>
        <w:ind w:left="3075" w:hanging="207"/>
      </w:pPr>
      <w:rPr>
        <w:rFonts w:hint="default"/>
      </w:rPr>
    </w:lvl>
    <w:lvl w:ilvl="8" w:tplc="821CD73C">
      <w:numFmt w:val="bullet"/>
      <w:lvlText w:val="•"/>
      <w:lvlJc w:val="left"/>
      <w:pPr>
        <w:ind w:left="3463" w:hanging="207"/>
      </w:pPr>
      <w:rPr>
        <w:rFonts w:hint="default"/>
      </w:rPr>
    </w:lvl>
  </w:abstractNum>
  <w:abstractNum w:abstractNumId="3">
    <w:nsid w:val="19E634A4"/>
    <w:multiLevelType w:val="multilevel"/>
    <w:tmpl w:val="41AE2E50"/>
    <w:lvl w:ilvl="0">
      <w:start w:val="1"/>
      <w:numFmt w:val="decimal"/>
      <w:lvlText w:val="%1"/>
      <w:lvlJc w:val="left"/>
      <w:pPr>
        <w:ind w:left="1966" w:hanging="483"/>
        <w:jc w:val="left"/>
      </w:pPr>
      <w:rPr>
        <w:rFonts w:hint="default"/>
      </w:rPr>
    </w:lvl>
    <w:lvl w:ilvl="1">
      <w:start w:val="1"/>
      <w:numFmt w:val="decimal"/>
      <w:lvlText w:val="%1.%2"/>
      <w:lvlJc w:val="left"/>
      <w:pPr>
        <w:ind w:left="1966" w:hanging="483"/>
        <w:jc w:val="left"/>
      </w:pPr>
      <w:rPr>
        <w:rFonts w:ascii="Times New Roman" w:eastAsia="Times New Roman" w:hAnsi="Times New Roman" w:cs="Times New Roman" w:hint="default"/>
        <w:spacing w:val="-6"/>
        <w:w w:val="100"/>
        <w:sz w:val="24"/>
        <w:szCs w:val="24"/>
      </w:rPr>
    </w:lvl>
    <w:lvl w:ilvl="2">
      <w:numFmt w:val="bullet"/>
      <w:lvlText w:val="•"/>
      <w:lvlJc w:val="left"/>
      <w:pPr>
        <w:ind w:left="3408" w:hanging="483"/>
      </w:pPr>
      <w:rPr>
        <w:rFonts w:hint="default"/>
      </w:rPr>
    </w:lvl>
    <w:lvl w:ilvl="3">
      <w:numFmt w:val="bullet"/>
      <w:lvlText w:val="•"/>
      <w:lvlJc w:val="left"/>
      <w:pPr>
        <w:ind w:left="4132" w:hanging="483"/>
      </w:pPr>
      <w:rPr>
        <w:rFonts w:hint="default"/>
      </w:rPr>
    </w:lvl>
    <w:lvl w:ilvl="4">
      <w:numFmt w:val="bullet"/>
      <w:lvlText w:val="•"/>
      <w:lvlJc w:val="left"/>
      <w:pPr>
        <w:ind w:left="4856" w:hanging="483"/>
      </w:pPr>
      <w:rPr>
        <w:rFonts w:hint="default"/>
      </w:rPr>
    </w:lvl>
    <w:lvl w:ilvl="5">
      <w:numFmt w:val="bullet"/>
      <w:lvlText w:val="•"/>
      <w:lvlJc w:val="left"/>
      <w:pPr>
        <w:ind w:left="5580" w:hanging="483"/>
      </w:pPr>
      <w:rPr>
        <w:rFonts w:hint="default"/>
      </w:rPr>
    </w:lvl>
    <w:lvl w:ilvl="6">
      <w:numFmt w:val="bullet"/>
      <w:lvlText w:val="•"/>
      <w:lvlJc w:val="left"/>
      <w:pPr>
        <w:ind w:left="6304" w:hanging="483"/>
      </w:pPr>
      <w:rPr>
        <w:rFonts w:hint="default"/>
      </w:rPr>
    </w:lvl>
    <w:lvl w:ilvl="7">
      <w:numFmt w:val="bullet"/>
      <w:lvlText w:val="•"/>
      <w:lvlJc w:val="left"/>
      <w:pPr>
        <w:ind w:left="7028" w:hanging="483"/>
      </w:pPr>
      <w:rPr>
        <w:rFonts w:hint="default"/>
      </w:rPr>
    </w:lvl>
    <w:lvl w:ilvl="8">
      <w:numFmt w:val="bullet"/>
      <w:lvlText w:val="•"/>
      <w:lvlJc w:val="left"/>
      <w:pPr>
        <w:ind w:left="7752" w:hanging="483"/>
      </w:pPr>
      <w:rPr>
        <w:rFonts w:hint="default"/>
      </w:rPr>
    </w:lvl>
  </w:abstractNum>
  <w:abstractNum w:abstractNumId="4">
    <w:nsid w:val="1B3C74C3"/>
    <w:multiLevelType w:val="hybridMultilevel"/>
    <w:tmpl w:val="494418A2"/>
    <w:lvl w:ilvl="0" w:tplc="4C4C884C">
      <w:numFmt w:val="bullet"/>
      <w:lvlText w:val=""/>
      <w:lvlJc w:val="left"/>
      <w:pPr>
        <w:ind w:left="336" w:hanging="207"/>
      </w:pPr>
      <w:rPr>
        <w:rFonts w:ascii="Wingdings" w:eastAsia="Wingdings" w:hAnsi="Wingdings" w:cs="Wingdings" w:hint="default"/>
        <w:w w:val="99"/>
        <w:sz w:val="20"/>
        <w:szCs w:val="20"/>
      </w:rPr>
    </w:lvl>
    <w:lvl w:ilvl="1" w:tplc="4360475E">
      <w:numFmt w:val="bullet"/>
      <w:lvlText w:val="•"/>
      <w:lvlJc w:val="left"/>
      <w:pPr>
        <w:ind w:left="740" w:hanging="207"/>
      </w:pPr>
      <w:rPr>
        <w:rFonts w:hint="default"/>
      </w:rPr>
    </w:lvl>
    <w:lvl w:ilvl="2" w:tplc="5330B744">
      <w:numFmt w:val="bullet"/>
      <w:lvlText w:val="•"/>
      <w:lvlJc w:val="left"/>
      <w:pPr>
        <w:ind w:left="1141" w:hanging="207"/>
      </w:pPr>
      <w:rPr>
        <w:rFonts w:hint="default"/>
      </w:rPr>
    </w:lvl>
    <w:lvl w:ilvl="3" w:tplc="1A3CDDE2">
      <w:numFmt w:val="bullet"/>
      <w:lvlText w:val="•"/>
      <w:lvlJc w:val="left"/>
      <w:pPr>
        <w:ind w:left="1542" w:hanging="207"/>
      </w:pPr>
      <w:rPr>
        <w:rFonts w:hint="default"/>
      </w:rPr>
    </w:lvl>
    <w:lvl w:ilvl="4" w:tplc="B2AE3CC4">
      <w:numFmt w:val="bullet"/>
      <w:lvlText w:val="•"/>
      <w:lvlJc w:val="left"/>
      <w:pPr>
        <w:ind w:left="1942" w:hanging="207"/>
      </w:pPr>
      <w:rPr>
        <w:rFonts w:hint="default"/>
      </w:rPr>
    </w:lvl>
    <w:lvl w:ilvl="5" w:tplc="BEF2DBF2">
      <w:numFmt w:val="bullet"/>
      <w:lvlText w:val="•"/>
      <w:lvlJc w:val="left"/>
      <w:pPr>
        <w:ind w:left="2343" w:hanging="207"/>
      </w:pPr>
      <w:rPr>
        <w:rFonts w:hint="default"/>
      </w:rPr>
    </w:lvl>
    <w:lvl w:ilvl="6" w:tplc="4D4A6F6A">
      <w:numFmt w:val="bullet"/>
      <w:lvlText w:val="•"/>
      <w:lvlJc w:val="left"/>
      <w:pPr>
        <w:ind w:left="2744" w:hanging="207"/>
      </w:pPr>
      <w:rPr>
        <w:rFonts w:hint="default"/>
      </w:rPr>
    </w:lvl>
    <w:lvl w:ilvl="7" w:tplc="BEAC3F46">
      <w:numFmt w:val="bullet"/>
      <w:lvlText w:val="•"/>
      <w:lvlJc w:val="left"/>
      <w:pPr>
        <w:ind w:left="3144" w:hanging="207"/>
      </w:pPr>
      <w:rPr>
        <w:rFonts w:hint="default"/>
      </w:rPr>
    </w:lvl>
    <w:lvl w:ilvl="8" w:tplc="EA2E65A6">
      <w:numFmt w:val="bullet"/>
      <w:lvlText w:val="•"/>
      <w:lvlJc w:val="left"/>
      <w:pPr>
        <w:ind w:left="3545" w:hanging="207"/>
      </w:pPr>
      <w:rPr>
        <w:rFonts w:hint="default"/>
      </w:rPr>
    </w:lvl>
  </w:abstractNum>
  <w:abstractNum w:abstractNumId="5">
    <w:nsid w:val="1E030BDF"/>
    <w:multiLevelType w:val="hybridMultilevel"/>
    <w:tmpl w:val="5AF4BBB6"/>
    <w:lvl w:ilvl="0" w:tplc="BE5C3FE0">
      <w:start w:val="1"/>
      <w:numFmt w:val="lowerLetter"/>
      <w:lvlText w:val="%1)"/>
      <w:lvlJc w:val="left"/>
      <w:pPr>
        <w:ind w:left="944" w:hanging="360"/>
        <w:jc w:val="left"/>
      </w:pPr>
      <w:rPr>
        <w:rFonts w:ascii="Times New Roman" w:eastAsia="Times New Roman" w:hAnsi="Times New Roman" w:cs="Times New Roman" w:hint="default"/>
        <w:spacing w:val="-6"/>
        <w:w w:val="99"/>
        <w:sz w:val="24"/>
        <w:szCs w:val="24"/>
      </w:rPr>
    </w:lvl>
    <w:lvl w:ilvl="1" w:tplc="0166EB60">
      <w:numFmt w:val="bullet"/>
      <w:lvlText w:val="•"/>
      <w:lvlJc w:val="left"/>
      <w:pPr>
        <w:ind w:left="1766" w:hanging="360"/>
      </w:pPr>
      <w:rPr>
        <w:rFonts w:hint="default"/>
      </w:rPr>
    </w:lvl>
    <w:lvl w:ilvl="2" w:tplc="68DE6F94">
      <w:numFmt w:val="bullet"/>
      <w:lvlText w:val="•"/>
      <w:lvlJc w:val="left"/>
      <w:pPr>
        <w:ind w:left="2592" w:hanging="360"/>
      </w:pPr>
      <w:rPr>
        <w:rFonts w:hint="default"/>
      </w:rPr>
    </w:lvl>
    <w:lvl w:ilvl="3" w:tplc="21AAE280">
      <w:numFmt w:val="bullet"/>
      <w:lvlText w:val="•"/>
      <w:lvlJc w:val="left"/>
      <w:pPr>
        <w:ind w:left="3418" w:hanging="360"/>
      </w:pPr>
      <w:rPr>
        <w:rFonts w:hint="default"/>
      </w:rPr>
    </w:lvl>
    <w:lvl w:ilvl="4" w:tplc="C5920E5C">
      <w:numFmt w:val="bullet"/>
      <w:lvlText w:val="•"/>
      <w:lvlJc w:val="left"/>
      <w:pPr>
        <w:ind w:left="4244" w:hanging="360"/>
      </w:pPr>
      <w:rPr>
        <w:rFonts w:hint="default"/>
      </w:rPr>
    </w:lvl>
    <w:lvl w:ilvl="5" w:tplc="620CC06A">
      <w:numFmt w:val="bullet"/>
      <w:lvlText w:val="•"/>
      <w:lvlJc w:val="left"/>
      <w:pPr>
        <w:ind w:left="5070" w:hanging="360"/>
      </w:pPr>
      <w:rPr>
        <w:rFonts w:hint="default"/>
      </w:rPr>
    </w:lvl>
    <w:lvl w:ilvl="6" w:tplc="165C1F88">
      <w:numFmt w:val="bullet"/>
      <w:lvlText w:val="•"/>
      <w:lvlJc w:val="left"/>
      <w:pPr>
        <w:ind w:left="5896" w:hanging="360"/>
      </w:pPr>
      <w:rPr>
        <w:rFonts w:hint="default"/>
      </w:rPr>
    </w:lvl>
    <w:lvl w:ilvl="7" w:tplc="FD78930A">
      <w:numFmt w:val="bullet"/>
      <w:lvlText w:val="•"/>
      <w:lvlJc w:val="left"/>
      <w:pPr>
        <w:ind w:left="6722" w:hanging="360"/>
      </w:pPr>
      <w:rPr>
        <w:rFonts w:hint="default"/>
      </w:rPr>
    </w:lvl>
    <w:lvl w:ilvl="8" w:tplc="528E8E4E">
      <w:numFmt w:val="bullet"/>
      <w:lvlText w:val="•"/>
      <w:lvlJc w:val="left"/>
      <w:pPr>
        <w:ind w:left="7548" w:hanging="360"/>
      </w:pPr>
      <w:rPr>
        <w:rFonts w:hint="default"/>
      </w:rPr>
    </w:lvl>
  </w:abstractNum>
  <w:abstractNum w:abstractNumId="6">
    <w:nsid w:val="23C86540"/>
    <w:multiLevelType w:val="hybridMultilevel"/>
    <w:tmpl w:val="2668BBFA"/>
    <w:lvl w:ilvl="0" w:tplc="F926B4E6">
      <w:numFmt w:val="bullet"/>
      <w:lvlText w:val="•"/>
      <w:lvlJc w:val="left"/>
      <w:pPr>
        <w:ind w:left="100" w:hanging="144"/>
      </w:pPr>
      <w:rPr>
        <w:rFonts w:ascii="Times New Roman" w:eastAsia="Times New Roman" w:hAnsi="Times New Roman" w:cs="Times New Roman" w:hint="default"/>
        <w:w w:val="99"/>
        <w:sz w:val="24"/>
        <w:szCs w:val="24"/>
      </w:rPr>
    </w:lvl>
    <w:lvl w:ilvl="1" w:tplc="77C8BAC0">
      <w:numFmt w:val="bullet"/>
      <w:lvlText w:val="•"/>
      <w:lvlJc w:val="left"/>
      <w:pPr>
        <w:ind w:left="770" w:hanging="144"/>
      </w:pPr>
      <w:rPr>
        <w:rFonts w:hint="default"/>
      </w:rPr>
    </w:lvl>
    <w:lvl w:ilvl="2" w:tplc="E0B40114">
      <w:numFmt w:val="bullet"/>
      <w:lvlText w:val="•"/>
      <w:lvlJc w:val="left"/>
      <w:pPr>
        <w:ind w:left="1441" w:hanging="144"/>
      </w:pPr>
      <w:rPr>
        <w:rFonts w:hint="default"/>
      </w:rPr>
    </w:lvl>
    <w:lvl w:ilvl="3" w:tplc="9C2248E0">
      <w:numFmt w:val="bullet"/>
      <w:lvlText w:val="•"/>
      <w:lvlJc w:val="left"/>
      <w:pPr>
        <w:ind w:left="2112" w:hanging="144"/>
      </w:pPr>
      <w:rPr>
        <w:rFonts w:hint="default"/>
      </w:rPr>
    </w:lvl>
    <w:lvl w:ilvl="4" w:tplc="0AAEF542">
      <w:numFmt w:val="bullet"/>
      <w:lvlText w:val="•"/>
      <w:lvlJc w:val="left"/>
      <w:pPr>
        <w:ind w:left="2783" w:hanging="144"/>
      </w:pPr>
      <w:rPr>
        <w:rFonts w:hint="default"/>
      </w:rPr>
    </w:lvl>
    <w:lvl w:ilvl="5" w:tplc="6F56CE2E">
      <w:numFmt w:val="bullet"/>
      <w:lvlText w:val="•"/>
      <w:lvlJc w:val="left"/>
      <w:pPr>
        <w:ind w:left="3454" w:hanging="144"/>
      </w:pPr>
      <w:rPr>
        <w:rFonts w:hint="default"/>
      </w:rPr>
    </w:lvl>
    <w:lvl w:ilvl="6" w:tplc="37F65170">
      <w:numFmt w:val="bullet"/>
      <w:lvlText w:val="•"/>
      <w:lvlJc w:val="left"/>
      <w:pPr>
        <w:ind w:left="4125" w:hanging="144"/>
      </w:pPr>
      <w:rPr>
        <w:rFonts w:hint="default"/>
      </w:rPr>
    </w:lvl>
    <w:lvl w:ilvl="7" w:tplc="9934C4BC">
      <w:numFmt w:val="bullet"/>
      <w:lvlText w:val="•"/>
      <w:lvlJc w:val="left"/>
      <w:pPr>
        <w:ind w:left="4796" w:hanging="144"/>
      </w:pPr>
      <w:rPr>
        <w:rFonts w:hint="default"/>
      </w:rPr>
    </w:lvl>
    <w:lvl w:ilvl="8" w:tplc="F468FF30">
      <w:numFmt w:val="bullet"/>
      <w:lvlText w:val="•"/>
      <w:lvlJc w:val="left"/>
      <w:pPr>
        <w:ind w:left="5467" w:hanging="144"/>
      </w:pPr>
      <w:rPr>
        <w:rFonts w:hint="default"/>
      </w:rPr>
    </w:lvl>
  </w:abstractNum>
  <w:abstractNum w:abstractNumId="7">
    <w:nsid w:val="243F42B5"/>
    <w:multiLevelType w:val="multilevel"/>
    <w:tmpl w:val="290C0FF6"/>
    <w:lvl w:ilvl="0">
      <w:start w:val="4"/>
      <w:numFmt w:val="decimal"/>
      <w:lvlText w:val="%1"/>
      <w:lvlJc w:val="left"/>
      <w:pPr>
        <w:ind w:left="1244" w:hanging="660"/>
        <w:jc w:val="left"/>
      </w:pPr>
      <w:rPr>
        <w:rFonts w:hint="default"/>
      </w:rPr>
    </w:lvl>
    <w:lvl w:ilvl="1">
      <w:start w:val="1"/>
      <w:numFmt w:val="decimal"/>
      <w:lvlText w:val="%1.%2"/>
      <w:lvlJc w:val="left"/>
      <w:pPr>
        <w:ind w:left="1244" w:hanging="660"/>
        <w:jc w:val="left"/>
      </w:pPr>
      <w:rPr>
        <w:rFonts w:hint="default"/>
      </w:rPr>
    </w:lvl>
    <w:lvl w:ilvl="2">
      <w:start w:val="2"/>
      <w:numFmt w:val="decimal"/>
      <w:lvlText w:val="%1.%2.%3"/>
      <w:lvlJc w:val="left"/>
      <w:pPr>
        <w:ind w:left="1244" w:hanging="660"/>
        <w:jc w:val="left"/>
      </w:pPr>
      <w:rPr>
        <w:rFonts w:ascii="Times New Roman" w:eastAsia="Times New Roman" w:hAnsi="Times New Roman" w:cs="Times New Roman" w:hint="default"/>
        <w:b/>
        <w:bCs/>
        <w:spacing w:val="-4"/>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8">
    <w:nsid w:val="26A41460"/>
    <w:multiLevelType w:val="multilevel"/>
    <w:tmpl w:val="ABE86CB0"/>
    <w:lvl w:ilvl="0">
      <w:start w:val="3"/>
      <w:numFmt w:val="decimal"/>
      <w:lvlText w:val="%1"/>
      <w:lvlJc w:val="left"/>
      <w:pPr>
        <w:ind w:left="2144" w:hanging="480"/>
        <w:jc w:val="left"/>
      </w:pPr>
      <w:rPr>
        <w:rFonts w:hint="default"/>
      </w:rPr>
    </w:lvl>
    <w:lvl w:ilvl="1">
      <w:start w:val="1"/>
      <w:numFmt w:val="decimal"/>
      <w:lvlText w:val="%1.%2"/>
      <w:lvlJc w:val="left"/>
      <w:pPr>
        <w:ind w:left="2144" w:hanging="480"/>
        <w:jc w:val="left"/>
      </w:pPr>
      <w:rPr>
        <w:rFonts w:ascii="Times New Roman" w:eastAsia="Times New Roman" w:hAnsi="Times New Roman" w:cs="Times New Roman" w:hint="default"/>
        <w:spacing w:val="-2"/>
        <w:w w:val="99"/>
        <w:sz w:val="24"/>
        <w:szCs w:val="24"/>
      </w:rPr>
    </w:lvl>
    <w:lvl w:ilvl="2">
      <w:numFmt w:val="bullet"/>
      <w:lvlText w:val="•"/>
      <w:lvlJc w:val="left"/>
      <w:pPr>
        <w:ind w:left="3548" w:hanging="480"/>
      </w:pPr>
      <w:rPr>
        <w:rFonts w:hint="default"/>
      </w:rPr>
    </w:lvl>
    <w:lvl w:ilvl="3">
      <w:numFmt w:val="bullet"/>
      <w:lvlText w:val="•"/>
      <w:lvlJc w:val="left"/>
      <w:pPr>
        <w:ind w:left="4252" w:hanging="480"/>
      </w:pPr>
      <w:rPr>
        <w:rFonts w:hint="default"/>
      </w:rPr>
    </w:lvl>
    <w:lvl w:ilvl="4">
      <w:numFmt w:val="bullet"/>
      <w:lvlText w:val="•"/>
      <w:lvlJc w:val="left"/>
      <w:pPr>
        <w:ind w:left="4956" w:hanging="480"/>
      </w:pPr>
      <w:rPr>
        <w:rFonts w:hint="default"/>
      </w:rPr>
    </w:lvl>
    <w:lvl w:ilvl="5">
      <w:numFmt w:val="bullet"/>
      <w:lvlText w:val="•"/>
      <w:lvlJc w:val="left"/>
      <w:pPr>
        <w:ind w:left="5660" w:hanging="480"/>
      </w:pPr>
      <w:rPr>
        <w:rFonts w:hint="default"/>
      </w:rPr>
    </w:lvl>
    <w:lvl w:ilvl="6">
      <w:numFmt w:val="bullet"/>
      <w:lvlText w:val="•"/>
      <w:lvlJc w:val="left"/>
      <w:pPr>
        <w:ind w:left="6364" w:hanging="480"/>
      </w:pPr>
      <w:rPr>
        <w:rFonts w:hint="default"/>
      </w:rPr>
    </w:lvl>
    <w:lvl w:ilvl="7">
      <w:numFmt w:val="bullet"/>
      <w:lvlText w:val="•"/>
      <w:lvlJc w:val="left"/>
      <w:pPr>
        <w:ind w:left="7068" w:hanging="480"/>
      </w:pPr>
      <w:rPr>
        <w:rFonts w:hint="default"/>
      </w:rPr>
    </w:lvl>
    <w:lvl w:ilvl="8">
      <w:numFmt w:val="bullet"/>
      <w:lvlText w:val="•"/>
      <w:lvlJc w:val="left"/>
      <w:pPr>
        <w:ind w:left="7772" w:hanging="480"/>
      </w:pPr>
      <w:rPr>
        <w:rFonts w:hint="default"/>
      </w:rPr>
    </w:lvl>
  </w:abstractNum>
  <w:abstractNum w:abstractNumId="9">
    <w:nsid w:val="2A0001F8"/>
    <w:multiLevelType w:val="multilevel"/>
    <w:tmpl w:val="0D0E37EA"/>
    <w:lvl w:ilvl="0">
      <w:start w:val="2"/>
      <w:numFmt w:val="decimal"/>
      <w:lvlText w:val="%1"/>
      <w:lvlJc w:val="left"/>
      <w:pPr>
        <w:ind w:left="2777" w:hanging="663"/>
        <w:jc w:val="left"/>
      </w:pPr>
      <w:rPr>
        <w:rFonts w:hint="default"/>
      </w:rPr>
    </w:lvl>
    <w:lvl w:ilvl="1">
      <w:start w:val="5"/>
      <w:numFmt w:val="decimal"/>
      <w:lvlText w:val="%1.%2"/>
      <w:lvlJc w:val="left"/>
      <w:pPr>
        <w:ind w:left="2777" w:hanging="663"/>
        <w:jc w:val="right"/>
      </w:pPr>
      <w:rPr>
        <w:rFonts w:hint="default"/>
      </w:rPr>
    </w:lvl>
    <w:lvl w:ilvl="2">
      <w:start w:val="2"/>
      <w:numFmt w:val="decimal"/>
      <w:lvlText w:val="%1.%2.%3"/>
      <w:lvlJc w:val="left"/>
      <w:pPr>
        <w:ind w:left="2777" w:hanging="663"/>
        <w:jc w:val="left"/>
      </w:pPr>
      <w:rPr>
        <w:rFonts w:ascii="Times New Roman" w:eastAsia="Times New Roman" w:hAnsi="Times New Roman" w:cs="Times New Roman" w:hint="default"/>
        <w:spacing w:val="-6"/>
        <w:w w:val="99"/>
        <w:sz w:val="24"/>
        <w:szCs w:val="24"/>
      </w:rPr>
    </w:lvl>
    <w:lvl w:ilvl="3">
      <w:numFmt w:val="bullet"/>
      <w:lvlText w:val="•"/>
      <w:lvlJc w:val="left"/>
      <w:pPr>
        <w:ind w:left="4700" w:hanging="663"/>
      </w:pPr>
      <w:rPr>
        <w:rFonts w:hint="default"/>
      </w:rPr>
    </w:lvl>
    <w:lvl w:ilvl="4">
      <w:numFmt w:val="bullet"/>
      <w:lvlText w:val="•"/>
      <w:lvlJc w:val="left"/>
      <w:pPr>
        <w:ind w:left="5340" w:hanging="663"/>
      </w:pPr>
      <w:rPr>
        <w:rFonts w:hint="default"/>
      </w:rPr>
    </w:lvl>
    <w:lvl w:ilvl="5">
      <w:numFmt w:val="bullet"/>
      <w:lvlText w:val="•"/>
      <w:lvlJc w:val="left"/>
      <w:pPr>
        <w:ind w:left="5980" w:hanging="663"/>
      </w:pPr>
      <w:rPr>
        <w:rFonts w:hint="default"/>
      </w:rPr>
    </w:lvl>
    <w:lvl w:ilvl="6">
      <w:numFmt w:val="bullet"/>
      <w:lvlText w:val="•"/>
      <w:lvlJc w:val="left"/>
      <w:pPr>
        <w:ind w:left="6620" w:hanging="663"/>
      </w:pPr>
      <w:rPr>
        <w:rFonts w:hint="default"/>
      </w:rPr>
    </w:lvl>
    <w:lvl w:ilvl="7">
      <w:numFmt w:val="bullet"/>
      <w:lvlText w:val="•"/>
      <w:lvlJc w:val="left"/>
      <w:pPr>
        <w:ind w:left="7260" w:hanging="663"/>
      </w:pPr>
      <w:rPr>
        <w:rFonts w:hint="default"/>
      </w:rPr>
    </w:lvl>
    <w:lvl w:ilvl="8">
      <w:numFmt w:val="bullet"/>
      <w:lvlText w:val="•"/>
      <w:lvlJc w:val="left"/>
      <w:pPr>
        <w:ind w:left="7900" w:hanging="663"/>
      </w:pPr>
      <w:rPr>
        <w:rFonts w:hint="default"/>
      </w:rPr>
    </w:lvl>
  </w:abstractNum>
  <w:abstractNum w:abstractNumId="10">
    <w:nsid w:val="2B7737E0"/>
    <w:multiLevelType w:val="hybridMultilevel"/>
    <w:tmpl w:val="80BE649C"/>
    <w:lvl w:ilvl="0" w:tplc="1728D88A">
      <w:numFmt w:val="bullet"/>
      <w:lvlText w:val=""/>
      <w:lvlJc w:val="left"/>
      <w:pPr>
        <w:ind w:left="1304" w:hanging="360"/>
      </w:pPr>
      <w:rPr>
        <w:rFonts w:ascii="Symbol" w:eastAsia="Symbol" w:hAnsi="Symbol" w:cs="Symbol" w:hint="default"/>
        <w:w w:val="100"/>
        <w:sz w:val="24"/>
        <w:szCs w:val="24"/>
      </w:rPr>
    </w:lvl>
    <w:lvl w:ilvl="1" w:tplc="E00EF4EE">
      <w:numFmt w:val="bullet"/>
      <w:lvlText w:val="•"/>
      <w:lvlJc w:val="left"/>
      <w:pPr>
        <w:ind w:left="2090" w:hanging="360"/>
      </w:pPr>
      <w:rPr>
        <w:rFonts w:hint="default"/>
      </w:rPr>
    </w:lvl>
    <w:lvl w:ilvl="2" w:tplc="E09C7028">
      <w:numFmt w:val="bullet"/>
      <w:lvlText w:val="•"/>
      <w:lvlJc w:val="left"/>
      <w:pPr>
        <w:ind w:left="2880" w:hanging="360"/>
      </w:pPr>
      <w:rPr>
        <w:rFonts w:hint="default"/>
      </w:rPr>
    </w:lvl>
    <w:lvl w:ilvl="3" w:tplc="1AC68284">
      <w:numFmt w:val="bullet"/>
      <w:lvlText w:val="•"/>
      <w:lvlJc w:val="left"/>
      <w:pPr>
        <w:ind w:left="3670" w:hanging="360"/>
      </w:pPr>
      <w:rPr>
        <w:rFonts w:hint="default"/>
      </w:rPr>
    </w:lvl>
    <w:lvl w:ilvl="4" w:tplc="7E9834C6">
      <w:numFmt w:val="bullet"/>
      <w:lvlText w:val="•"/>
      <w:lvlJc w:val="left"/>
      <w:pPr>
        <w:ind w:left="4460" w:hanging="360"/>
      </w:pPr>
      <w:rPr>
        <w:rFonts w:hint="default"/>
      </w:rPr>
    </w:lvl>
    <w:lvl w:ilvl="5" w:tplc="DCF65166">
      <w:numFmt w:val="bullet"/>
      <w:lvlText w:val="•"/>
      <w:lvlJc w:val="left"/>
      <w:pPr>
        <w:ind w:left="5250" w:hanging="360"/>
      </w:pPr>
      <w:rPr>
        <w:rFonts w:hint="default"/>
      </w:rPr>
    </w:lvl>
    <w:lvl w:ilvl="6" w:tplc="36D6360E">
      <w:numFmt w:val="bullet"/>
      <w:lvlText w:val="•"/>
      <w:lvlJc w:val="left"/>
      <w:pPr>
        <w:ind w:left="6040" w:hanging="360"/>
      </w:pPr>
      <w:rPr>
        <w:rFonts w:hint="default"/>
      </w:rPr>
    </w:lvl>
    <w:lvl w:ilvl="7" w:tplc="1504C0F2">
      <w:numFmt w:val="bullet"/>
      <w:lvlText w:val="•"/>
      <w:lvlJc w:val="left"/>
      <w:pPr>
        <w:ind w:left="6830" w:hanging="360"/>
      </w:pPr>
      <w:rPr>
        <w:rFonts w:hint="default"/>
      </w:rPr>
    </w:lvl>
    <w:lvl w:ilvl="8" w:tplc="8160E0AA">
      <w:numFmt w:val="bullet"/>
      <w:lvlText w:val="•"/>
      <w:lvlJc w:val="left"/>
      <w:pPr>
        <w:ind w:left="7620" w:hanging="360"/>
      </w:pPr>
      <w:rPr>
        <w:rFonts w:hint="default"/>
      </w:rPr>
    </w:lvl>
  </w:abstractNum>
  <w:abstractNum w:abstractNumId="11">
    <w:nsid w:val="2D3326BB"/>
    <w:multiLevelType w:val="hybridMultilevel"/>
    <w:tmpl w:val="2B12C8A4"/>
    <w:lvl w:ilvl="0" w:tplc="CC08E8AC">
      <w:numFmt w:val="bullet"/>
      <w:lvlText w:val=""/>
      <w:lvlJc w:val="left"/>
      <w:pPr>
        <w:ind w:left="336" w:hanging="207"/>
      </w:pPr>
      <w:rPr>
        <w:rFonts w:ascii="Wingdings" w:eastAsia="Wingdings" w:hAnsi="Wingdings" w:cs="Wingdings" w:hint="default"/>
        <w:w w:val="99"/>
        <w:sz w:val="20"/>
        <w:szCs w:val="20"/>
      </w:rPr>
    </w:lvl>
    <w:lvl w:ilvl="1" w:tplc="D3448AEA">
      <w:numFmt w:val="bullet"/>
      <w:lvlText w:val="•"/>
      <w:lvlJc w:val="left"/>
      <w:pPr>
        <w:ind w:left="740" w:hanging="207"/>
      </w:pPr>
      <w:rPr>
        <w:rFonts w:hint="default"/>
      </w:rPr>
    </w:lvl>
    <w:lvl w:ilvl="2" w:tplc="CE705A9C">
      <w:numFmt w:val="bullet"/>
      <w:lvlText w:val="•"/>
      <w:lvlJc w:val="left"/>
      <w:pPr>
        <w:ind w:left="1141" w:hanging="207"/>
      </w:pPr>
      <w:rPr>
        <w:rFonts w:hint="default"/>
      </w:rPr>
    </w:lvl>
    <w:lvl w:ilvl="3" w:tplc="745C87E8">
      <w:numFmt w:val="bullet"/>
      <w:lvlText w:val="•"/>
      <w:lvlJc w:val="left"/>
      <w:pPr>
        <w:ind w:left="1542" w:hanging="207"/>
      </w:pPr>
      <w:rPr>
        <w:rFonts w:hint="default"/>
      </w:rPr>
    </w:lvl>
    <w:lvl w:ilvl="4" w:tplc="4A90E564">
      <w:numFmt w:val="bullet"/>
      <w:lvlText w:val="•"/>
      <w:lvlJc w:val="left"/>
      <w:pPr>
        <w:ind w:left="1942" w:hanging="207"/>
      </w:pPr>
      <w:rPr>
        <w:rFonts w:hint="default"/>
      </w:rPr>
    </w:lvl>
    <w:lvl w:ilvl="5" w:tplc="C4AA564A">
      <w:numFmt w:val="bullet"/>
      <w:lvlText w:val="•"/>
      <w:lvlJc w:val="left"/>
      <w:pPr>
        <w:ind w:left="2343" w:hanging="207"/>
      </w:pPr>
      <w:rPr>
        <w:rFonts w:hint="default"/>
      </w:rPr>
    </w:lvl>
    <w:lvl w:ilvl="6" w:tplc="BED6B108">
      <w:numFmt w:val="bullet"/>
      <w:lvlText w:val="•"/>
      <w:lvlJc w:val="left"/>
      <w:pPr>
        <w:ind w:left="2744" w:hanging="207"/>
      </w:pPr>
      <w:rPr>
        <w:rFonts w:hint="default"/>
      </w:rPr>
    </w:lvl>
    <w:lvl w:ilvl="7" w:tplc="08866DDA">
      <w:numFmt w:val="bullet"/>
      <w:lvlText w:val="•"/>
      <w:lvlJc w:val="left"/>
      <w:pPr>
        <w:ind w:left="3144" w:hanging="207"/>
      </w:pPr>
      <w:rPr>
        <w:rFonts w:hint="default"/>
      </w:rPr>
    </w:lvl>
    <w:lvl w:ilvl="8" w:tplc="D61456E8">
      <w:numFmt w:val="bullet"/>
      <w:lvlText w:val="•"/>
      <w:lvlJc w:val="left"/>
      <w:pPr>
        <w:ind w:left="3545" w:hanging="207"/>
      </w:pPr>
      <w:rPr>
        <w:rFonts w:hint="default"/>
      </w:rPr>
    </w:lvl>
  </w:abstractNum>
  <w:abstractNum w:abstractNumId="12">
    <w:nsid w:val="2FF15F35"/>
    <w:multiLevelType w:val="multilevel"/>
    <w:tmpl w:val="9812696A"/>
    <w:lvl w:ilvl="0">
      <w:start w:val="21"/>
      <w:numFmt w:val="upperLetter"/>
      <w:lvlText w:val="%1"/>
      <w:lvlJc w:val="left"/>
      <w:pPr>
        <w:ind w:left="1124" w:hanging="476"/>
        <w:jc w:val="left"/>
      </w:pPr>
      <w:rPr>
        <w:rFonts w:hint="default"/>
      </w:rPr>
    </w:lvl>
    <w:lvl w:ilvl="1">
      <w:start w:val="19"/>
      <w:numFmt w:val="upperLetter"/>
      <w:lvlText w:val="%1.%2."/>
      <w:lvlJc w:val="left"/>
      <w:pPr>
        <w:ind w:left="1124" w:hanging="476"/>
        <w:jc w:val="left"/>
      </w:pPr>
      <w:rPr>
        <w:rFonts w:ascii="Times New Roman" w:eastAsia="Times New Roman" w:hAnsi="Times New Roman" w:cs="Times New Roman" w:hint="default"/>
        <w:spacing w:val="-3"/>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13">
    <w:nsid w:val="3274444F"/>
    <w:multiLevelType w:val="hybridMultilevel"/>
    <w:tmpl w:val="8EC47A5C"/>
    <w:lvl w:ilvl="0" w:tplc="A8F4459A">
      <w:start w:val="1"/>
      <w:numFmt w:val="lowerLetter"/>
      <w:lvlText w:val="%1)"/>
      <w:lvlJc w:val="left"/>
      <w:pPr>
        <w:ind w:left="829" w:hanging="245"/>
        <w:jc w:val="left"/>
      </w:pPr>
      <w:rPr>
        <w:rFonts w:ascii="Times New Roman" w:eastAsia="Times New Roman" w:hAnsi="Times New Roman" w:cs="Times New Roman" w:hint="default"/>
        <w:spacing w:val="-1"/>
        <w:w w:val="100"/>
        <w:sz w:val="24"/>
        <w:szCs w:val="24"/>
      </w:rPr>
    </w:lvl>
    <w:lvl w:ilvl="1" w:tplc="B722293C">
      <w:numFmt w:val="bullet"/>
      <w:lvlText w:val="•"/>
      <w:lvlJc w:val="left"/>
      <w:pPr>
        <w:ind w:left="1658" w:hanging="245"/>
      </w:pPr>
      <w:rPr>
        <w:rFonts w:hint="default"/>
      </w:rPr>
    </w:lvl>
    <w:lvl w:ilvl="2" w:tplc="5474818A">
      <w:numFmt w:val="bullet"/>
      <w:lvlText w:val="•"/>
      <w:lvlJc w:val="left"/>
      <w:pPr>
        <w:ind w:left="2496" w:hanging="245"/>
      </w:pPr>
      <w:rPr>
        <w:rFonts w:hint="default"/>
      </w:rPr>
    </w:lvl>
    <w:lvl w:ilvl="3" w:tplc="303A72D8">
      <w:numFmt w:val="bullet"/>
      <w:lvlText w:val="•"/>
      <w:lvlJc w:val="left"/>
      <w:pPr>
        <w:ind w:left="3334" w:hanging="245"/>
      </w:pPr>
      <w:rPr>
        <w:rFonts w:hint="default"/>
      </w:rPr>
    </w:lvl>
    <w:lvl w:ilvl="4" w:tplc="439AE110">
      <w:numFmt w:val="bullet"/>
      <w:lvlText w:val="•"/>
      <w:lvlJc w:val="left"/>
      <w:pPr>
        <w:ind w:left="4172" w:hanging="245"/>
      </w:pPr>
      <w:rPr>
        <w:rFonts w:hint="default"/>
      </w:rPr>
    </w:lvl>
    <w:lvl w:ilvl="5" w:tplc="B16024AC">
      <w:numFmt w:val="bullet"/>
      <w:lvlText w:val="•"/>
      <w:lvlJc w:val="left"/>
      <w:pPr>
        <w:ind w:left="5010" w:hanging="245"/>
      </w:pPr>
      <w:rPr>
        <w:rFonts w:hint="default"/>
      </w:rPr>
    </w:lvl>
    <w:lvl w:ilvl="6" w:tplc="2DFA1FF2">
      <w:numFmt w:val="bullet"/>
      <w:lvlText w:val="•"/>
      <w:lvlJc w:val="left"/>
      <w:pPr>
        <w:ind w:left="5848" w:hanging="245"/>
      </w:pPr>
      <w:rPr>
        <w:rFonts w:hint="default"/>
      </w:rPr>
    </w:lvl>
    <w:lvl w:ilvl="7" w:tplc="068225D8">
      <w:numFmt w:val="bullet"/>
      <w:lvlText w:val="•"/>
      <w:lvlJc w:val="left"/>
      <w:pPr>
        <w:ind w:left="6686" w:hanging="245"/>
      </w:pPr>
      <w:rPr>
        <w:rFonts w:hint="default"/>
      </w:rPr>
    </w:lvl>
    <w:lvl w:ilvl="8" w:tplc="29227E90">
      <w:numFmt w:val="bullet"/>
      <w:lvlText w:val="•"/>
      <w:lvlJc w:val="left"/>
      <w:pPr>
        <w:ind w:left="7524" w:hanging="245"/>
      </w:pPr>
      <w:rPr>
        <w:rFonts w:hint="default"/>
      </w:rPr>
    </w:lvl>
  </w:abstractNum>
  <w:abstractNum w:abstractNumId="14">
    <w:nsid w:val="37E3372D"/>
    <w:multiLevelType w:val="hybridMultilevel"/>
    <w:tmpl w:val="0F602CC8"/>
    <w:lvl w:ilvl="0" w:tplc="7234BBA2">
      <w:start w:val="1"/>
      <w:numFmt w:val="decimal"/>
      <w:lvlText w:val="%1."/>
      <w:lvlJc w:val="left"/>
      <w:pPr>
        <w:ind w:left="944" w:hanging="360"/>
        <w:jc w:val="left"/>
      </w:pPr>
      <w:rPr>
        <w:rFonts w:ascii="Times New Roman" w:eastAsia="Times New Roman" w:hAnsi="Times New Roman" w:cs="Times New Roman" w:hint="default"/>
        <w:spacing w:val="-14"/>
        <w:w w:val="99"/>
        <w:sz w:val="24"/>
        <w:szCs w:val="24"/>
      </w:rPr>
    </w:lvl>
    <w:lvl w:ilvl="1" w:tplc="EE1AEE7A">
      <w:numFmt w:val="bullet"/>
      <w:lvlText w:val="•"/>
      <w:lvlJc w:val="left"/>
      <w:pPr>
        <w:ind w:left="1766" w:hanging="360"/>
      </w:pPr>
      <w:rPr>
        <w:rFonts w:hint="default"/>
      </w:rPr>
    </w:lvl>
    <w:lvl w:ilvl="2" w:tplc="444EEEF4">
      <w:numFmt w:val="bullet"/>
      <w:lvlText w:val="•"/>
      <w:lvlJc w:val="left"/>
      <w:pPr>
        <w:ind w:left="2592" w:hanging="360"/>
      </w:pPr>
      <w:rPr>
        <w:rFonts w:hint="default"/>
      </w:rPr>
    </w:lvl>
    <w:lvl w:ilvl="3" w:tplc="CF3E26B0">
      <w:numFmt w:val="bullet"/>
      <w:lvlText w:val="•"/>
      <w:lvlJc w:val="left"/>
      <w:pPr>
        <w:ind w:left="3418" w:hanging="360"/>
      </w:pPr>
      <w:rPr>
        <w:rFonts w:hint="default"/>
      </w:rPr>
    </w:lvl>
    <w:lvl w:ilvl="4" w:tplc="A0520372">
      <w:numFmt w:val="bullet"/>
      <w:lvlText w:val="•"/>
      <w:lvlJc w:val="left"/>
      <w:pPr>
        <w:ind w:left="4244" w:hanging="360"/>
      </w:pPr>
      <w:rPr>
        <w:rFonts w:hint="default"/>
      </w:rPr>
    </w:lvl>
    <w:lvl w:ilvl="5" w:tplc="99A02640">
      <w:numFmt w:val="bullet"/>
      <w:lvlText w:val="•"/>
      <w:lvlJc w:val="left"/>
      <w:pPr>
        <w:ind w:left="5070" w:hanging="360"/>
      </w:pPr>
      <w:rPr>
        <w:rFonts w:hint="default"/>
      </w:rPr>
    </w:lvl>
    <w:lvl w:ilvl="6" w:tplc="F25C6500">
      <w:numFmt w:val="bullet"/>
      <w:lvlText w:val="•"/>
      <w:lvlJc w:val="left"/>
      <w:pPr>
        <w:ind w:left="5896" w:hanging="360"/>
      </w:pPr>
      <w:rPr>
        <w:rFonts w:hint="default"/>
      </w:rPr>
    </w:lvl>
    <w:lvl w:ilvl="7" w:tplc="1AE8B686">
      <w:numFmt w:val="bullet"/>
      <w:lvlText w:val="•"/>
      <w:lvlJc w:val="left"/>
      <w:pPr>
        <w:ind w:left="6722" w:hanging="360"/>
      </w:pPr>
      <w:rPr>
        <w:rFonts w:hint="default"/>
      </w:rPr>
    </w:lvl>
    <w:lvl w:ilvl="8" w:tplc="AB86B9A0">
      <w:numFmt w:val="bullet"/>
      <w:lvlText w:val="•"/>
      <w:lvlJc w:val="left"/>
      <w:pPr>
        <w:ind w:left="7548" w:hanging="360"/>
      </w:pPr>
      <w:rPr>
        <w:rFonts w:hint="default"/>
      </w:rPr>
    </w:lvl>
  </w:abstractNum>
  <w:abstractNum w:abstractNumId="15">
    <w:nsid w:val="39024750"/>
    <w:multiLevelType w:val="hybridMultilevel"/>
    <w:tmpl w:val="1EA61068"/>
    <w:lvl w:ilvl="0" w:tplc="E684E330">
      <w:numFmt w:val="bullet"/>
      <w:lvlText w:val="–"/>
      <w:lvlJc w:val="left"/>
      <w:pPr>
        <w:ind w:left="764" w:hanging="180"/>
      </w:pPr>
      <w:rPr>
        <w:rFonts w:ascii="Times New Roman" w:eastAsia="Times New Roman" w:hAnsi="Times New Roman" w:cs="Times New Roman" w:hint="default"/>
        <w:spacing w:val="-5"/>
        <w:w w:val="99"/>
        <w:sz w:val="24"/>
        <w:szCs w:val="24"/>
      </w:rPr>
    </w:lvl>
    <w:lvl w:ilvl="1" w:tplc="58DA3FC6">
      <w:numFmt w:val="bullet"/>
      <w:lvlText w:val=""/>
      <w:lvlJc w:val="left"/>
      <w:pPr>
        <w:ind w:left="1364" w:hanging="300"/>
      </w:pPr>
      <w:rPr>
        <w:rFonts w:ascii="Symbol" w:eastAsia="Symbol" w:hAnsi="Symbol" w:cs="Symbol" w:hint="default"/>
        <w:color w:val="001F5F"/>
        <w:w w:val="100"/>
        <w:sz w:val="24"/>
        <w:szCs w:val="24"/>
      </w:rPr>
    </w:lvl>
    <w:lvl w:ilvl="2" w:tplc="1B5A9814">
      <w:numFmt w:val="bullet"/>
      <w:lvlText w:val="•"/>
      <w:lvlJc w:val="left"/>
      <w:pPr>
        <w:ind w:left="2231" w:hanging="300"/>
      </w:pPr>
      <w:rPr>
        <w:rFonts w:hint="default"/>
      </w:rPr>
    </w:lvl>
    <w:lvl w:ilvl="3" w:tplc="A42A6918">
      <w:numFmt w:val="bullet"/>
      <w:lvlText w:val="•"/>
      <w:lvlJc w:val="left"/>
      <w:pPr>
        <w:ind w:left="3102" w:hanging="300"/>
      </w:pPr>
      <w:rPr>
        <w:rFonts w:hint="default"/>
      </w:rPr>
    </w:lvl>
    <w:lvl w:ilvl="4" w:tplc="181C4CAA">
      <w:numFmt w:val="bullet"/>
      <w:lvlText w:val="•"/>
      <w:lvlJc w:val="left"/>
      <w:pPr>
        <w:ind w:left="3973" w:hanging="300"/>
      </w:pPr>
      <w:rPr>
        <w:rFonts w:hint="default"/>
      </w:rPr>
    </w:lvl>
    <w:lvl w:ilvl="5" w:tplc="97E01930">
      <w:numFmt w:val="bullet"/>
      <w:lvlText w:val="•"/>
      <w:lvlJc w:val="left"/>
      <w:pPr>
        <w:ind w:left="4844" w:hanging="300"/>
      </w:pPr>
      <w:rPr>
        <w:rFonts w:hint="default"/>
      </w:rPr>
    </w:lvl>
    <w:lvl w:ilvl="6" w:tplc="99EA253C">
      <w:numFmt w:val="bullet"/>
      <w:lvlText w:val="•"/>
      <w:lvlJc w:val="left"/>
      <w:pPr>
        <w:ind w:left="5715" w:hanging="300"/>
      </w:pPr>
      <w:rPr>
        <w:rFonts w:hint="default"/>
      </w:rPr>
    </w:lvl>
    <w:lvl w:ilvl="7" w:tplc="BFC8DA02">
      <w:numFmt w:val="bullet"/>
      <w:lvlText w:val="•"/>
      <w:lvlJc w:val="left"/>
      <w:pPr>
        <w:ind w:left="6586" w:hanging="300"/>
      </w:pPr>
      <w:rPr>
        <w:rFonts w:hint="default"/>
      </w:rPr>
    </w:lvl>
    <w:lvl w:ilvl="8" w:tplc="3836D7C8">
      <w:numFmt w:val="bullet"/>
      <w:lvlText w:val="•"/>
      <w:lvlJc w:val="left"/>
      <w:pPr>
        <w:ind w:left="7457" w:hanging="300"/>
      </w:pPr>
      <w:rPr>
        <w:rFonts w:hint="default"/>
      </w:rPr>
    </w:lvl>
  </w:abstractNum>
  <w:abstractNum w:abstractNumId="16">
    <w:nsid w:val="3A1F6ECB"/>
    <w:multiLevelType w:val="multilevel"/>
    <w:tmpl w:val="A51EE086"/>
    <w:lvl w:ilvl="0">
      <w:numFmt w:val="decimal"/>
      <w:lvlText w:val="%1"/>
      <w:lvlJc w:val="left"/>
      <w:pPr>
        <w:ind w:left="584" w:hanging="507"/>
        <w:jc w:val="left"/>
      </w:pPr>
      <w:rPr>
        <w:rFonts w:hint="default"/>
      </w:rPr>
    </w:lvl>
    <w:lvl w:ilvl="1">
      <w:start w:val="64"/>
      <w:numFmt w:val="decimal"/>
      <w:lvlText w:val="%1.%2"/>
      <w:lvlJc w:val="left"/>
      <w:pPr>
        <w:ind w:left="584" w:hanging="507"/>
        <w:jc w:val="left"/>
      </w:pPr>
      <w:rPr>
        <w:rFonts w:ascii="Times New Roman" w:eastAsia="Times New Roman" w:hAnsi="Times New Roman" w:cs="Times New Roman" w:hint="default"/>
        <w:w w:val="100"/>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17">
    <w:nsid w:val="3A58003A"/>
    <w:multiLevelType w:val="hybridMultilevel"/>
    <w:tmpl w:val="D13EE546"/>
    <w:lvl w:ilvl="0" w:tplc="6F56D052">
      <w:start w:val="1"/>
      <w:numFmt w:val="upperLetter"/>
      <w:lvlText w:val="%1."/>
      <w:lvlJc w:val="left"/>
      <w:pPr>
        <w:ind w:left="1057" w:hanging="474"/>
        <w:jc w:val="left"/>
      </w:pPr>
      <w:rPr>
        <w:rFonts w:ascii="Times New Roman" w:eastAsia="Times New Roman" w:hAnsi="Times New Roman" w:cs="Times New Roman" w:hint="default"/>
        <w:b/>
        <w:bCs/>
        <w:w w:val="99"/>
        <w:sz w:val="24"/>
        <w:szCs w:val="24"/>
      </w:rPr>
    </w:lvl>
    <w:lvl w:ilvl="1" w:tplc="64AEF506">
      <w:start w:val="1"/>
      <w:numFmt w:val="decimal"/>
      <w:lvlText w:val="%2."/>
      <w:lvlJc w:val="left"/>
      <w:pPr>
        <w:ind w:left="584" w:hanging="513"/>
        <w:jc w:val="left"/>
      </w:pPr>
      <w:rPr>
        <w:rFonts w:ascii="Times New Roman" w:eastAsia="Times New Roman" w:hAnsi="Times New Roman" w:cs="Times New Roman" w:hint="default"/>
        <w:spacing w:val="-28"/>
        <w:w w:val="99"/>
        <w:sz w:val="24"/>
        <w:szCs w:val="24"/>
      </w:rPr>
    </w:lvl>
    <w:lvl w:ilvl="2" w:tplc="6CE0429A">
      <w:numFmt w:val="bullet"/>
      <w:lvlText w:val="•"/>
      <w:lvlJc w:val="left"/>
      <w:pPr>
        <w:ind w:left="1964" w:hanging="513"/>
      </w:pPr>
      <w:rPr>
        <w:rFonts w:hint="default"/>
      </w:rPr>
    </w:lvl>
    <w:lvl w:ilvl="3" w:tplc="9A8A2C8A">
      <w:numFmt w:val="bullet"/>
      <w:lvlText w:val="•"/>
      <w:lvlJc w:val="left"/>
      <w:pPr>
        <w:ind w:left="2868" w:hanging="513"/>
      </w:pPr>
      <w:rPr>
        <w:rFonts w:hint="default"/>
      </w:rPr>
    </w:lvl>
    <w:lvl w:ilvl="4" w:tplc="F76A3520">
      <w:numFmt w:val="bullet"/>
      <w:lvlText w:val="•"/>
      <w:lvlJc w:val="left"/>
      <w:pPr>
        <w:ind w:left="3773" w:hanging="513"/>
      </w:pPr>
      <w:rPr>
        <w:rFonts w:hint="default"/>
      </w:rPr>
    </w:lvl>
    <w:lvl w:ilvl="5" w:tplc="57224BB0">
      <w:numFmt w:val="bullet"/>
      <w:lvlText w:val="•"/>
      <w:lvlJc w:val="left"/>
      <w:pPr>
        <w:ind w:left="4677" w:hanging="513"/>
      </w:pPr>
      <w:rPr>
        <w:rFonts w:hint="default"/>
      </w:rPr>
    </w:lvl>
    <w:lvl w:ilvl="6" w:tplc="03529950">
      <w:numFmt w:val="bullet"/>
      <w:lvlText w:val="•"/>
      <w:lvlJc w:val="left"/>
      <w:pPr>
        <w:ind w:left="5582" w:hanging="513"/>
      </w:pPr>
      <w:rPr>
        <w:rFonts w:hint="default"/>
      </w:rPr>
    </w:lvl>
    <w:lvl w:ilvl="7" w:tplc="15CEEA4E">
      <w:numFmt w:val="bullet"/>
      <w:lvlText w:val="•"/>
      <w:lvlJc w:val="left"/>
      <w:pPr>
        <w:ind w:left="6486" w:hanging="513"/>
      </w:pPr>
      <w:rPr>
        <w:rFonts w:hint="default"/>
      </w:rPr>
    </w:lvl>
    <w:lvl w:ilvl="8" w:tplc="5E6E2D5C">
      <w:numFmt w:val="bullet"/>
      <w:lvlText w:val="•"/>
      <w:lvlJc w:val="left"/>
      <w:pPr>
        <w:ind w:left="7391" w:hanging="513"/>
      </w:pPr>
      <w:rPr>
        <w:rFonts w:hint="default"/>
      </w:rPr>
    </w:lvl>
  </w:abstractNum>
  <w:abstractNum w:abstractNumId="18">
    <w:nsid w:val="3CEE36D6"/>
    <w:multiLevelType w:val="multilevel"/>
    <w:tmpl w:val="3780A3FA"/>
    <w:lvl w:ilvl="0">
      <w:start w:val="2"/>
      <w:numFmt w:val="decimal"/>
      <w:lvlText w:val="%1"/>
      <w:lvlJc w:val="left"/>
      <w:pPr>
        <w:ind w:left="1244" w:hanging="660"/>
        <w:jc w:val="left"/>
      </w:pPr>
      <w:rPr>
        <w:rFonts w:hint="default"/>
      </w:rPr>
    </w:lvl>
    <w:lvl w:ilvl="1">
      <w:start w:val="4"/>
      <w:numFmt w:val="decimal"/>
      <w:lvlText w:val="%1.%2"/>
      <w:lvlJc w:val="left"/>
      <w:pPr>
        <w:ind w:left="1244" w:hanging="660"/>
        <w:jc w:val="left"/>
      </w:pPr>
      <w:rPr>
        <w:rFonts w:hint="default"/>
      </w:rPr>
    </w:lvl>
    <w:lvl w:ilvl="2">
      <w:start w:val="1"/>
      <w:numFmt w:val="decimal"/>
      <w:lvlText w:val="%1.%2.%3"/>
      <w:lvlJc w:val="left"/>
      <w:pPr>
        <w:ind w:left="1244" w:hanging="660"/>
        <w:jc w:val="left"/>
      </w:pPr>
      <w:rPr>
        <w:rFonts w:ascii="Times New Roman" w:eastAsia="Times New Roman" w:hAnsi="Times New Roman" w:cs="Times New Roman" w:hint="default"/>
        <w:b/>
        <w:bCs/>
        <w:spacing w:val="-2"/>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19">
    <w:nsid w:val="3F1F5342"/>
    <w:multiLevelType w:val="hybridMultilevel"/>
    <w:tmpl w:val="87380870"/>
    <w:lvl w:ilvl="0" w:tplc="07465EC8">
      <w:start w:val="1"/>
      <w:numFmt w:val="lowerLetter"/>
      <w:lvlText w:val="%1."/>
      <w:lvlJc w:val="left"/>
      <w:pPr>
        <w:ind w:left="884" w:hanging="226"/>
        <w:jc w:val="left"/>
      </w:pPr>
      <w:rPr>
        <w:rFonts w:ascii="Times New Roman" w:eastAsia="Times New Roman" w:hAnsi="Times New Roman" w:cs="Times New Roman" w:hint="default"/>
        <w:spacing w:val="-5"/>
        <w:w w:val="99"/>
        <w:sz w:val="24"/>
        <w:szCs w:val="24"/>
      </w:rPr>
    </w:lvl>
    <w:lvl w:ilvl="1" w:tplc="9D8A5BD8">
      <w:numFmt w:val="bullet"/>
      <w:lvlText w:val="•"/>
      <w:lvlJc w:val="left"/>
      <w:pPr>
        <w:ind w:left="1720" w:hanging="226"/>
      </w:pPr>
      <w:rPr>
        <w:rFonts w:hint="default"/>
      </w:rPr>
    </w:lvl>
    <w:lvl w:ilvl="2" w:tplc="03A2DBB0">
      <w:numFmt w:val="bullet"/>
      <w:lvlText w:val="•"/>
      <w:lvlJc w:val="left"/>
      <w:pPr>
        <w:ind w:left="2560" w:hanging="226"/>
      </w:pPr>
      <w:rPr>
        <w:rFonts w:hint="default"/>
      </w:rPr>
    </w:lvl>
    <w:lvl w:ilvl="3" w:tplc="91421110">
      <w:numFmt w:val="bullet"/>
      <w:lvlText w:val="•"/>
      <w:lvlJc w:val="left"/>
      <w:pPr>
        <w:ind w:left="3400" w:hanging="226"/>
      </w:pPr>
      <w:rPr>
        <w:rFonts w:hint="default"/>
      </w:rPr>
    </w:lvl>
    <w:lvl w:ilvl="4" w:tplc="F3328070">
      <w:numFmt w:val="bullet"/>
      <w:lvlText w:val="•"/>
      <w:lvlJc w:val="left"/>
      <w:pPr>
        <w:ind w:left="4240" w:hanging="226"/>
      </w:pPr>
      <w:rPr>
        <w:rFonts w:hint="default"/>
      </w:rPr>
    </w:lvl>
    <w:lvl w:ilvl="5" w:tplc="EA988EEA">
      <w:numFmt w:val="bullet"/>
      <w:lvlText w:val="•"/>
      <w:lvlJc w:val="left"/>
      <w:pPr>
        <w:ind w:left="5080" w:hanging="226"/>
      </w:pPr>
      <w:rPr>
        <w:rFonts w:hint="default"/>
      </w:rPr>
    </w:lvl>
    <w:lvl w:ilvl="6" w:tplc="201ADD1A">
      <w:numFmt w:val="bullet"/>
      <w:lvlText w:val="•"/>
      <w:lvlJc w:val="left"/>
      <w:pPr>
        <w:ind w:left="5920" w:hanging="226"/>
      </w:pPr>
      <w:rPr>
        <w:rFonts w:hint="default"/>
      </w:rPr>
    </w:lvl>
    <w:lvl w:ilvl="7" w:tplc="D3A29DDA">
      <w:numFmt w:val="bullet"/>
      <w:lvlText w:val="•"/>
      <w:lvlJc w:val="left"/>
      <w:pPr>
        <w:ind w:left="6760" w:hanging="226"/>
      </w:pPr>
      <w:rPr>
        <w:rFonts w:hint="default"/>
      </w:rPr>
    </w:lvl>
    <w:lvl w:ilvl="8" w:tplc="1F80F152">
      <w:numFmt w:val="bullet"/>
      <w:lvlText w:val="•"/>
      <w:lvlJc w:val="left"/>
      <w:pPr>
        <w:ind w:left="7600" w:hanging="226"/>
      </w:pPr>
      <w:rPr>
        <w:rFonts w:hint="default"/>
      </w:rPr>
    </w:lvl>
  </w:abstractNum>
  <w:abstractNum w:abstractNumId="20">
    <w:nsid w:val="41005B58"/>
    <w:multiLevelType w:val="hybridMultilevel"/>
    <w:tmpl w:val="FAA42DF8"/>
    <w:lvl w:ilvl="0" w:tplc="D6228EDA">
      <w:numFmt w:val="bullet"/>
      <w:lvlText w:val=""/>
      <w:lvlJc w:val="left"/>
      <w:pPr>
        <w:ind w:left="1304" w:hanging="360"/>
      </w:pPr>
      <w:rPr>
        <w:rFonts w:ascii="Symbol" w:eastAsia="Symbol" w:hAnsi="Symbol" w:cs="Symbol" w:hint="default"/>
        <w:w w:val="100"/>
        <w:sz w:val="24"/>
        <w:szCs w:val="24"/>
      </w:rPr>
    </w:lvl>
    <w:lvl w:ilvl="1" w:tplc="CB2021C2">
      <w:numFmt w:val="bullet"/>
      <w:lvlText w:val="•"/>
      <w:lvlJc w:val="left"/>
      <w:pPr>
        <w:ind w:left="2090" w:hanging="360"/>
      </w:pPr>
      <w:rPr>
        <w:rFonts w:hint="default"/>
      </w:rPr>
    </w:lvl>
    <w:lvl w:ilvl="2" w:tplc="6BF619CA">
      <w:numFmt w:val="bullet"/>
      <w:lvlText w:val="•"/>
      <w:lvlJc w:val="left"/>
      <w:pPr>
        <w:ind w:left="2880" w:hanging="360"/>
      </w:pPr>
      <w:rPr>
        <w:rFonts w:hint="default"/>
      </w:rPr>
    </w:lvl>
    <w:lvl w:ilvl="3" w:tplc="C35E68F6">
      <w:numFmt w:val="bullet"/>
      <w:lvlText w:val="•"/>
      <w:lvlJc w:val="left"/>
      <w:pPr>
        <w:ind w:left="3670" w:hanging="360"/>
      </w:pPr>
      <w:rPr>
        <w:rFonts w:hint="default"/>
      </w:rPr>
    </w:lvl>
    <w:lvl w:ilvl="4" w:tplc="32B490AA">
      <w:numFmt w:val="bullet"/>
      <w:lvlText w:val="•"/>
      <w:lvlJc w:val="left"/>
      <w:pPr>
        <w:ind w:left="4460" w:hanging="360"/>
      </w:pPr>
      <w:rPr>
        <w:rFonts w:hint="default"/>
      </w:rPr>
    </w:lvl>
    <w:lvl w:ilvl="5" w:tplc="58B201EE">
      <w:numFmt w:val="bullet"/>
      <w:lvlText w:val="•"/>
      <w:lvlJc w:val="left"/>
      <w:pPr>
        <w:ind w:left="5250" w:hanging="360"/>
      </w:pPr>
      <w:rPr>
        <w:rFonts w:hint="default"/>
      </w:rPr>
    </w:lvl>
    <w:lvl w:ilvl="6" w:tplc="5F3E5560">
      <w:numFmt w:val="bullet"/>
      <w:lvlText w:val="•"/>
      <w:lvlJc w:val="left"/>
      <w:pPr>
        <w:ind w:left="6040" w:hanging="360"/>
      </w:pPr>
      <w:rPr>
        <w:rFonts w:hint="default"/>
      </w:rPr>
    </w:lvl>
    <w:lvl w:ilvl="7" w:tplc="B420AB82">
      <w:numFmt w:val="bullet"/>
      <w:lvlText w:val="•"/>
      <w:lvlJc w:val="left"/>
      <w:pPr>
        <w:ind w:left="6830" w:hanging="360"/>
      </w:pPr>
      <w:rPr>
        <w:rFonts w:hint="default"/>
      </w:rPr>
    </w:lvl>
    <w:lvl w:ilvl="8" w:tplc="31F04818">
      <w:numFmt w:val="bullet"/>
      <w:lvlText w:val="•"/>
      <w:lvlJc w:val="left"/>
      <w:pPr>
        <w:ind w:left="7620" w:hanging="360"/>
      </w:pPr>
      <w:rPr>
        <w:rFonts w:hint="default"/>
      </w:rPr>
    </w:lvl>
  </w:abstractNum>
  <w:abstractNum w:abstractNumId="21">
    <w:nsid w:val="4266012F"/>
    <w:multiLevelType w:val="multilevel"/>
    <w:tmpl w:val="52F4C6C0"/>
    <w:lvl w:ilvl="0">
      <w:start w:val="2"/>
      <w:numFmt w:val="decimal"/>
      <w:lvlText w:val="%1"/>
      <w:lvlJc w:val="left"/>
      <w:pPr>
        <w:ind w:left="1064" w:hanging="480"/>
        <w:jc w:val="left"/>
      </w:pPr>
      <w:rPr>
        <w:rFonts w:hint="default"/>
      </w:rPr>
    </w:lvl>
    <w:lvl w:ilvl="1">
      <w:start w:val="1"/>
      <w:numFmt w:val="decimal"/>
      <w:lvlText w:val="%1.%2"/>
      <w:lvlJc w:val="left"/>
      <w:pPr>
        <w:ind w:left="1064" w:hanging="480"/>
        <w:jc w:val="left"/>
      </w:pPr>
      <w:rPr>
        <w:rFonts w:ascii="Times New Roman" w:eastAsia="Times New Roman" w:hAnsi="Times New Roman" w:cs="Times New Roman" w:hint="default"/>
        <w:b/>
        <w:bCs/>
        <w:spacing w:val="-1"/>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2287" w:hanging="360"/>
      </w:pPr>
      <w:rPr>
        <w:rFonts w:hint="default"/>
      </w:rPr>
    </w:lvl>
    <w:lvl w:ilvl="4">
      <w:numFmt w:val="bullet"/>
      <w:lvlText w:val="•"/>
      <w:lvlJc w:val="left"/>
      <w:pPr>
        <w:ind w:left="3275" w:hanging="360"/>
      </w:pPr>
      <w:rPr>
        <w:rFonts w:hint="default"/>
      </w:rPr>
    </w:lvl>
    <w:lvl w:ilvl="5">
      <w:numFmt w:val="bullet"/>
      <w:lvlText w:val="•"/>
      <w:lvlJc w:val="left"/>
      <w:pPr>
        <w:ind w:left="4262" w:hanging="360"/>
      </w:pPr>
      <w:rPr>
        <w:rFonts w:hint="default"/>
      </w:rPr>
    </w:lvl>
    <w:lvl w:ilvl="6">
      <w:numFmt w:val="bullet"/>
      <w:lvlText w:val="•"/>
      <w:lvlJc w:val="left"/>
      <w:pPr>
        <w:ind w:left="5250" w:hanging="360"/>
      </w:pPr>
      <w:rPr>
        <w:rFonts w:hint="default"/>
      </w:rPr>
    </w:lvl>
    <w:lvl w:ilvl="7">
      <w:numFmt w:val="bullet"/>
      <w:lvlText w:val="•"/>
      <w:lvlJc w:val="left"/>
      <w:pPr>
        <w:ind w:left="6237" w:hanging="360"/>
      </w:pPr>
      <w:rPr>
        <w:rFonts w:hint="default"/>
      </w:rPr>
    </w:lvl>
    <w:lvl w:ilvl="8">
      <w:numFmt w:val="bullet"/>
      <w:lvlText w:val="•"/>
      <w:lvlJc w:val="left"/>
      <w:pPr>
        <w:ind w:left="7225" w:hanging="360"/>
      </w:pPr>
      <w:rPr>
        <w:rFonts w:hint="default"/>
      </w:rPr>
    </w:lvl>
  </w:abstractNum>
  <w:abstractNum w:abstractNumId="22">
    <w:nsid w:val="42C40FEC"/>
    <w:multiLevelType w:val="hybridMultilevel"/>
    <w:tmpl w:val="F75897D6"/>
    <w:lvl w:ilvl="0" w:tplc="87F6888E">
      <w:numFmt w:val="bullet"/>
      <w:lvlText w:val=""/>
      <w:lvlJc w:val="left"/>
      <w:pPr>
        <w:ind w:left="355" w:hanging="207"/>
      </w:pPr>
      <w:rPr>
        <w:rFonts w:ascii="Wingdings" w:eastAsia="Wingdings" w:hAnsi="Wingdings" w:cs="Wingdings" w:hint="default"/>
        <w:w w:val="99"/>
        <w:sz w:val="20"/>
        <w:szCs w:val="20"/>
      </w:rPr>
    </w:lvl>
    <w:lvl w:ilvl="1" w:tplc="3F5E503E">
      <w:numFmt w:val="bullet"/>
      <w:lvlText w:val="•"/>
      <w:lvlJc w:val="left"/>
      <w:pPr>
        <w:ind w:left="747" w:hanging="207"/>
      </w:pPr>
      <w:rPr>
        <w:rFonts w:hint="default"/>
      </w:rPr>
    </w:lvl>
    <w:lvl w:ilvl="2" w:tplc="B0E0FB4C">
      <w:numFmt w:val="bullet"/>
      <w:lvlText w:val="•"/>
      <w:lvlJc w:val="left"/>
      <w:pPr>
        <w:ind w:left="1135" w:hanging="207"/>
      </w:pPr>
      <w:rPr>
        <w:rFonts w:hint="default"/>
      </w:rPr>
    </w:lvl>
    <w:lvl w:ilvl="3" w:tplc="231EAC58">
      <w:numFmt w:val="bullet"/>
      <w:lvlText w:val="•"/>
      <w:lvlJc w:val="left"/>
      <w:pPr>
        <w:ind w:left="1523" w:hanging="207"/>
      </w:pPr>
      <w:rPr>
        <w:rFonts w:hint="default"/>
      </w:rPr>
    </w:lvl>
    <w:lvl w:ilvl="4" w:tplc="179C0D78">
      <w:numFmt w:val="bullet"/>
      <w:lvlText w:val="•"/>
      <w:lvlJc w:val="left"/>
      <w:pPr>
        <w:ind w:left="1911" w:hanging="207"/>
      </w:pPr>
      <w:rPr>
        <w:rFonts w:hint="default"/>
      </w:rPr>
    </w:lvl>
    <w:lvl w:ilvl="5" w:tplc="1A2C8478">
      <w:numFmt w:val="bullet"/>
      <w:lvlText w:val="•"/>
      <w:lvlJc w:val="left"/>
      <w:pPr>
        <w:ind w:left="2299" w:hanging="207"/>
      </w:pPr>
      <w:rPr>
        <w:rFonts w:hint="default"/>
      </w:rPr>
    </w:lvl>
    <w:lvl w:ilvl="6" w:tplc="650E63F4">
      <w:numFmt w:val="bullet"/>
      <w:lvlText w:val="•"/>
      <w:lvlJc w:val="left"/>
      <w:pPr>
        <w:ind w:left="2687" w:hanging="207"/>
      </w:pPr>
      <w:rPr>
        <w:rFonts w:hint="default"/>
      </w:rPr>
    </w:lvl>
    <w:lvl w:ilvl="7" w:tplc="04709DEC">
      <w:numFmt w:val="bullet"/>
      <w:lvlText w:val="•"/>
      <w:lvlJc w:val="left"/>
      <w:pPr>
        <w:ind w:left="3075" w:hanging="207"/>
      </w:pPr>
      <w:rPr>
        <w:rFonts w:hint="default"/>
      </w:rPr>
    </w:lvl>
    <w:lvl w:ilvl="8" w:tplc="FBA46C84">
      <w:numFmt w:val="bullet"/>
      <w:lvlText w:val="•"/>
      <w:lvlJc w:val="left"/>
      <w:pPr>
        <w:ind w:left="3463" w:hanging="207"/>
      </w:pPr>
      <w:rPr>
        <w:rFonts w:hint="default"/>
      </w:rPr>
    </w:lvl>
  </w:abstractNum>
  <w:abstractNum w:abstractNumId="23">
    <w:nsid w:val="441A6086"/>
    <w:multiLevelType w:val="hybridMultilevel"/>
    <w:tmpl w:val="6C3CD4F8"/>
    <w:lvl w:ilvl="0" w:tplc="C2CC9B10">
      <w:numFmt w:val="bullet"/>
      <w:lvlText w:val=""/>
      <w:lvlJc w:val="left"/>
      <w:pPr>
        <w:ind w:left="355" w:hanging="207"/>
      </w:pPr>
      <w:rPr>
        <w:rFonts w:ascii="Wingdings" w:eastAsia="Wingdings" w:hAnsi="Wingdings" w:cs="Wingdings" w:hint="default"/>
        <w:w w:val="99"/>
        <w:sz w:val="20"/>
        <w:szCs w:val="20"/>
      </w:rPr>
    </w:lvl>
    <w:lvl w:ilvl="1" w:tplc="60CE3576">
      <w:numFmt w:val="bullet"/>
      <w:lvlText w:val="•"/>
      <w:lvlJc w:val="left"/>
      <w:pPr>
        <w:ind w:left="747" w:hanging="207"/>
      </w:pPr>
      <w:rPr>
        <w:rFonts w:hint="default"/>
      </w:rPr>
    </w:lvl>
    <w:lvl w:ilvl="2" w:tplc="5738794E">
      <w:numFmt w:val="bullet"/>
      <w:lvlText w:val="•"/>
      <w:lvlJc w:val="left"/>
      <w:pPr>
        <w:ind w:left="1135" w:hanging="207"/>
      </w:pPr>
      <w:rPr>
        <w:rFonts w:hint="default"/>
      </w:rPr>
    </w:lvl>
    <w:lvl w:ilvl="3" w:tplc="21643C62">
      <w:numFmt w:val="bullet"/>
      <w:lvlText w:val="•"/>
      <w:lvlJc w:val="left"/>
      <w:pPr>
        <w:ind w:left="1523" w:hanging="207"/>
      </w:pPr>
      <w:rPr>
        <w:rFonts w:hint="default"/>
      </w:rPr>
    </w:lvl>
    <w:lvl w:ilvl="4" w:tplc="FF2241AE">
      <w:numFmt w:val="bullet"/>
      <w:lvlText w:val="•"/>
      <w:lvlJc w:val="left"/>
      <w:pPr>
        <w:ind w:left="1911" w:hanging="207"/>
      </w:pPr>
      <w:rPr>
        <w:rFonts w:hint="default"/>
      </w:rPr>
    </w:lvl>
    <w:lvl w:ilvl="5" w:tplc="0A42CA2E">
      <w:numFmt w:val="bullet"/>
      <w:lvlText w:val="•"/>
      <w:lvlJc w:val="left"/>
      <w:pPr>
        <w:ind w:left="2299" w:hanging="207"/>
      </w:pPr>
      <w:rPr>
        <w:rFonts w:hint="default"/>
      </w:rPr>
    </w:lvl>
    <w:lvl w:ilvl="6" w:tplc="EF320CFE">
      <w:numFmt w:val="bullet"/>
      <w:lvlText w:val="•"/>
      <w:lvlJc w:val="left"/>
      <w:pPr>
        <w:ind w:left="2687" w:hanging="207"/>
      </w:pPr>
      <w:rPr>
        <w:rFonts w:hint="default"/>
      </w:rPr>
    </w:lvl>
    <w:lvl w:ilvl="7" w:tplc="CD1C60FA">
      <w:numFmt w:val="bullet"/>
      <w:lvlText w:val="•"/>
      <w:lvlJc w:val="left"/>
      <w:pPr>
        <w:ind w:left="3075" w:hanging="207"/>
      </w:pPr>
      <w:rPr>
        <w:rFonts w:hint="default"/>
      </w:rPr>
    </w:lvl>
    <w:lvl w:ilvl="8" w:tplc="B6C8A706">
      <w:numFmt w:val="bullet"/>
      <w:lvlText w:val="•"/>
      <w:lvlJc w:val="left"/>
      <w:pPr>
        <w:ind w:left="3463" w:hanging="207"/>
      </w:pPr>
      <w:rPr>
        <w:rFonts w:hint="default"/>
      </w:rPr>
    </w:lvl>
  </w:abstractNum>
  <w:abstractNum w:abstractNumId="24">
    <w:nsid w:val="488679EB"/>
    <w:multiLevelType w:val="multilevel"/>
    <w:tmpl w:val="6A8872B0"/>
    <w:lvl w:ilvl="0">
      <w:start w:val="2"/>
      <w:numFmt w:val="decimal"/>
      <w:lvlText w:val="%1"/>
      <w:lvlJc w:val="left"/>
      <w:pPr>
        <w:ind w:left="1244" w:hanging="660"/>
        <w:jc w:val="left"/>
      </w:pPr>
      <w:rPr>
        <w:rFonts w:hint="default"/>
      </w:rPr>
    </w:lvl>
    <w:lvl w:ilvl="1">
      <w:start w:val="1"/>
      <w:numFmt w:val="decimal"/>
      <w:lvlText w:val="%1.%2"/>
      <w:lvlJc w:val="left"/>
      <w:pPr>
        <w:ind w:left="1244" w:hanging="660"/>
        <w:jc w:val="left"/>
      </w:pPr>
      <w:rPr>
        <w:rFonts w:hint="default"/>
      </w:rPr>
    </w:lvl>
    <w:lvl w:ilvl="2">
      <w:start w:val="2"/>
      <w:numFmt w:val="decimal"/>
      <w:lvlText w:val="%1.%2.%3"/>
      <w:lvlJc w:val="left"/>
      <w:pPr>
        <w:ind w:left="1244" w:hanging="660"/>
        <w:jc w:val="left"/>
      </w:pPr>
      <w:rPr>
        <w:rFonts w:ascii="Times New Roman" w:eastAsia="Times New Roman" w:hAnsi="Times New Roman" w:cs="Times New Roman" w:hint="default"/>
        <w:b/>
        <w:bCs/>
        <w:spacing w:val="-2"/>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25">
    <w:nsid w:val="4B8A2F04"/>
    <w:multiLevelType w:val="hybridMultilevel"/>
    <w:tmpl w:val="E2543C76"/>
    <w:lvl w:ilvl="0" w:tplc="02CCBE7E">
      <w:start w:val="1"/>
      <w:numFmt w:val="lowerLetter"/>
      <w:lvlText w:val="%1)"/>
      <w:lvlJc w:val="left"/>
      <w:pPr>
        <w:ind w:left="584" w:hanging="293"/>
        <w:jc w:val="left"/>
      </w:pPr>
      <w:rPr>
        <w:rFonts w:ascii="Times New Roman" w:eastAsia="Times New Roman" w:hAnsi="Times New Roman" w:cs="Times New Roman" w:hint="default"/>
        <w:spacing w:val="-19"/>
        <w:w w:val="100"/>
        <w:sz w:val="24"/>
        <w:szCs w:val="24"/>
      </w:rPr>
    </w:lvl>
    <w:lvl w:ilvl="1" w:tplc="655CDE8A">
      <w:numFmt w:val="bullet"/>
      <w:lvlText w:val="•"/>
      <w:lvlJc w:val="left"/>
      <w:pPr>
        <w:ind w:left="1442" w:hanging="293"/>
      </w:pPr>
      <w:rPr>
        <w:rFonts w:hint="default"/>
      </w:rPr>
    </w:lvl>
    <w:lvl w:ilvl="2" w:tplc="EB4C5DBC">
      <w:numFmt w:val="bullet"/>
      <w:lvlText w:val="•"/>
      <w:lvlJc w:val="left"/>
      <w:pPr>
        <w:ind w:left="2304" w:hanging="293"/>
      </w:pPr>
      <w:rPr>
        <w:rFonts w:hint="default"/>
      </w:rPr>
    </w:lvl>
    <w:lvl w:ilvl="3" w:tplc="8774FF0E">
      <w:numFmt w:val="bullet"/>
      <w:lvlText w:val="•"/>
      <w:lvlJc w:val="left"/>
      <w:pPr>
        <w:ind w:left="3166" w:hanging="293"/>
      </w:pPr>
      <w:rPr>
        <w:rFonts w:hint="default"/>
      </w:rPr>
    </w:lvl>
    <w:lvl w:ilvl="4" w:tplc="4A003424">
      <w:numFmt w:val="bullet"/>
      <w:lvlText w:val="•"/>
      <w:lvlJc w:val="left"/>
      <w:pPr>
        <w:ind w:left="4028" w:hanging="293"/>
      </w:pPr>
      <w:rPr>
        <w:rFonts w:hint="default"/>
      </w:rPr>
    </w:lvl>
    <w:lvl w:ilvl="5" w:tplc="A8FC674E">
      <w:numFmt w:val="bullet"/>
      <w:lvlText w:val="•"/>
      <w:lvlJc w:val="left"/>
      <w:pPr>
        <w:ind w:left="4890" w:hanging="293"/>
      </w:pPr>
      <w:rPr>
        <w:rFonts w:hint="default"/>
      </w:rPr>
    </w:lvl>
    <w:lvl w:ilvl="6" w:tplc="BCD60A6E">
      <w:numFmt w:val="bullet"/>
      <w:lvlText w:val="•"/>
      <w:lvlJc w:val="left"/>
      <w:pPr>
        <w:ind w:left="5752" w:hanging="293"/>
      </w:pPr>
      <w:rPr>
        <w:rFonts w:hint="default"/>
      </w:rPr>
    </w:lvl>
    <w:lvl w:ilvl="7" w:tplc="6C0A39E4">
      <w:numFmt w:val="bullet"/>
      <w:lvlText w:val="•"/>
      <w:lvlJc w:val="left"/>
      <w:pPr>
        <w:ind w:left="6614" w:hanging="293"/>
      </w:pPr>
      <w:rPr>
        <w:rFonts w:hint="default"/>
      </w:rPr>
    </w:lvl>
    <w:lvl w:ilvl="8" w:tplc="2BCC8062">
      <w:numFmt w:val="bullet"/>
      <w:lvlText w:val="•"/>
      <w:lvlJc w:val="left"/>
      <w:pPr>
        <w:ind w:left="7476" w:hanging="293"/>
      </w:pPr>
      <w:rPr>
        <w:rFonts w:hint="default"/>
      </w:rPr>
    </w:lvl>
  </w:abstractNum>
  <w:abstractNum w:abstractNumId="26">
    <w:nsid w:val="4D1D17B9"/>
    <w:multiLevelType w:val="multilevel"/>
    <w:tmpl w:val="2F0E7AA2"/>
    <w:lvl w:ilvl="0">
      <w:start w:val="2"/>
      <w:numFmt w:val="decimal"/>
      <w:lvlText w:val="%1"/>
      <w:lvlJc w:val="left"/>
      <w:pPr>
        <w:ind w:left="1244" w:hanging="660"/>
        <w:jc w:val="left"/>
      </w:pPr>
      <w:rPr>
        <w:rFonts w:hint="default"/>
      </w:rPr>
    </w:lvl>
    <w:lvl w:ilvl="1">
      <w:start w:val="3"/>
      <w:numFmt w:val="decimal"/>
      <w:lvlText w:val="%1.%2"/>
      <w:lvlJc w:val="left"/>
      <w:pPr>
        <w:ind w:left="1244" w:hanging="660"/>
        <w:jc w:val="left"/>
      </w:pPr>
      <w:rPr>
        <w:rFonts w:hint="default"/>
      </w:rPr>
    </w:lvl>
    <w:lvl w:ilvl="2">
      <w:start w:val="2"/>
      <w:numFmt w:val="decimal"/>
      <w:lvlText w:val="%1.%2.%3"/>
      <w:lvlJc w:val="left"/>
      <w:pPr>
        <w:ind w:left="1244" w:hanging="660"/>
        <w:jc w:val="left"/>
      </w:pPr>
      <w:rPr>
        <w:rFonts w:ascii="Times New Roman" w:eastAsia="Times New Roman" w:hAnsi="Times New Roman" w:cs="Times New Roman" w:hint="default"/>
        <w:b/>
        <w:bCs/>
        <w:spacing w:val="-4"/>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27">
    <w:nsid w:val="4D807F2F"/>
    <w:multiLevelType w:val="hybridMultilevel"/>
    <w:tmpl w:val="271EF262"/>
    <w:lvl w:ilvl="0" w:tplc="37F29B70">
      <w:start w:val="1"/>
      <w:numFmt w:val="decimal"/>
      <w:lvlText w:val="%1."/>
      <w:lvlJc w:val="left"/>
      <w:pPr>
        <w:ind w:left="944" w:hanging="360"/>
        <w:jc w:val="left"/>
      </w:pPr>
      <w:rPr>
        <w:rFonts w:ascii="Times New Roman" w:eastAsia="Times New Roman" w:hAnsi="Times New Roman" w:cs="Times New Roman" w:hint="default"/>
        <w:spacing w:val="-30"/>
        <w:w w:val="99"/>
        <w:sz w:val="24"/>
        <w:szCs w:val="24"/>
      </w:rPr>
    </w:lvl>
    <w:lvl w:ilvl="1" w:tplc="94420AC6">
      <w:numFmt w:val="bullet"/>
      <w:lvlText w:val="•"/>
      <w:lvlJc w:val="left"/>
      <w:pPr>
        <w:ind w:left="1766" w:hanging="360"/>
      </w:pPr>
      <w:rPr>
        <w:rFonts w:hint="default"/>
      </w:rPr>
    </w:lvl>
    <w:lvl w:ilvl="2" w:tplc="BDEA6E08">
      <w:numFmt w:val="bullet"/>
      <w:lvlText w:val="•"/>
      <w:lvlJc w:val="left"/>
      <w:pPr>
        <w:ind w:left="2592" w:hanging="360"/>
      </w:pPr>
      <w:rPr>
        <w:rFonts w:hint="default"/>
      </w:rPr>
    </w:lvl>
    <w:lvl w:ilvl="3" w:tplc="BF5830E0">
      <w:numFmt w:val="bullet"/>
      <w:lvlText w:val="•"/>
      <w:lvlJc w:val="left"/>
      <w:pPr>
        <w:ind w:left="3418" w:hanging="360"/>
      </w:pPr>
      <w:rPr>
        <w:rFonts w:hint="default"/>
      </w:rPr>
    </w:lvl>
    <w:lvl w:ilvl="4" w:tplc="900A3186">
      <w:numFmt w:val="bullet"/>
      <w:lvlText w:val="•"/>
      <w:lvlJc w:val="left"/>
      <w:pPr>
        <w:ind w:left="4244" w:hanging="360"/>
      </w:pPr>
      <w:rPr>
        <w:rFonts w:hint="default"/>
      </w:rPr>
    </w:lvl>
    <w:lvl w:ilvl="5" w:tplc="4756FE5E">
      <w:numFmt w:val="bullet"/>
      <w:lvlText w:val="•"/>
      <w:lvlJc w:val="left"/>
      <w:pPr>
        <w:ind w:left="5070" w:hanging="360"/>
      </w:pPr>
      <w:rPr>
        <w:rFonts w:hint="default"/>
      </w:rPr>
    </w:lvl>
    <w:lvl w:ilvl="6" w:tplc="06C632A4">
      <w:numFmt w:val="bullet"/>
      <w:lvlText w:val="•"/>
      <w:lvlJc w:val="left"/>
      <w:pPr>
        <w:ind w:left="5896" w:hanging="360"/>
      </w:pPr>
      <w:rPr>
        <w:rFonts w:hint="default"/>
      </w:rPr>
    </w:lvl>
    <w:lvl w:ilvl="7" w:tplc="3F8EC052">
      <w:numFmt w:val="bullet"/>
      <w:lvlText w:val="•"/>
      <w:lvlJc w:val="left"/>
      <w:pPr>
        <w:ind w:left="6722" w:hanging="360"/>
      </w:pPr>
      <w:rPr>
        <w:rFonts w:hint="default"/>
      </w:rPr>
    </w:lvl>
    <w:lvl w:ilvl="8" w:tplc="C3D66A7C">
      <w:numFmt w:val="bullet"/>
      <w:lvlText w:val="•"/>
      <w:lvlJc w:val="left"/>
      <w:pPr>
        <w:ind w:left="7548" w:hanging="360"/>
      </w:pPr>
      <w:rPr>
        <w:rFonts w:hint="default"/>
      </w:rPr>
    </w:lvl>
  </w:abstractNum>
  <w:abstractNum w:abstractNumId="28">
    <w:nsid w:val="4DAA30FE"/>
    <w:multiLevelType w:val="multilevel"/>
    <w:tmpl w:val="00AC2B00"/>
    <w:lvl w:ilvl="0">
      <w:start w:val="2"/>
      <w:numFmt w:val="decimal"/>
      <w:lvlText w:val="%1"/>
      <w:lvlJc w:val="left"/>
      <w:pPr>
        <w:ind w:left="1244" w:hanging="660"/>
        <w:jc w:val="left"/>
      </w:pPr>
      <w:rPr>
        <w:rFonts w:hint="default"/>
      </w:rPr>
    </w:lvl>
    <w:lvl w:ilvl="1">
      <w:start w:val="5"/>
      <w:numFmt w:val="decimal"/>
      <w:lvlText w:val="%1.%2"/>
      <w:lvlJc w:val="left"/>
      <w:pPr>
        <w:ind w:left="1244" w:hanging="660"/>
        <w:jc w:val="left"/>
      </w:pPr>
      <w:rPr>
        <w:rFonts w:hint="default"/>
      </w:rPr>
    </w:lvl>
    <w:lvl w:ilvl="2">
      <w:start w:val="2"/>
      <w:numFmt w:val="decimal"/>
      <w:lvlText w:val="%1.%2.%3"/>
      <w:lvlJc w:val="left"/>
      <w:pPr>
        <w:ind w:left="1244" w:hanging="660"/>
        <w:jc w:val="left"/>
      </w:pPr>
      <w:rPr>
        <w:rFonts w:ascii="Times New Roman" w:eastAsia="Times New Roman" w:hAnsi="Times New Roman" w:cs="Times New Roman" w:hint="default"/>
        <w:b/>
        <w:bCs/>
        <w:spacing w:val="-2"/>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29">
    <w:nsid w:val="56D2039A"/>
    <w:multiLevelType w:val="hybridMultilevel"/>
    <w:tmpl w:val="D81C54C8"/>
    <w:lvl w:ilvl="0" w:tplc="123CE032">
      <w:start w:val="1"/>
      <w:numFmt w:val="decimal"/>
      <w:lvlText w:val="%1."/>
      <w:lvlJc w:val="left"/>
      <w:pPr>
        <w:ind w:left="1304" w:hanging="360"/>
        <w:jc w:val="left"/>
      </w:pPr>
      <w:rPr>
        <w:rFonts w:ascii="Times New Roman" w:eastAsia="Times New Roman" w:hAnsi="Times New Roman" w:cs="Times New Roman" w:hint="default"/>
        <w:spacing w:val="-3"/>
        <w:w w:val="99"/>
        <w:sz w:val="24"/>
        <w:szCs w:val="24"/>
      </w:rPr>
    </w:lvl>
    <w:lvl w:ilvl="1" w:tplc="96DE667C">
      <w:numFmt w:val="bullet"/>
      <w:lvlText w:val="•"/>
      <w:lvlJc w:val="left"/>
      <w:pPr>
        <w:ind w:left="1300" w:hanging="360"/>
      </w:pPr>
      <w:rPr>
        <w:rFonts w:hint="default"/>
      </w:rPr>
    </w:lvl>
    <w:lvl w:ilvl="2" w:tplc="0D62CD4E">
      <w:numFmt w:val="bullet"/>
      <w:lvlText w:val="•"/>
      <w:lvlJc w:val="left"/>
      <w:pPr>
        <w:ind w:left="2177" w:hanging="360"/>
      </w:pPr>
      <w:rPr>
        <w:rFonts w:hint="default"/>
      </w:rPr>
    </w:lvl>
    <w:lvl w:ilvl="3" w:tplc="E0AE1434">
      <w:numFmt w:val="bullet"/>
      <w:lvlText w:val="•"/>
      <w:lvlJc w:val="left"/>
      <w:pPr>
        <w:ind w:left="3055" w:hanging="360"/>
      </w:pPr>
      <w:rPr>
        <w:rFonts w:hint="default"/>
      </w:rPr>
    </w:lvl>
    <w:lvl w:ilvl="4" w:tplc="8D50B29C">
      <w:numFmt w:val="bullet"/>
      <w:lvlText w:val="•"/>
      <w:lvlJc w:val="left"/>
      <w:pPr>
        <w:ind w:left="3933" w:hanging="360"/>
      </w:pPr>
      <w:rPr>
        <w:rFonts w:hint="default"/>
      </w:rPr>
    </w:lvl>
    <w:lvl w:ilvl="5" w:tplc="8CAE5D5A">
      <w:numFmt w:val="bullet"/>
      <w:lvlText w:val="•"/>
      <w:lvlJc w:val="left"/>
      <w:pPr>
        <w:ind w:left="4811" w:hanging="360"/>
      </w:pPr>
      <w:rPr>
        <w:rFonts w:hint="default"/>
      </w:rPr>
    </w:lvl>
    <w:lvl w:ilvl="6" w:tplc="BB985E7E">
      <w:numFmt w:val="bullet"/>
      <w:lvlText w:val="•"/>
      <w:lvlJc w:val="left"/>
      <w:pPr>
        <w:ind w:left="5688" w:hanging="360"/>
      </w:pPr>
      <w:rPr>
        <w:rFonts w:hint="default"/>
      </w:rPr>
    </w:lvl>
    <w:lvl w:ilvl="7" w:tplc="695A0316">
      <w:numFmt w:val="bullet"/>
      <w:lvlText w:val="•"/>
      <w:lvlJc w:val="left"/>
      <w:pPr>
        <w:ind w:left="6566" w:hanging="360"/>
      </w:pPr>
      <w:rPr>
        <w:rFonts w:hint="default"/>
      </w:rPr>
    </w:lvl>
    <w:lvl w:ilvl="8" w:tplc="AA5C0374">
      <w:numFmt w:val="bullet"/>
      <w:lvlText w:val="•"/>
      <w:lvlJc w:val="left"/>
      <w:pPr>
        <w:ind w:left="7444" w:hanging="360"/>
      </w:pPr>
      <w:rPr>
        <w:rFonts w:hint="default"/>
      </w:rPr>
    </w:lvl>
  </w:abstractNum>
  <w:abstractNum w:abstractNumId="30">
    <w:nsid w:val="56ED0E1C"/>
    <w:multiLevelType w:val="multilevel"/>
    <w:tmpl w:val="0B88D00E"/>
    <w:lvl w:ilvl="0">
      <w:start w:val="4"/>
      <w:numFmt w:val="decimal"/>
      <w:lvlText w:val="%1"/>
      <w:lvlJc w:val="left"/>
      <w:pPr>
        <w:ind w:left="2115" w:hanging="452"/>
        <w:jc w:val="left"/>
      </w:pPr>
      <w:rPr>
        <w:rFonts w:hint="default"/>
      </w:rPr>
    </w:lvl>
    <w:lvl w:ilvl="1">
      <w:start w:val="1"/>
      <w:numFmt w:val="decimal"/>
      <w:lvlText w:val="%1.%2"/>
      <w:lvlJc w:val="left"/>
      <w:pPr>
        <w:ind w:left="2115" w:hanging="452"/>
        <w:jc w:val="left"/>
      </w:pPr>
      <w:rPr>
        <w:rFonts w:ascii="Times New Roman" w:eastAsia="Times New Roman" w:hAnsi="Times New Roman" w:cs="Times New Roman" w:hint="default"/>
        <w:spacing w:val="-29"/>
        <w:w w:val="99"/>
        <w:sz w:val="24"/>
        <w:szCs w:val="24"/>
      </w:rPr>
    </w:lvl>
    <w:lvl w:ilvl="2">
      <w:start w:val="1"/>
      <w:numFmt w:val="decimal"/>
      <w:lvlText w:val="%1.%2.%3"/>
      <w:lvlJc w:val="left"/>
      <w:pPr>
        <w:ind w:left="2655" w:hanging="540"/>
        <w:jc w:val="left"/>
      </w:pPr>
      <w:rPr>
        <w:rFonts w:ascii="Times New Roman" w:eastAsia="Times New Roman" w:hAnsi="Times New Roman" w:cs="Times New Roman" w:hint="default"/>
        <w:spacing w:val="-3"/>
        <w:w w:val="99"/>
        <w:sz w:val="24"/>
        <w:szCs w:val="24"/>
      </w:rPr>
    </w:lvl>
    <w:lvl w:ilvl="3">
      <w:numFmt w:val="bullet"/>
      <w:lvlText w:val="•"/>
      <w:lvlJc w:val="left"/>
      <w:pPr>
        <w:ind w:left="4108" w:hanging="540"/>
      </w:pPr>
      <w:rPr>
        <w:rFonts w:hint="default"/>
      </w:rPr>
    </w:lvl>
    <w:lvl w:ilvl="4">
      <w:numFmt w:val="bullet"/>
      <w:lvlText w:val="•"/>
      <w:lvlJc w:val="left"/>
      <w:pPr>
        <w:ind w:left="4833" w:hanging="540"/>
      </w:pPr>
      <w:rPr>
        <w:rFonts w:hint="default"/>
      </w:rPr>
    </w:lvl>
    <w:lvl w:ilvl="5">
      <w:numFmt w:val="bullet"/>
      <w:lvlText w:val="•"/>
      <w:lvlJc w:val="left"/>
      <w:pPr>
        <w:ind w:left="5557" w:hanging="540"/>
      </w:pPr>
      <w:rPr>
        <w:rFonts w:hint="default"/>
      </w:rPr>
    </w:lvl>
    <w:lvl w:ilvl="6">
      <w:numFmt w:val="bullet"/>
      <w:lvlText w:val="•"/>
      <w:lvlJc w:val="left"/>
      <w:pPr>
        <w:ind w:left="6282" w:hanging="540"/>
      </w:pPr>
      <w:rPr>
        <w:rFonts w:hint="default"/>
      </w:rPr>
    </w:lvl>
    <w:lvl w:ilvl="7">
      <w:numFmt w:val="bullet"/>
      <w:lvlText w:val="•"/>
      <w:lvlJc w:val="left"/>
      <w:pPr>
        <w:ind w:left="7006" w:hanging="540"/>
      </w:pPr>
      <w:rPr>
        <w:rFonts w:hint="default"/>
      </w:rPr>
    </w:lvl>
    <w:lvl w:ilvl="8">
      <w:numFmt w:val="bullet"/>
      <w:lvlText w:val="•"/>
      <w:lvlJc w:val="left"/>
      <w:pPr>
        <w:ind w:left="7731" w:hanging="540"/>
      </w:pPr>
      <w:rPr>
        <w:rFonts w:hint="default"/>
      </w:rPr>
    </w:lvl>
  </w:abstractNum>
  <w:abstractNum w:abstractNumId="31">
    <w:nsid w:val="57C84D8C"/>
    <w:multiLevelType w:val="multilevel"/>
    <w:tmpl w:val="517EC93E"/>
    <w:lvl w:ilvl="0">
      <w:start w:val="2"/>
      <w:numFmt w:val="decimal"/>
      <w:lvlText w:val="%1"/>
      <w:lvlJc w:val="left"/>
      <w:pPr>
        <w:ind w:left="1244" w:hanging="660"/>
        <w:jc w:val="left"/>
      </w:pPr>
      <w:rPr>
        <w:rFonts w:hint="default"/>
      </w:rPr>
    </w:lvl>
    <w:lvl w:ilvl="1">
      <w:start w:val="2"/>
      <w:numFmt w:val="decimal"/>
      <w:lvlText w:val="%1.%2"/>
      <w:lvlJc w:val="left"/>
      <w:pPr>
        <w:ind w:left="1244" w:hanging="660"/>
        <w:jc w:val="left"/>
      </w:pPr>
      <w:rPr>
        <w:rFonts w:hint="default"/>
      </w:rPr>
    </w:lvl>
    <w:lvl w:ilvl="2">
      <w:start w:val="2"/>
      <w:numFmt w:val="decimal"/>
      <w:lvlText w:val="%1.%2.%3"/>
      <w:lvlJc w:val="left"/>
      <w:pPr>
        <w:ind w:left="1244" w:hanging="660"/>
        <w:jc w:val="left"/>
      </w:pPr>
      <w:rPr>
        <w:rFonts w:ascii="Times New Roman" w:eastAsia="Times New Roman" w:hAnsi="Times New Roman" w:cs="Times New Roman" w:hint="default"/>
        <w:b/>
        <w:bCs/>
        <w:spacing w:val="-4"/>
        <w:w w:val="99"/>
        <w:sz w:val="24"/>
        <w:szCs w:val="24"/>
      </w:rPr>
    </w:lvl>
    <w:lvl w:ilvl="3">
      <w:numFmt w:val="bullet"/>
      <w:lvlText w:val="•"/>
      <w:lvlJc w:val="left"/>
      <w:pPr>
        <w:ind w:left="3628" w:hanging="660"/>
      </w:pPr>
      <w:rPr>
        <w:rFonts w:hint="default"/>
      </w:rPr>
    </w:lvl>
    <w:lvl w:ilvl="4">
      <w:numFmt w:val="bullet"/>
      <w:lvlText w:val="•"/>
      <w:lvlJc w:val="left"/>
      <w:pPr>
        <w:ind w:left="4424" w:hanging="660"/>
      </w:pPr>
      <w:rPr>
        <w:rFonts w:hint="default"/>
      </w:rPr>
    </w:lvl>
    <w:lvl w:ilvl="5">
      <w:numFmt w:val="bullet"/>
      <w:lvlText w:val="•"/>
      <w:lvlJc w:val="left"/>
      <w:pPr>
        <w:ind w:left="5220" w:hanging="660"/>
      </w:pPr>
      <w:rPr>
        <w:rFonts w:hint="default"/>
      </w:rPr>
    </w:lvl>
    <w:lvl w:ilvl="6">
      <w:numFmt w:val="bullet"/>
      <w:lvlText w:val="•"/>
      <w:lvlJc w:val="left"/>
      <w:pPr>
        <w:ind w:left="6016" w:hanging="660"/>
      </w:pPr>
      <w:rPr>
        <w:rFonts w:hint="default"/>
      </w:rPr>
    </w:lvl>
    <w:lvl w:ilvl="7">
      <w:numFmt w:val="bullet"/>
      <w:lvlText w:val="•"/>
      <w:lvlJc w:val="left"/>
      <w:pPr>
        <w:ind w:left="6812" w:hanging="660"/>
      </w:pPr>
      <w:rPr>
        <w:rFonts w:hint="default"/>
      </w:rPr>
    </w:lvl>
    <w:lvl w:ilvl="8">
      <w:numFmt w:val="bullet"/>
      <w:lvlText w:val="•"/>
      <w:lvlJc w:val="left"/>
      <w:pPr>
        <w:ind w:left="7608" w:hanging="660"/>
      </w:pPr>
      <w:rPr>
        <w:rFonts w:hint="default"/>
      </w:rPr>
    </w:lvl>
  </w:abstractNum>
  <w:abstractNum w:abstractNumId="32">
    <w:nsid w:val="589B0C0F"/>
    <w:multiLevelType w:val="multilevel"/>
    <w:tmpl w:val="D79AF1B6"/>
    <w:lvl w:ilvl="0">
      <w:start w:val="2"/>
      <w:numFmt w:val="decimal"/>
      <w:lvlText w:val="%1"/>
      <w:lvlJc w:val="left"/>
      <w:pPr>
        <w:ind w:left="1064" w:hanging="480"/>
        <w:jc w:val="left"/>
      </w:pPr>
      <w:rPr>
        <w:rFonts w:hint="default"/>
      </w:rPr>
    </w:lvl>
    <w:lvl w:ilvl="1">
      <w:start w:val="2"/>
      <w:numFmt w:val="decimal"/>
      <w:lvlText w:val="%1.%2"/>
      <w:lvlJc w:val="left"/>
      <w:pPr>
        <w:ind w:left="1064" w:hanging="480"/>
        <w:jc w:val="left"/>
      </w:pPr>
      <w:rPr>
        <w:rFonts w:ascii="Times New Roman" w:eastAsia="Times New Roman" w:hAnsi="Times New Roman" w:cs="Times New Roman" w:hint="default"/>
        <w:b/>
        <w:bCs/>
        <w:spacing w:val="-4"/>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2287" w:hanging="360"/>
      </w:pPr>
      <w:rPr>
        <w:rFonts w:hint="default"/>
      </w:rPr>
    </w:lvl>
    <w:lvl w:ilvl="4">
      <w:numFmt w:val="bullet"/>
      <w:lvlText w:val="•"/>
      <w:lvlJc w:val="left"/>
      <w:pPr>
        <w:ind w:left="3275" w:hanging="360"/>
      </w:pPr>
      <w:rPr>
        <w:rFonts w:hint="default"/>
      </w:rPr>
    </w:lvl>
    <w:lvl w:ilvl="5">
      <w:numFmt w:val="bullet"/>
      <w:lvlText w:val="•"/>
      <w:lvlJc w:val="left"/>
      <w:pPr>
        <w:ind w:left="4262" w:hanging="360"/>
      </w:pPr>
      <w:rPr>
        <w:rFonts w:hint="default"/>
      </w:rPr>
    </w:lvl>
    <w:lvl w:ilvl="6">
      <w:numFmt w:val="bullet"/>
      <w:lvlText w:val="•"/>
      <w:lvlJc w:val="left"/>
      <w:pPr>
        <w:ind w:left="5250" w:hanging="360"/>
      </w:pPr>
      <w:rPr>
        <w:rFonts w:hint="default"/>
      </w:rPr>
    </w:lvl>
    <w:lvl w:ilvl="7">
      <w:numFmt w:val="bullet"/>
      <w:lvlText w:val="•"/>
      <w:lvlJc w:val="left"/>
      <w:pPr>
        <w:ind w:left="6237" w:hanging="360"/>
      </w:pPr>
      <w:rPr>
        <w:rFonts w:hint="default"/>
      </w:rPr>
    </w:lvl>
    <w:lvl w:ilvl="8">
      <w:numFmt w:val="bullet"/>
      <w:lvlText w:val="•"/>
      <w:lvlJc w:val="left"/>
      <w:pPr>
        <w:ind w:left="7225" w:hanging="360"/>
      </w:pPr>
      <w:rPr>
        <w:rFonts w:hint="default"/>
      </w:rPr>
    </w:lvl>
  </w:abstractNum>
  <w:abstractNum w:abstractNumId="33">
    <w:nsid w:val="5AF0704F"/>
    <w:multiLevelType w:val="hybridMultilevel"/>
    <w:tmpl w:val="CC845B5E"/>
    <w:lvl w:ilvl="0" w:tplc="BC28FC4A">
      <w:numFmt w:val="bullet"/>
      <w:lvlText w:val=""/>
      <w:lvlJc w:val="left"/>
      <w:pPr>
        <w:ind w:left="336" w:hanging="207"/>
      </w:pPr>
      <w:rPr>
        <w:rFonts w:ascii="Wingdings" w:eastAsia="Wingdings" w:hAnsi="Wingdings" w:cs="Wingdings" w:hint="default"/>
        <w:w w:val="99"/>
        <w:sz w:val="20"/>
        <w:szCs w:val="20"/>
      </w:rPr>
    </w:lvl>
    <w:lvl w:ilvl="1" w:tplc="5C2EC89A">
      <w:numFmt w:val="bullet"/>
      <w:lvlText w:val="•"/>
      <w:lvlJc w:val="left"/>
      <w:pPr>
        <w:ind w:left="740" w:hanging="207"/>
      </w:pPr>
      <w:rPr>
        <w:rFonts w:hint="default"/>
      </w:rPr>
    </w:lvl>
    <w:lvl w:ilvl="2" w:tplc="5B08A974">
      <w:numFmt w:val="bullet"/>
      <w:lvlText w:val="•"/>
      <w:lvlJc w:val="left"/>
      <w:pPr>
        <w:ind w:left="1141" w:hanging="207"/>
      </w:pPr>
      <w:rPr>
        <w:rFonts w:hint="default"/>
      </w:rPr>
    </w:lvl>
    <w:lvl w:ilvl="3" w:tplc="59569226">
      <w:numFmt w:val="bullet"/>
      <w:lvlText w:val="•"/>
      <w:lvlJc w:val="left"/>
      <w:pPr>
        <w:ind w:left="1542" w:hanging="207"/>
      </w:pPr>
      <w:rPr>
        <w:rFonts w:hint="default"/>
      </w:rPr>
    </w:lvl>
    <w:lvl w:ilvl="4" w:tplc="4A18F548">
      <w:numFmt w:val="bullet"/>
      <w:lvlText w:val="•"/>
      <w:lvlJc w:val="left"/>
      <w:pPr>
        <w:ind w:left="1942" w:hanging="207"/>
      </w:pPr>
      <w:rPr>
        <w:rFonts w:hint="default"/>
      </w:rPr>
    </w:lvl>
    <w:lvl w:ilvl="5" w:tplc="5A724720">
      <w:numFmt w:val="bullet"/>
      <w:lvlText w:val="•"/>
      <w:lvlJc w:val="left"/>
      <w:pPr>
        <w:ind w:left="2343" w:hanging="207"/>
      </w:pPr>
      <w:rPr>
        <w:rFonts w:hint="default"/>
      </w:rPr>
    </w:lvl>
    <w:lvl w:ilvl="6" w:tplc="0F6C1486">
      <w:numFmt w:val="bullet"/>
      <w:lvlText w:val="•"/>
      <w:lvlJc w:val="left"/>
      <w:pPr>
        <w:ind w:left="2744" w:hanging="207"/>
      </w:pPr>
      <w:rPr>
        <w:rFonts w:hint="default"/>
      </w:rPr>
    </w:lvl>
    <w:lvl w:ilvl="7" w:tplc="E03C041A">
      <w:numFmt w:val="bullet"/>
      <w:lvlText w:val="•"/>
      <w:lvlJc w:val="left"/>
      <w:pPr>
        <w:ind w:left="3144" w:hanging="207"/>
      </w:pPr>
      <w:rPr>
        <w:rFonts w:hint="default"/>
      </w:rPr>
    </w:lvl>
    <w:lvl w:ilvl="8" w:tplc="A1B2A96A">
      <w:numFmt w:val="bullet"/>
      <w:lvlText w:val="•"/>
      <w:lvlJc w:val="left"/>
      <w:pPr>
        <w:ind w:left="3545" w:hanging="207"/>
      </w:pPr>
      <w:rPr>
        <w:rFonts w:hint="default"/>
      </w:rPr>
    </w:lvl>
  </w:abstractNum>
  <w:abstractNum w:abstractNumId="34">
    <w:nsid w:val="5D746476"/>
    <w:multiLevelType w:val="hybridMultilevel"/>
    <w:tmpl w:val="A8D809BA"/>
    <w:lvl w:ilvl="0" w:tplc="A50E9344">
      <w:start w:val="1"/>
      <w:numFmt w:val="lowerLetter"/>
      <w:lvlText w:val="%1)"/>
      <w:lvlJc w:val="left"/>
      <w:pPr>
        <w:ind w:left="838" w:hanging="255"/>
        <w:jc w:val="left"/>
      </w:pPr>
      <w:rPr>
        <w:rFonts w:ascii="Times New Roman" w:eastAsia="Times New Roman" w:hAnsi="Times New Roman" w:cs="Times New Roman" w:hint="default"/>
        <w:spacing w:val="-1"/>
        <w:w w:val="100"/>
        <w:sz w:val="24"/>
        <w:szCs w:val="24"/>
      </w:rPr>
    </w:lvl>
    <w:lvl w:ilvl="1" w:tplc="14320EE8">
      <w:numFmt w:val="bullet"/>
      <w:lvlText w:val="•"/>
      <w:lvlJc w:val="left"/>
      <w:pPr>
        <w:ind w:left="1676" w:hanging="255"/>
      </w:pPr>
      <w:rPr>
        <w:rFonts w:hint="default"/>
      </w:rPr>
    </w:lvl>
    <w:lvl w:ilvl="2" w:tplc="5DEA6AF6">
      <w:numFmt w:val="bullet"/>
      <w:lvlText w:val="•"/>
      <w:lvlJc w:val="left"/>
      <w:pPr>
        <w:ind w:left="2512" w:hanging="255"/>
      </w:pPr>
      <w:rPr>
        <w:rFonts w:hint="default"/>
      </w:rPr>
    </w:lvl>
    <w:lvl w:ilvl="3" w:tplc="C89A3440">
      <w:numFmt w:val="bullet"/>
      <w:lvlText w:val="•"/>
      <w:lvlJc w:val="left"/>
      <w:pPr>
        <w:ind w:left="3348" w:hanging="255"/>
      </w:pPr>
      <w:rPr>
        <w:rFonts w:hint="default"/>
      </w:rPr>
    </w:lvl>
    <w:lvl w:ilvl="4" w:tplc="06729576">
      <w:numFmt w:val="bullet"/>
      <w:lvlText w:val="•"/>
      <w:lvlJc w:val="left"/>
      <w:pPr>
        <w:ind w:left="4184" w:hanging="255"/>
      </w:pPr>
      <w:rPr>
        <w:rFonts w:hint="default"/>
      </w:rPr>
    </w:lvl>
    <w:lvl w:ilvl="5" w:tplc="44BC54F8">
      <w:numFmt w:val="bullet"/>
      <w:lvlText w:val="•"/>
      <w:lvlJc w:val="left"/>
      <w:pPr>
        <w:ind w:left="5020" w:hanging="255"/>
      </w:pPr>
      <w:rPr>
        <w:rFonts w:hint="default"/>
      </w:rPr>
    </w:lvl>
    <w:lvl w:ilvl="6" w:tplc="1F8EF302">
      <w:numFmt w:val="bullet"/>
      <w:lvlText w:val="•"/>
      <w:lvlJc w:val="left"/>
      <w:pPr>
        <w:ind w:left="5856" w:hanging="255"/>
      </w:pPr>
      <w:rPr>
        <w:rFonts w:hint="default"/>
      </w:rPr>
    </w:lvl>
    <w:lvl w:ilvl="7" w:tplc="32CE77BE">
      <w:numFmt w:val="bullet"/>
      <w:lvlText w:val="•"/>
      <w:lvlJc w:val="left"/>
      <w:pPr>
        <w:ind w:left="6692" w:hanging="255"/>
      </w:pPr>
      <w:rPr>
        <w:rFonts w:hint="default"/>
      </w:rPr>
    </w:lvl>
    <w:lvl w:ilvl="8" w:tplc="2E1C4DF4">
      <w:numFmt w:val="bullet"/>
      <w:lvlText w:val="•"/>
      <w:lvlJc w:val="left"/>
      <w:pPr>
        <w:ind w:left="7528" w:hanging="255"/>
      </w:pPr>
      <w:rPr>
        <w:rFonts w:hint="default"/>
      </w:rPr>
    </w:lvl>
  </w:abstractNum>
  <w:abstractNum w:abstractNumId="35">
    <w:nsid w:val="5E871AAE"/>
    <w:multiLevelType w:val="multilevel"/>
    <w:tmpl w:val="78D02466"/>
    <w:lvl w:ilvl="0">
      <w:start w:val="3"/>
      <w:numFmt w:val="decimal"/>
      <w:lvlText w:val="%1"/>
      <w:lvlJc w:val="left"/>
      <w:pPr>
        <w:ind w:left="1064" w:hanging="480"/>
        <w:jc w:val="left"/>
      </w:pPr>
      <w:rPr>
        <w:rFonts w:hint="default"/>
      </w:rPr>
    </w:lvl>
    <w:lvl w:ilvl="1">
      <w:start w:val="1"/>
      <w:numFmt w:val="decimal"/>
      <w:lvlText w:val="%1.%2"/>
      <w:lvlJc w:val="left"/>
      <w:pPr>
        <w:ind w:left="1064" w:hanging="480"/>
        <w:jc w:val="left"/>
      </w:pPr>
      <w:rPr>
        <w:rFonts w:ascii="Times New Roman" w:eastAsia="Times New Roman" w:hAnsi="Times New Roman" w:cs="Times New Roman" w:hint="default"/>
        <w:b/>
        <w:bCs/>
        <w:spacing w:val="-2"/>
        <w:w w:val="100"/>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36">
    <w:nsid w:val="6073771D"/>
    <w:multiLevelType w:val="hybridMultilevel"/>
    <w:tmpl w:val="E910AB3C"/>
    <w:lvl w:ilvl="0" w:tplc="B6905F62">
      <w:start w:val="1"/>
      <w:numFmt w:val="lowerLetter"/>
      <w:lvlText w:val="%1)"/>
      <w:lvlJc w:val="left"/>
      <w:pPr>
        <w:ind w:left="1304" w:hanging="360"/>
        <w:jc w:val="left"/>
      </w:pPr>
      <w:rPr>
        <w:rFonts w:ascii="Times New Roman" w:eastAsia="Times New Roman" w:hAnsi="Times New Roman" w:cs="Times New Roman" w:hint="default"/>
        <w:spacing w:val="-6"/>
        <w:w w:val="99"/>
        <w:sz w:val="24"/>
        <w:szCs w:val="24"/>
      </w:rPr>
    </w:lvl>
    <w:lvl w:ilvl="1" w:tplc="C204BE50">
      <w:start w:val="1"/>
      <w:numFmt w:val="decimal"/>
      <w:lvlText w:val="%2)"/>
      <w:lvlJc w:val="left"/>
      <w:pPr>
        <w:ind w:left="1304" w:hanging="360"/>
        <w:jc w:val="left"/>
      </w:pPr>
      <w:rPr>
        <w:rFonts w:ascii="Times New Roman" w:eastAsia="Times New Roman" w:hAnsi="Times New Roman" w:cs="Times New Roman" w:hint="default"/>
        <w:spacing w:val="-20"/>
        <w:w w:val="99"/>
        <w:sz w:val="24"/>
        <w:szCs w:val="24"/>
      </w:rPr>
    </w:lvl>
    <w:lvl w:ilvl="2" w:tplc="7ECE34CA">
      <w:start w:val="1"/>
      <w:numFmt w:val="lowerLetter"/>
      <w:lvlText w:val="%3)"/>
      <w:lvlJc w:val="left"/>
      <w:pPr>
        <w:ind w:left="1304" w:hanging="360"/>
        <w:jc w:val="left"/>
      </w:pPr>
      <w:rPr>
        <w:rFonts w:ascii="Times New Roman" w:eastAsia="Times New Roman" w:hAnsi="Times New Roman" w:cs="Times New Roman" w:hint="default"/>
        <w:spacing w:val="-6"/>
        <w:w w:val="99"/>
        <w:sz w:val="24"/>
        <w:szCs w:val="24"/>
      </w:rPr>
    </w:lvl>
    <w:lvl w:ilvl="3" w:tplc="77FA48F2">
      <w:numFmt w:val="bullet"/>
      <w:lvlText w:val="•"/>
      <w:lvlJc w:val="left"/>
      <w:pPr>
        <w:ind w:left="3670" w:hanging="360"/>
      </w:pPr>
      <w:rPr>
        <w:rFonts w:hint="default"/>
      </w:rPr>
    </w:lvl>
    <w:lvl w:ilvl="4" w:tplc="C360D7A8">
      <w:numFmt w:val="bullet"/>
      <w:lvlText w:val="•"/>
      <w:lvlJc w:val="left"/>
      <w:pPr>
        <w:ind w:left="4460" w:hanging="360"/>
      </w:pPr>
      <w:rPr>
        <w:rFonts w:hint="default"/>
      </w:rPr>
    </w:lvl>
    <w:lvl w:ilvl="5" w:tplc="CD2E08DC">
      <w:numFmt w:val="bullet"/>
      <w:lvlText w:val="•"/>
      <w:lvlJc w:val="left"/>
      <w:pPr>
        <w:ind w:left="5250" w:hanging="360"/>
      </w:pPr>
      <w:rPr>
        <w:rFonts w:hint="default"/>
      </w:rPr>
    </w:lvl>
    <w:lvl w:ilvl="6" w:tplc="57F4C300">
      <w:numFmt w:val="bullet"/>
      <w:lvlText w:val="•"/>
      <w:lvlJc w:val="left"/>
      <w:pPr>
        <w:ind w:left="6040" w:hanging="360"/>
      </w:pPr>
      <w:rPr>
        <w:rFonts w:hint="default"/>
      </w:rPr>
    </w:lvl>
    <w:lvl w:ilvl="7" w:tplc="769E13DA">
      <w:numFmt w:val="bullet"/>
      <w:lvlText w:val="•"/>
      <w:lvlJc w:val="left"/>
      <w:pPr>
        <w:ind w:left="6830" w:hanging="360"/>
      </w:pPr>
      <w:rPr>
        <w:rFonts w:hint="default"/>
      </w:rPr>
    </w:lvl>
    <w:lvl w:ilvl="8" w:tplc="08EE10D8">
      <w:numFmt w:val="bullet"/>
      <w:lvlText w:val="•"/>
      <w:lvlJc w:val="left"/>
      <w:pPr>
        <w:ind w:left="7620" w:hanging="360"/>
      </w:pPr>
      <w:rPr>
        <w:rFonts w:hint="default"/>
      </w:rPr>
    </w:lvl>
  </w:abstractNum>
  <w:abstractNum w:abstractNumId="37">
    <w:nsid w:val="60EB6B30"/>
    <w:multiLevelType w:val="multilevel"/>
    <w:tmpl w:val="E286E20E"/>
    <w:lvl w:ilvl="0">
      <w:start w:val="1"/>
      <w:numFmt w:val="decimal"/>
      <w:lvlText w:val="%1"/>
      <w:lvlJc w:val="left"/>
      <w:pPr>
        <w:ind w:left="584" w:hanging="389"/>
        <w:jc w:val="left"/>
      </w:pPr>
      <w:rPr>
        <w:rFonts w:hint="default"/>
      </w:rPr>
    </w:lvl>
    <w:lvl w:ilvl="1">
      <w:start w:val="8"/>
      <w:numFmt w:val="decimal"/>
      <w:lvlText w:val="%1.%2"/>
      <w:lvlJc w:val="left"/>
      <w:pPr>
        <w:ind w:left="584" w:hanging="389"/>
        <w:jc w:val="left"/>
      </w:pPr>
      <w:rPr>
        <w:rFonts w:ascii="Times New Roman" w:eastAsia="Times New Roman" w:hAnsi="Times New Roman" w:cs="Times New Roman" w:hint="default"/>
        <w:w w:val="100"/>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38">
    <w:nsid w:val="65B75786"/>
    <w:multiLevelType w:val="hybridMultilevel"/>
    <w:tmpl w:val="FB767F18"/>
    <w:lvl w:ilvl="0" w:tplc="33A6F654">
      <w:numFmt w:val="bullet"/>
      <w:lvlText w:val=""/>
      <w:lvlJc w:val="left"/>
      <w:pPr>
        <w:ind w:left="1304" w:hanging="360"/>
      </w:pPr>
      <w:rPr>
        <w:rFonts w:hint="default"/>
        <w:w w:val="100"/>
      </w:rPr>
    </w:lvl>
    <w:lvl w:ilvl="1" w:tplc="942CBEEE">
      <w:numFmt w:val="bullet"/>
      <w:lvlText w:val="•"/>
      <w:lvlJc w:val="left"/>
      <w:pPr>
        <w:ind w:left="2090" w:hanging="360"/>
      </w:pPr>
      <w:rPr>
        <w:rFonts w:hint="default"/>
      </w:rPr>
    </w:lvl>
    <w:lvl w:ilvl="2" w:tplc="5462C42A">
      <w:numFmt w:val="bullet"/>
      <w:lvlText w:val="•"/>
      <w:lvlJc w:val="left"/>
      <w:pPr>
        <w:ind w:left="2880" w:hanging="360"/>
      </w:pPr>
      <w:rPr>
        <w:rFonts w:hint="default"/>
      </w:rPr>
    </w:lvl>
    <w:lvl w:ilvl="3" w:tplc="0C90415E">
      <w:numFmt w:val="bullet"/>
      <w:lvlText w:val="•"/>
      <w:lvlJc w:val="left"/>
      <w:pPr>
        <w:ind w:left="3670" w:hanging="360"/>
      </w:pPr>
      <w:rPr>
        <w:rFonts w:hint="default"/>
      </w:rPr>
    </w:lvl>
    <w:lvl w:ilvl="4" w:tplc="3B78E052">
      <w:numFmt w:val="bullet"/>
      <w:lvlText w:val="•"/>
      <w:lvlJc w:val="left"/>
      <w:pPr>
        <w:ind w:left="4460" w:hanging="360"/>
      </w:pPr>
      <w:rPr>
        <w:rFonts w:hint="default"/>
      </w:rPr>
    </w:lvl>
    <w:lvl w:ilvl="5" w:tplc="3A8EBB36">
      <w:numFmt w:val="bullet"/>
      <w:lvlText w:val="•"/>
      <w:lvlJc w:val="left"/>
      <w:pPr>
        <w:ind w:left="5250" w:hanging="360"/>
      </w:pPr>
      <w:rPr>
        <w:rFonts w:hint="default"/>
      </w:rPr>
    </w:lvl>
    <w:lvl w:ilvl="6" w:tplc="B6348754">
      <w:numFmt w:val="bullet"/>
      <w:lvlText w:val="•"/>
      <w:lvlJc w:val="left"/>
      <w:pPr>
        <w:ind w:left="6040" w:hanging="360"/>
      </w:pPr>
      <w:rPr>
        <w:rFonts w:hint="default"/>
      </w:rPr>
    </w:lvl>
    <w:lvl w:ilvl="7" w:tplc="0A8616FE">
      <w:numFmt w:val="bullet"/>
      <w:lvlText w:val="•"/>
      <w:lvlJc w:val="left"/>
      <w:pPr>
        <w:ind w:left="6830" w:hanging="360"/>
      </w:pPr>
      <w:rPr>
        <w:rFonts w:hint="default"/>
      </w:rPr>
    </w:lvl>
    <w:lvl w:ilvl="8" w:tplc="671C0F04">
      <w:numFmt w:val="bullet"/>
      <w:lvlText w:val="•"/>
      <w:lvlJc w:val="left"/>
      <w:pPr>
        <w:ind w:left="7620" w:hanging="360"/>
      </w:pPr>
      <w:rPr>
        <w:rFonts w:hint="default"/>
      </w:rPr>
    </w:lvl>
  </w:abstractNum>
  <w:abstractNum w:abstractNumId="39">
    <w:nsid w:val="67E1610C"/>
    <w:multiLevelType w:val="multilevel"/>
    <w:tmpl w:val="B874CFC0"/>
    <w:lvl w:ilvl="0">
      <w:start w:val="1"/>
      <w:numFmt w:val="decimal"/>
      <w:lvlText w:val="%1"/>
      <w:lvlJc w:val="left"/>
      <w:pPr>
        <w:ind w:left="1064" w:hanging="480"/>
        <w:jc w:val="left"/>
      </w:pPr>
      <w:rPr>
        <w:rFonts w:hint="default"/>
      </w:rPr>
    </w:lvl>
    <w:lvl w:ilvl="1">
      <w:start w:val="1"/>
      <w:numFmt w:val="decimal"/>
      <w:lvlText w:val="%1.%2"/>
      <w:lvlJc w:val="left"/>
      <w:pPr>
        <w:ind w:left="1064" w:hanging="480"/>
        <w:jc w:val="left"/>
      </w:pPr>
      <w:rPr>
        <w:rFonts w:ascii="Times New Roman" w:eastAsia="Times New Roman" w:hAnsi="Times New Roman" w:cs="Times New Roman" w:hint="default"/>
        <w:b/>
        <w:bCs/>
        <w:spacing w:val="-2"/>
        <w:w w:val="99"/>
        <w:sz w:val="24"/>
        <w:szCs w:val="24"/>
      </w:rPr>
    </w:lvl>
    <w:lvl w:ilvl="2">
      <w:numFmt w:val="bullet"/>
      <w:lvlText w:val="•"/>
      <w:lvlJc w:val="left"/>
      <w:pPr>
        <w:ind w:left="2688" w:hanging="480"/>
      </w:pPr>
      <w:rPr>
        <w:rFonts w:hint="default"/>
      </w:rPr>
    </w:lvl>
    <w:lvl w:ilvl="3">
      <w:numFmt w:val="bullet"/>
      <w:lvlText w:val="•"/>
      <w:lvlJc w:val="left"/>
      <w:pPr>
        <w:ind w:left="3502" w:hanging="480"/>
      </w:pPr>
      <w:rPr>
        <w:rFonts w:hint="default"/>
      </w:rPr>
    </w:lvl>
    <w:lvl w:ilvl="4">
      <w:numFmt w:val="bullet"/>
      <w:lvlText w:val="•"/>
      <w:lvlJc w:val="left"/>
      <w:pPr>
        <w:ind w:left="4316" w:hanging="480"/>
      </w:pPr>
      <w:rPr>
        <w:rFonts w:hint="default"/>
      </w:rPr>
    </w:lvl>
    <w:lvl w:ilvl="5">
      <w:numFmt w:val="bullet"/>
      <w:lvlText w:val="•"/>
      <w:lvlJc w:val="left"/>
      <w:pPr>
        <w:ind w:left="5130" w:hanging="480"/>
      </w:pPr>
      <w:rPr>
        <w:rFonts w:hint="default"/>
      </w:rPr>
    </w:lvl>
    <w:lvl w:ilvl="6">
      <w:numFmt w:val="bullet"/>
      <w:lvlText w:val="•"/>
      <w:lvlJc w:val="left"/>
      <w:pPr>
        <w:ind w:left="5944" w:hanging="480"/>
      </w:pPr>
      <w:rPr>
        <w:rFonts w:hint="default"/>
      </w:rPr>
    </w:lvl>
    <w:lvl w:ilvl="7">
      <w:numFmt w:val="bullet"/>
      <w:lvlText w:val="•"/>
      <w:lvlJc w:val="left"/>
      <w:pPr>
        <w:ind w:left="6758" w:hanging="480"/>
      </w:pPr>
      <w:rPr>
        <w:rFonts w:hint="default"/>
      </w:rPr>
    </w:lvl>
    <w:lvl w:ilvl="8">
      <w:numFmt w:val="bullet"/>
      <w:lvlText w:val="•"/>
      <w:lvlJc w:val="left"/>
      <w:pPr>
        <w:ind w:left="7572" w:hanging="480"/>
      </w:pPr>
      <w:rPr>
        <w:rFonts w:hint="default"/>
      </w:rPr>
    </w:lvl>
  </w:abstractNum>
  <w:abstractNum w:abstractNumId="40">
    <w:nsid w:val="6A5E5D3A"/>
    <w:multiLevelType w:val="multilevel"/>
    <w:tmpl w:val="B65685C4"/>
    <w:lvl w:ilvl="0">
      <w:start w:val="63"/>
      <w:numFmt w:val="decimal"/>
      <w:lvlText w:val="%1"/>
      <w:lvlJc w:val="left"/>
      <w:pPr>
        <w:ind w:left="584" w:hanging="511"/>
        <w:jc w:val="left"/>
      </w:pPr>
      <w:rPr>
        <w:rFonts w:hint="default"/>
      </w:rPr>
    </w:lvl>
    <w:lvl w:ilvl="1">
      <w:start w:val="3"/>
      <w:numFmt w:val="decimal"/>
      <w:lvlText w:val="%1.%2"/>
      <w:lvlJc w:val="left"/>
      <w:pPr>
        <w:ind w:left="584" w:hanging="511"/>
        <w:jc w:val="left"/>
      </w:pPr>
      <w:rPr>
        <w:rFonts w:ascii="Times New Roman" w:eastAsia="Times New Roman" w:hAnsi="Times New Roman" w:cs="Times New Roman" w:hint="default"/>
        <w:spacing w:val="-30"/>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41">
    <w:nsid w:val="6B02081B"/>
    <w:multiLevelType w:val="hybridMultilevel"/>
    <w:tmpl w:val="334EA3AE"/>
    <w:lvl w:ilvl="0" w:tplc="F0E4E6D4">
      <w:numFmt w:val="bullet"/>
      <w:lvlText w:val=""/>
      <w:lvlJc w:val="left"/>
      <w:pPr>
        <w:ind w:left="1304" w:hanging="360"/>
      </w:pPr>
      <w:rPr>
        <w:rFonts w:ascii="Symbol" w:eastAsia="Symbol" w:hAnsi="Symbol" w:cs="Symbol" w:hint="default"/>
        <w:w w:val="100"/>
        <w:sz w:val="24"/>
        <w:szCs w:val="24"/>
      </w:rPr>
    </w:lvl>
    <w:lvl w:ilvl="1" w:tplc="161ED928">
      <w:numFmt w:val="bullet"/>
      <w:lvlText w:val="•"/>
      <w:lvlJc w:val="left"/>
      <w:pPr>
        <w:ind w:left="2090" w:hanging="360"/>
      </w:pPr>
      <w:rPr>
        <w:rFonts w:hint="default"/>
      </w:rPr>
    </w:lvl>
    <w:lvl w:ilvl="2" w:tplc="7C08D710">
      <w:numFmt w:val="bullet"/>
      <w:lvlText w:val="•"/>
      <w:lvlJc w:val="left"/>
      <w:pPr>
        <w:ind w:left="2880" w:hanging="360"/>
      </w:pPr>
      <w:rPr>
        <w:rFonts w:hint="default"/>
      </w:rPr>
    </w:lvl>
    <w:lvl w:ilvl="3" w:tplc="195A0F3C">
      <w:numFmt w:val="bullet"/>
      <w:lvlText w:val="•"/>
      <w:lvlJc w:val="left"/>
      <w:pPr>
        <w:ind w:left="3670" w:hanging="360"/>
      </w:pPr>
      <w:rPr>
        <w:rFonts w:hint="default"/>
      </w:rPr>
    </w:lvl>
    <w:lvl w:ilvl="4" w:tplc="D430BF60">
      <w:numFmt w:val="bullet"/>
      <w:lvlText w:val="•"/>
      <w:lvlJc w:val="left"/>
      <w:pPr>
        <w:ind w:left="4460" w:hanging="360"/>
      </w:pPr>
      <w:rPr>
        <w:rFonts w:hint="default"/>
      </w:rPr>
    </w:lvl>
    <w:lvl w:ilvl="5" w:tplc="360E0BEC">
      <w:numFmt w:val="bullet"/>
      <w:lvlText w:val="•"/>
      <w:lvlJc w:val="left"/>
      <w:pPr>
        <w:ind w:left="5250" w:hanging="360"/>
      </w:pPr>
      <w:rPr>
        <w:rFonts w:hint="default"/>
      </w:rPr>
    </w:lvl>
    <w:lvl w:ilvl="6" w:tplc="A5CC358A">
      <w:numFmt w:val="bullet"/>
      <w:lvlText w:val="•"/>
      <w:lvlJc w:val="left"/>
      <w:pPr>
        <w:ind w:left="6040" w:hanging="360"/>
      </w:pPr>
      <w:rPr>
        <w:rFonts w:hint="default"/>
      </w:rPr>
    </w:lvl>
    <w:lvl w:ilvl="7" w:tplc="6E24C96E">
      <w:numFmt w:val="bullet"/>
      <w:lvlText w:val="•"/>
      <w:lvlJc w:val="left"/>
      <w:pPr>
        <w:ind w:left="6830" w:hanging="360"/>
      </w:pPr>
      <w:rPr>
        <w:rFonts w:hint="default"/>
      </w:rPr>
    </w:lvl>
    <w:lvl w:ilvl="8" w:tplc="15BE686A">
      <w:numFmt w:val="bullet"/>
      <w:lvlText w:val="•"/>
      <w:lvlJc w:val="left"/>
      <w:pPr>
        <w:ind w:left="7620" w:hanging="360"/>
      </w:pPr>
      <w:rPr>
        <w:rFonts w:hint="default"/>
      </w:rPr>
    </w:lvl>
  </w:abstractNum>
  <w:abstractNum w:abstractNumId="42">
    <w:nsid w:val="6F6079FA"/>
    <w:multiLevelType w:val="hybridMultilevel"/>
    <w:tmpl w:val="8DAA2C04"/>
    <w:lvl w:ilvl="0" w:tplc="04090001">
      <w:start w:val="1"/>
      <w:numFmt w:val="bullet"/>
      <w:lvlText w:val=""/>
      <w:lvlJc w:val="left"/>
      <w:pPr>
        <w:ind w:left="1304" w:hanging="360"/>
      </w:pPr>
      <w:rPr>
        <w:rFonts w:ascii="Symbol" w:hAnsi="Symbol" w:hint="default"/>
        <w:w w:val="100"/>
      </w:rPr>
    </w:lvl>
    <w:lvl w:ilvl="1" w:tplc="942CBEEE">
      <w:numFmt w:val="bullet"/>
      <w:lvlText w:val="•"/>
      <w:lvlJc w:val="left"/>
      <w:pPr>
        <w:ind w:left="2090" w:hanging="360"/>
      </w:pPr>
      <w:rPr>
        <w:rFonts w:hint="default"/>
      </w:rPr>
    </w:lvl>
    <w:lvl w:ilvl="2" w:tplc="5462C42A">
      <w:numFmt w:val="bullet"/>
      <w:lvlText w:val="•"/>
      <w:lvlJc w:val="left"/>
      <w:pPr>
        <w:ind w:left="2880" w:hanging="360"/>
      </w:pPr>
      <w:rPr>
        <w:rFonts w:hint="default"/>
      </w:rPr>
    </w:lvl>
    <w:lvl w:ilvl="3" w:tplc="0C90415E">
      <w:numFmt w:val="bullet"/>
      <w:lvlText w:val="•"/>
      <w:lvlJc w:val="left"/>
      <w:pPr>
        <w:ind w:left="3670" w:hanging="360"/>
      </w:pPr>
      <w:rPr>
        <w:rFonts w:hint="default"/>
      </w:rPr>
    </w:lvl>
    <w:lvl w:ilvl="4" w:tplc="3B78E052">
      <w:numFmt w:val="bullet"/>
      <w:lvlText w:val="•"/>
      <w:lvlJc w:val="left"/>
      <w:pPr>
        <w:ind w:left="4460" w:hanging="360"/>
      </w:pPr>
      <w:rPr>
        <w:rFonts w:hint="default"/>
      </w:rPr>
    </w:lvl>
    <w:lvl w:ilvl="5" w:tplc="3A8EBB36">
      <w:numFmt w:val="bullet"/>
      <w:lvlText w:val="•"/>
      <w:lvlJc w:val="left"/>
      <w:pPr>
        <w:ind w:left="5250" w:hanging="360"/>
      </w:pPr>
      <w:rPr>
        <w:rFonts w:hint="default"/>
      </w:rPr>
    </w:lvl>
    <w:lvl w:ilvl="6" w:tplc="B6348754">
      <w:numFmt w:val="bullet"/>
      <w:lvlText w:val="•"/>
      <w:lvlJc w:val="left"/>
      <w:pPr>
        <w:ind w:left="6040" w:hanging="360"/>
      </w:pPr>
      <w:rPr>
        <w:rFonts w:hint="default"/>
      </w:rPr>
    </w:lvl>
    <w:lvl w:ilvl="7" w:tplc="0A8616FE">
      <w:numFmt w:val="bullet"/>
      <w:lvlText w:val="•"/>
      <w:lvlJc w:val="left"/>
      <w:pPr>
        <w:ind w:left="6830" w:hanging="360"/>
      </w:pPr>
      <w:rPr>
        <w:rFonts w:hint="default"/>
      </w:rPr>
    </w:lvl>
    <w:lvl w:ilvl="8" w:tplc="671C0F04">
      <w:numFmt w:val="bullet"/>
      <w:lvlText w:val="•"/>
      <w:lvlJc w:val="left"/>
      <w:pPr>
        <w:ind w:left="7620" w:hanging="360"/>
      </w:pPr>
      <w:rPr>
        <w:rFonts w:hint="default"/>
      </w:rPr>
    </w:lvl>
  </w:abstractNum>
  <w:abstractNum w:abstractNumId="43">
    <w:nsid w:val="742A4E5D"/>
    <w:multiLevelType w:val="multilevel"/>
    <w:tmpl w:val="3402A606"/>
    <w:lvl w:ilvl="0">
      <w:start w:val="2"/>
      <w:numFmt w:val="decimal"/>
      <w:lvlText w:val="%1"/>
      <w:lvlJc w:val="left"/>
      <w:pPr>
        <w:ind w:left="2058" w:hanging="480"/>
        <w:jc w:val="left"/>
      </w:pPr>
      <w:rPr>
        <w:rFonts w:hint="default"/>
      </w:rPr>
    </w:lvl>
    <w:lvl w:ilvl="1">
      <w:start w:val="1"/>
      <w:numFmt w:val="decimal"/>
      <w:lvlText w:val="%1.%2"/>
      <w:lvlJc w:val="left"/>
      <w:pPr>
        <w:ind w:left="2115" w:hanging="480"/>
        <w:jc w:val="right"/>
      </w:pPr>
      <w:rPr>
        <w:rFonts w:ascii="Times New Roman" w:eastAsia="Times New Roman" w:hAnsi="Times New Roman" w:cs="Times New Roman" w:hint="default"/>
        <w:spacing w:val="-5"/>
        <w:w w:val="99"/>
        <w:sz w:val="24"/>
        <w:szCs w:val="24"/>
      </w:rPr>
    </w:lvl>
    <w:lvl w:ilvl="2">
      <w:start w:val="1"/>
      <w:numFmt w:val="decimal"/>
      <w:lvlText w:val="%1.%2.%3"/>
      <w:lvlJc w:val="left"/>
      <w:pPr>
        <w:ind w:left="2775" w:hanging="660"/>
        <w:jc w:val="left"/>
      </w:pPr>
      <w:rPr>
        <w:rFonts w:ascii="Times New Roman" w:eastAsia="Times New Roman" w:hAnsi="Times New Roman" w:cs="Times New Roman" w:hint="default"/>
        <w:spacing w:val="-5"/>
        <w:w w:val="99"/>
        <w:sz w:val="24"/>
        <w:szCs w:val="24"/>
      </w:rPr>
    </w:lvl>
    <w:lvl w:ilvl="3">
      <w:numFmt w:val="bullet"/>
      <w:lvlText w:val="•"/>
      <w:lvlJc w:val="left"/>
      <w:pPr>
        <w:ind w:left="3582" w:hanging="660"/>
      </w:pPr>
      <w:rPr>
        <w:rFonts w:hint="default"/>
      </w:rPr>
    </w:lvl>
    <w:lvl w:ilvl="4">
      <w:numFmt w:val="bullet"/>
      <w:lvlText w:val="•"/>
      <w:lvlJc w:val="left"/>
      <w:pPr>
        <w:ind w:left="4385" w:hanging="660"/>
      </w:pPr>
      <w:rPr>
        <w:rFonts w:hint="default"/>
      </w:rPr>
    </w:lvl>
    <w:lvl w:ilvl="5">
      <w:numFmt w:val="bullet"/>
      <w:lvlText w:val="•"/>
      <w:lvlJc w:val="left"/>
      <w:pPr>
        <w:ind w:left="5187" w:hanging="660"/>
      </w:pPr>
      <w:rPr>
        <w:rFonts w:hint="default"/>
      </w:rPr>
    </w:lvl>
    <w:lvl w:ilvl="6">
      <w:numFmt w:val="bullet"/>
      <w:lvlText w:val="•"/>
      <w:lvlJc w:val="left"/>
      <w:pPr>
        <w:ind w:left="5990" w:hanging="660"/>
      </w:pPr>
      <w:rPr>
        <w:rFonts w:hint="default"/>
      </w:rPr>
    </w:lvl>
    <w:lvl w:ilvl="7">
      <w:numFmt w:val="bullet"/>
      <w:lvlText w:val="•"/>
      <w:lvlJc w:val="left"/>
      <w:pPr>
        <w:ind w:left="6792" w:hanging="660"/>
      </w:pPr>
      <w:rPr>
        <w:rFonts w:hint="default"/>
      </w:rPr>
    </w:lvl>
    <w:lvl w:ilvl="8">
      <w:numFmt w:val="bullet"/>
      <w:lvlText w:val="•"/>
      <w:lvlJc w:val="left"/>
      <w:pPr>
        <w:ind w:left="7595" w:hanging="660"/>
      </w:pPr>
      <w:rPr>
        <w:rFonts w:hint="default"/>
      </w:rPr>
    </w:lvl>
  </w:abstractNum>
  <w:abstractNum w:abstractNumId="44">
    <w:nsid w:val="747A4BC8"/>
    <w:multiLevelType w:val="multilevel"/>
    <w:tmpl w:val="E278C522"/>
    <w:lvl w:ilvl="0">
      <w:start w:val="2"/>
      <w:numFmt w:val="decimal"/>
      <w:lvlText w:val="%1"/>
      <w:lvlJc w:val="left"/>
      <w:pPr>
        <w:ind w:left="1064" w:hanging="480"/>
        <w:jc w:val="left"/>
      </w:pPr>
      <w:rPr>
        <w:rFonts w:hint="default"/>
      </w:rPr>
    </w:lvl>
    <w:lvl w:ilvl="1">
      <w:start w:val="3"/>
      <w:numFmt w:val="decimal"/>
      <w:lvlText w:val="%1.%2"/>
      <w:lvlJc w:val="left"/>
      <w:pPr>
        <w:ind w:left="1064" w:hanging="480"/>
        <w:jc w:val="left"/>
      </w:pPr>
      <w:rPr>
        <w:rFonts w:ascii="Times New Roman" w:eastAsia="Times New Roman" w:hAnsi="Times New Roman" w:cs="Times New Roman" w:hint="default"/>
        <w:b/>
        <w:bCs/>
        <w:spacing w:val="-2"/>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2287" w:hanging="360"/>
      </w:pPr>
      <w:rPr>
        <w:rFonts w:hint="default"/>
      </w:rPr>
    </w:lvl>
    <w:lvl w:ilvl="4">
      <w:numFmt w:val="bullet"/>
      <w:lvlText w:val="•"/>
      <w:lvlJc w:val="left"/>
      <w:pPr>
        <w:ind w:left="3275" w:hanging="360"/>
      </w:pPr>
      <w:rPr>
        <w:rFonts w:hint="default"/>
      </w:rPr>
    </w:lvl>
    <w:lvl w:ilvl="5">
      <w:numFmt w:val="bullet"/>
      <w:lvlText w:val="•"/>
      <w:lvlJc w:val="left"/>
      <w:pPr>
        <w:ind w:left="4262" w:hanging="360"/>
      </w:pPr>
      <w:rPr>
        <w:rFonts w:hint="default"/>
      </w:rPr>
    </w:lvl>
    <w:lvl w:ilvl="6">
      <w:numFmt w:val="bullet"/>
      <w:lvlText w:val="•"/>
      <w:lvlJc w:val="left"/>
      <w:pPr>
        <w:ind w:left="5250" w:hanging="360"/>
      </w:pPr>
      <w:rPr>
        <w:rFonts w:hint="default"/>
      </w:rPr>
    </w:lvl>
    <w:lvl w:ilvl="7">
      <w:numFmt w:val="bullet"/>
      <w:lvlText w:val="•"/>
      <w:lvlJc w:val="left"/>
      <w:pPr>
        <w:ind w:left="6237" w:hanging="360"/>
      </w:pPr>
      <w:rPr>
        <w:rFonts w:hint="default"/>
      </w:rPr>
    </w:lvl>
    <w:lvl w:ilvl="8">
      <w:numFmt w:val="bullet"/>
      <w:lvlText w:val="•"/>
      <w:lvlJc w:val="left"/>
      <w:pPr>
        <w:ind w:left="7225" w:hanging="360"/>
      </w:pPr>
      <w:rPr>
        <w:rFonts w:hint="default"/>
      </w:rPr>
    </w:lvl>
  </w:abstractNum>
  <w:abstractNum w:abstractNumId="45">
    <w:nsid w:val="772527E1"/>
    <w:multiLevelType w:val="hybridMultilevel"/>
    <w:tmpl w:val="383A8EE4"/>
    <w:lvl w:ilvl="0" w:tplc="3D58BCEA">
      <w:numFmt w:val="bullet"/>
      <w:lvlText w:val=""/>
      <w:lvlJc w:val="left"/>
      <w:pPr>
        <w:ind w:left="355" w:hanging="207"/>
      </w:pPr>
      <w:rPr>
        <w:rFonts w:ascii="Wingdings" w:eastAsia="Wingdings" w:hAnsi="Wingdings" w:cs="Wingdings" w:hint="default"/>
        <w:w w:val="99"/>
        <w:sz w:val="20"/>
        <w:szCs w:val="20"/>
      </w:rPr>
    </w:lvl>
    <w:lvl w:ilvl="1" w:tplc="DAE4F17A">
      <w:numFmt w:val="bullet"/>
      <w:lvlText w:val="•"/>
      <w:lvlJc w:val="left"/>
      <w:pPr>
        <w:ind w:left="747" w:hanging="207"/>
      </w:pPr>
      <w:rPr>
        <w:rFonts w:hint="default"/>
      </w:rPr>
    </w:lvl>
    <w:lvl w:ilvl="2" w:tplc="81A2AD1A">
      <w:numFmt w:val="bullet"/>
      <w:lvlText w:val="•"/>
      <w:lvlJc w:val="left"/>
      <w:pPr>
        <w:ind w:left="1135" w:hanging="207"/>
      </w:pPr>
      <w:rPr>
        <w:rFonts w:hint="default"/>
      </w:rPr>
    </w:lvl>
    <w:lvl w:ilvl="3" w:tplc="2AD2469A">
      <w:numFmt w:val="bullet"/>
      <w:lvlText w:val="•"/>
      <w:lvlJc w:val="left"/>
      <w:pPr>
        <w:ind w:left="1523" w:hanging="207"/>
      </w:pPr>
      <w:rPr>
        <w:rFonts w:hint="default"/>
      </w:rPr>
    </w:lvl>
    <w:lvl w:ilvl="4" w:tplc="CFC0795C">
      <w:numFmt w:val="bullet"/>
      <w:lvlText w:val="•"/>
      <w:lvlJc w:val="left"/>
      <w:pPr>
        <w:ind w:left="1911" w:hanging="207"/>
      </w:pPr>
      <w:rPr>
        <w:rFonts w:hint="default"/>
      </w:rPr>
    </w:lvl>
    <w:lvl w:ilvl="5" w:tplc="4C20DD00">
      <w:numFmt w:val="bullet"/>
      <w:lvlText w:val="•"/>
      <w:lvlJc w:val="left"/>
      <w:pPr>
        <w:ind w:left="2299" w:hanging="207"/>
      </w:pPr>
      <w:rPr>
        <w:rFonts w:hint="default"/>
      </w:rPr>
    </w:lvl>
    <w:lvl w:ilvl="6" w:tplc="DD604DD6">
      <w:numFmt w:val="bullet"/>
      <w:lvlText w:val="•"/>
      <w:lvlJc w:val="left"/>
      <w:pPr>
        <w:ind w:left="2687" w:hanging="207"/>
      </w:pPr>
      <w:rPr>
        <w:rFonts w:hint="default"/>
      </w:rPr>
    </w:lvl>
    <w:lvl w:ilvl="7" w:tplc="8BB661D4">
      <w:numFmt w:val="bullet"/>
      <w:lvlText w:val="•"/>
      <w:lvlJc w:val="left"/>
      <w:pPr>
        <w:ind w:left="3075" w:hanging="207"/>
      </w:pPr>
      <w:rPr>
        <w:rFonts w:hint="default"/>
      </w:rPr>
    </w:lvl>
    <w:lvl w:ilvl="8" w:tplc="8BD86A66">
      <w:numFmt w:val="bullet"/>
      <w:lvlText w:val="•"/>
      <w:lvlJc w:val="left"/>
      <w:pPr>
        <w:ind w:left="3463" w:hanging="207"/>
      </w:pPr>
      <w:rPr>
        <w:rFonts w:hint="default"/>
      </w:rPr>
    </w:lvl>
  </w:abstractNum>
  <w:abstractNum w:abstractNumId="46">
    <w:nsid w:val="79AD37C2"/>
    <w:multiLevelType w:val="multilevel"/>
    <w:tmpl w:val="2F8C8C16"/>
    <w:lvl w:ilvl="0">
      <w:start w:val="2"/>
      <w:numFmt w:val="decimal"/>
      <w:lvlText w:val="%1"/>
      <w:lvlJc w:val="left"/>
      <w:pPr>
        <w:ind w:left="1064" w:hanging="480"/>
        <w:jc w:val="left"/>
      </w:pPr>
      <w:rPr>
        <w:rFonts w:hint="default"/>
      </w:rPr>
    </w:lvl>
    <w:lvl w:ilvl="1">
      <w:start w:val="6"/>
      <w:numFmt w:val="decimal"/>
      <w:lvlText w:val="%1.%2"/>
      <w:lvlJc w:val="left"/>
      <w:pPr>
        <w:ind w:left="1064" w:hanging="480"/>
        <w:jc w:val="left"/>
      </w:pPr>
      <w:rPr>
        <w:rFonts w:ascii="Times New Roman" w:eastAsia="Times New Roman" w:hAnsi="Times New Roman" w:cs="Times New Roman" w:hint="default"/>
        <w:b/>
        <w:bCs/>
        <w:spacing w:val="-4"/>
        <w:w w:val="99"/>
        <w:sz w:val="24"/>
        <w:szCs w:val="24"/>
      </w:rPr>
    </w:lvl>
    <w:lvl w:ilvl="2">
      <w:numFmt w:val="bullet"/>
      <w:lvlText w:val=""/>
      <w:lvlJc w:val="left"/>
      <w:pPr>
        <w:ind w:left="1304" w:hanging="360"/>
      </w:pPr>
      <w:rPr>
        <w:rFonts w:ascii="Symbol" w:eastAsia="Symbol" w:hAnsi="Symbol" w:cs="Symbol" w:hint="default"/>
        <w:w w:val="100"/>
        <w:sz w:val="24"/>
        <w:szCs w:val="24"/>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47">
    <w:nsid w:val="7A351B09"/>
    <w:multiLevelType w:val="hybridMultilevel"/>
    <w:tmpl w:val="BF0CAC10"/>
    <w:lvl w:ilvl="0" w:tplc="583C500C">
      <w:start w:val="1"/>
      <w:numFmt w:val="lowerLetter"/>
      <w:lvlText w:val="%1."/>
      <w:lvlJc w:val="left"/>
      <w:pPr>
        <w:ind w:left="658" w:hanging="226"/>
        <w:jc w:val="left"/>
      </w:pPr>
      <w:rPr>
        <w:rFonts w:ascii="Times New Roman" w:eastAsia="Times New Roman" w:hAnsi="Times New Roman" w:cs="Times New Roman" w:hint="default"/>
        <w:spacing w:val="-8"/>
        <w:w w:val="99"/>
        <w:sz w:val="24"/>
        <w:szCs w:val="24"/>
      </w:rPr>
    </w:lvl>
    <w:lvl w:ilvl="1" w:tplc="59D23942">
      <w:numFmt w:val="bullet"/>
      <w:lvlText w:val="•"/>
      <w:lvlJc w:val="left"/>
      <w:pPr>
        <w:ind w:left="1512" w:hanging="226"/>
      </w:pPr>
      <w:rPr>
        <w:rFonts w:hint="default"/>
      </w:rPr>
    </w:lvl>
    <w:lvl w:ilvl="2" w:tplc="280EFD6E">
      <w:numFmt w:val="bullet"/>
      <w:lvlText w:val="•"/>
      <w:lvlJc w:val="left"/>
      <w:pPr>
        <w:ind w:left="2364" w:hanging="226"/>
      </w:pPr>
      <w:rPr>
        <w:rFonts w:hint="default"/>
      </w:rPr>
    </w:lvl>
    <w:lvl w:ilvl="3" w:tplc="F2A8AE94">
      <w:numFmt w:val="bullet"/>
      <w:lvlText w:val="•"/>
      <w:lvlJc w:val="left"/>
      <w:pPr>
        <w:ind w:left="3216" w:hanging="226"/>
      </w:pPr>
      <w:rPr>
        <w:rFonts w:hint="default"/>
      </w:rPr>
    </w:lvl>
    <w:lvl w:ilvl="4" w:tplc="EB4C6750">
      <w:numFmt w:val="bullet"/>
      <w:lvlText w:val="•"/>
      <w:lvlJc w:val="left"/>
      <w:pPr>
        <w:ind w:left="4068" w:hanging="226"/>
      </w:pPr>
      <w:rPr>
        <w:rFonts w:hint="default"/>
      </w:rPr>
    </w:lvl>
    <w:lvl w:ilvl="5" w:tplc="CA522184">
      <w:numFmt w:val="bullet"/>
      <w:lvlText w:val="•"/>
      <w:lvlJc w:val="left"/>
      <w:pPr>
        <w:ind w:left="4920" w:hanging="226"/>
      </w:pPr>
      <w:rPr>
        <w:rFonts w:hint="default"/>
      </w:rPr>
    </w:lvl>
    <w:lvl w:ilvl="6" w:tplc="3CBAF534">
      <w:numFmt w:val="bullet"/>
      <w:lvlText w:val="•"/>
      <w:lvlJc w:val="left"/>
      <w:pPr>
        <w:ind w:left="5772" w:hanging="226"/>
      </w:pPr>
      <w:rPr>
        <w:rFonts w:hint="default"/>
      </w:rPr>
    </w:lvl>
    <w:lvl w:ilvl="7" w:tplc="5E92837A">
      <w:numFmt w:val="bullet"/>
      <w:lvlText w:val="•"/>
      <w:lvlJc w:val="left"/>
      <w:pPr>
        <w:ind w:left="6624" w:hanging="226"/>
      </w:pPr>
      <w:rPr>
        <w:rFonts w:hint="default"/>
      </w:rPr>
    </w:lvl>
    <w:lvl w:ilvl="8" w:tplc="87729C7A">
      <w:numFmt w:val="bullet"/>
      <w:lvlText w:val="•"/>
      <w:lvlJc w:val="left"/>
      <w:pPr>
        <w:ind w:left="7476" w:hanging="226"/>
      </w:pPr>
      <w:rPr>
        <w:rFonts w:hint="default"/>
      </w:rPr>
    </w:lvl>
  </w:abstractNum>
  <w:abstractNum w:abstractNumId="48">
    <w:nsid w:val="7EB5396C"/>
    <w:multiLevelType w:val="hybridMultilevel"/>
    <w:tmpl w:val="3302386C"/>
    <w:lvl w:ilvl="0" w:tplc="05000A24">
      <w:start w:val="1"/>
      <w:numFmt w:val="lowerLetter"/>
      <w:lvlText w:val="%1."/>
      <w:lvlJc w:val="left"/>
      <w:pPr>
        <w:ind w:left="884" w:hanging="226"/>
        <w:jc w:val="left"/>
      </w:pPr>
      <w:rPr>
        <w:rFonts w:ascii="Times New Roman" w:eastAsia="Times New Roman" w:hAnsi="Times New Roman" w:cs="Times New Roman" w:hint="default"/>
        <w:spacing w:val="-2"/>
        <w:w w:val="99"/>
        <w:sz w:val="24"/>
        <w:szCs w:val="24"/>
      </w:rPr>
    </w:lvl>
    <w:lvl w:ilvl="1" w:tplc="89145028">
      <w:numFmt w:val="bullet"/>
      <w:lvlText w:val="•"/>
      <w:lvlJc w:val="left"/>
      <w:pPr>
        <w:ind w:left="1710" w:hanging="226"/>
      </w:pPr>
      <w:rPr>
        <w:rFonts w:hint="default"/>
      </w:rPr>
    </w:lvl>
    <w:lvl w:ilvl="2" w:tplc="69520696">
      <w:numFmt w:val="bullet"/>
      <w:lvlText w:val="•"/>
      <w:lvlJc w:val="left"/>
      <w:pPr>
        <w:ind w:left="2540" w:hanging="226"/>
      </w:pPr>
      <w:rPr>
        <w:rFonts w:hint="default"/>
      </w:rPr>
    </w:lvl>
    <w:lvl w:ilvl="3" w:tplc="F30009AA">
      <w:numFmt w:val="bullet"/>
      <w:lvlText w:val="•"/>
      <w:lvlJc w:val="left"/>
      <w:pPr>
        <w:ind w:left="3370" w:hanging="226"/>
      </w:pPr>
      <w:rPr>
        <w:rFonts w:hint="default"/>
      </w:rPr>
    </w:lvl>
    <w:lvl w:ilvl="4" w:tplc="4392AD60">
      <w:numFmt w:val="bullet"/>
      <w:lvlText w:val="•"/>
      <w:lvlJc w:val="left"/>
      <w:pPr>
        <w:ind w:left="4200" w:hanging="226"/>
      </w:pPr>
      <w:rPr>
        <w:rFonts w:hint="default"/>
      </w:rPr>
    </w:lvl>
    <w:lvl w:ilvl="5" w:tplc="C19059D2">
      <w:numFmt w:val="bullet"/>
      <w:lvlText w:val="•"/>
      <w:lvlJc w:val="left"/>
      <w:pPr>
        <w:ind w:left="5030" w:hanging="226"/>
      </w:pPr>
      <w:rPr>
        <w:rFonts w:hint="default"/>
      </w:rPr>
    </w:lvl>
    <w:lvl w:ilvl="6" w:tplc="6908B284">
      <w:numFmt w:val="bullet"/>
      <w:lvlText w:val="•"/>
      <w:lvlJc w:val="left"/>
      <w:pPr>
        <w:ind w:left="5860" w:hanging="226"/>
      </w:pPr>
      <w:rPr>
        <w:rFonts w:hint="default"/>
      </w:rPr>
    </w:lvl>
    <w:lvl w:ilvl="7" w:tplc="0F0C7CBC">
      <w:numFmt w:val="bullet"/>
      <w:lvlText w:val="•"/>
      <w:lvlJc w:val="left"/>
      <w:pPr>
        <w:ind w:left="6690" w:hanging="226"/>
      </w:pPr>
      <w:rPr>
        <w:rFonts w:hint="default"/>
      </w:rPr>
    </w:lvl>
    <w:lvl w:ilvl="8" w:tplc="C6D8C382">
      <w:numFmt w:val="bullet"/>
      <w:lvlText w:val="•"/>
      <w:lvlJc w:val="left"/>
      <w:pPr>
        <w:ind w:left="7520" w:hanging="226"/>
      </w:pPr>
      <w:rPr>
        <w:rFonts w:hint="default"/>
      </w:rPr>
    </w:lvl>
  </w:abstractNum>
  <w:num w:numId="1">
    <w:abstractNumId w:val="10"/>
  </w:num>
  <w:num w:numId="2">
    <w:abstractNumId w:val="11"/>
  </w:num>
  <w:num w:numId="3">
    <w:abstractNumId w:val="22"/>
  </w:num>
  <w:num w:numId="4">
    <w:abstractNumId w:val="23"/>
  </w:num>
  <w:num w:numId="5">
    <w:abstractNumId w:val="4"/>
  </w:num>
  <w:num w:numId="6">
    <w:abstractNumId w:val="2"/>
  </w:num>
  <w:num w:numId="7">
    <w:abstractNumId w:val="33"/>
  </w:num>
  <w:num w:numId="8">
    <w:abstractNumId w:val="45"/>
  </w:num>
  <w:num w:numId="9">
    <w:abstractNumId w:val="6"/>
  </w:num>
  <w:num w:numId="10">
    <w:abstractNumId w:val="12"/>
  </w:num>
  <w:num w:numId="11">
    <w:abstractNumId w:val="16"/>
  </w:num>
  <w:num w:numId="12">
    <w:abstractNumId w:val="40"/>
  </w:num>
  <w:num w:numId="13">
    <w:abstractNumId w:val="1"/>
  </w:num>
  <w:num w:numId="14">
    <w:abstractNumId w:val="19"/>
  </w:num>
  <w:num w:numId="15">
    <w:abstractNumId w:val="25"/>
  </w:num>
  <w:num w:numId="16">
    <w:abstractNumId w:val="34"/>
  </w:num>
  <w:num w:numId="17">
    <w:abstractNumId w:val="48"/>
  </w:num>
  <w:num w:numId="18">
    <w:abstractNumId w:val="47"/>
  </w:num>
  <w:num w:numId="19">
    <w:abstractNumId w:val="13"/>
  </w:num>
  <w:num w:numId="20">
    <w:abstractNumId w:val="41"/>
  </w:num>
  <w:num w:numId="21">
    <w:abstractNumId w:val="7"/>
  </w:num>
  <w:num w:numId="22">
    <w:abstractNumId w:val="20"/>
  </w:num>
  <w:num w:numId="23">
    <w:abstractNumId w:val="5"/>
  </w:num>
  <w:num w:numId="24">
    <w:abstractNumId w:val="36"/>
  </w:num>
  <w:num w:numId="25">
    <w:abstractNumId w:val="29"/>
  </w:num>
  <w:num w:numId="26">
    <w:abstractNumId w:val="35"/>
  </w:num>
  <w:num w:numId="27">
    <w:abstractNumId w:val="46"/>
  </w:num>
  <w:num w:numId="28">
    <w:abstractNumId w:val="28"/>
  </w:num>
  <w:num w:numId="29">
    <w:abstractNumId w:val="37"/>
  </w:num>
  <w:num w:numId="30">
    <w:abstractNumId w:val="0"/>
  </w:num>
  <w:num w:numId="31">
    <w:abstractNumId w:val="18"/>
  </w:num>
  <w:num w:numId="32">
    <w:abstractNumId w:val="38"/>
  </w:num>
  <w:num w:numId="33">
    <w:abstractNumId w:val="15"/>
  </w:num>
  <w:num w:numId="34">
    <w:abstractNumId w:val="26"/>
  </w:num>
  <w:num w:numId="35">
    <w:abstractNumId w:val="44"/>
  </w:num>
  <w:num w:numId="36">
    <w:abstractNumId w:val="31"/>
  </w:num>
  <w:num w:numId="37">
    <w:abstractNumId w:val="32"/>
  </w:num>
  <w:num w:numId="38">
    <w:abstractNumId w:val="24"/>
  </w:num>
  <w:num w:numId="39">
    <w:abstractNumId w:val="21"/>
  </w:num>
  <w:num w:numId="40">
    <w:abstractNumId w:val="27"/>
  </w:num>
  <w:num w:numId="41">
    <w:abstractNumId w:val="14"/>
  </w:num>
  <w:num w:numId="42">
    <w:abstractNumId w:val="39"/>
  </w:num>
  <w:num w:numId="43">
    <w:abstractNumId w:val="17"/>
  </w:num>
  <w:num w:numId="44">
    <w:abstractNumId w:val="30"/>
  </w:num>
  <w:num w:numId="45">
    <w:abstractNumId w:val="8"/>
  </w:num>
  <w:num w:numId="46">
    <w:abstractNumId w:val="9"/>
  </w:num>
  <w:num w:numId="47">
    <w:abstractNumId w:val="43"/>
  </w:num>
  <w:num w:numId="48">
    <w:abstractNumId w:val="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3177F"/>
    <w:rsid w:val="00110135"/>
    <w:rsid w:val="001368A4"/>
    <w:rsid w:val="001505A6"/>
    <w:rsid w:val="00181A9C"/>
    <w:rsid w:val="001A6906"/>
    <w:rsid w:val="001C066E"/>
    <w:rsid w:val="00296818"/>
    <w:rsid w:val="002D6D7F"/>
    <w:rsid w:val="00301F2B"/>
    <w:rsid w:val="0035743A"/>
    <w:rsid w:val="0039795E"/>
    <w:rsid w:val="003A6681"/>
    <w:rsid w:val="003B47FA"/>
    <w:rsid w:val="003D457D"/>
    <w:rsid w:val="003E634B"/>
    <w:rsid w:val="00441882"/>
    <w:rsid w:val="00452DE5"/>
    <w:rsid w:val="004661EC"/>
    <w:rsid w:val="004D11F1"/>
    <w:rsid w:val="004D4913"/>
    <w:rsid w:val="004E1E81"/>
    <w:rsid w:val="005066F9"/>
    <w:rsid w:val="00526025"/>
    <w:rsid w:val="00536885"/>
    <w:rsid w:val="00556CE2"/>
    <w:rsid w:val="00572996"/>
    <w:rsid w:val="005F45DC"/>
    <w:rsid w:val="006259EA"/>
    <w:rsid w:val="006E73E4"/>
    <w:rsid w:val="0070499B"/>
    <w:rsid w:val="00720031"/>
    <w:rsid w:val="00750CF3"/>
    <w:rsid w:val="007936A5"/>
    <w:rsid w:val="007A5996"/>
    <w:rsid w:val="007C6BF8"/>
    <w:rsid w:val="007D25DB"/>
    <w:rsid w:val="007D2D2C"/>
    <w:rsid w:val="007D70AE"/>
    <w:rsid w:val="007F593A"/>
    <w:rsid w:val="0089671D"/>
    <w:rsid w:val="008C4866"/>
    <w:rsid w:val="009441E3"/>
    <w:rsid w:val="00967E18"/>
    <w:rsid w:val="009725F2"/>
    <w:rsid w:val="009978E7"/>
    <w:rsid w:val="009E0FA0"/>
    <w:rsid w:val="009E3F2C"/>
    <w:rsid w:val="00A507BB"/>
    <w:rsid w:val="00A85E2C"/>
    <w:rsid w:val="00AE3749"/>
    <w:rsid w:val="00BD7D70"/>
    <w:rsid w:val="00C23262"/>
    <w:rsid w:val="00C36C1B"/>
    <w:rsid w:val="00C7427A"/>
    <w:rsid w:val="00C97ACB"/>
    <w:rsid w:val="00CA6556"/>
    <w:rsid w:val="00CF4B2A"/>
    <w:rsid w:val="00D14D1A"/>
    <w:rsid w:val="00D163D9"/>
    <w:rsid w:val="00D47CE6"/>
    <w:rsid w:val="00D47D1A"/>
    <w:rsid w:val="00D90D3C"/>
    <w:rsid w:val="00DB701D"/>
    <w:rsid w:val="00DE24A8"/>
    <w:rsid w:val="00DE6B88"/>
    <w:rsid w:val="00E80ACC"/>
    <w:rsid w:val="00E83FC7"/>
    <w:rsid w:val="00EF11E5"/>
    <w:rsid w:val="00F3177F"/>
    <w:rsid w:val="00F42C93"/>
    <w:rsid w:val="00F6132D"/>
    <w:rsid w:val="00FC03F6"/>
    <w:rsid w:val="00FE1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34F04FDE-12AA-4554-95F8-27F07CDB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38"/>
      <w:ind w:left="584" w:right="65"/>
      <w:outlineLvl w:val="0"/>
    </w:pPr>
    <w:rPr>
      <w:b/>
      <w:bCs/>
      <w:sz w:val="28"/>
      <w:szCs w:val="28"/>
    </w:rPr>
  </w:style>
  <w:style w:type="paragraph" w:styleId="Heading2">
    <w:name w:val="heading 2"/>
    <w:basedOn w:val="Normal"/>
    <w:uiPriority w:val="1"/>
    <w:qFormat/>
    <w:pPr>
      <w:ind w:left="1064" w:hanging="48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584" w:right="65"/>
    </w:pPr>
    <w:rPr>
      <w:sz w:val="24"/>
      <w:szCs w:val="24"/>
    </w:rPr>
  </w:style>
  <w:style w:type="paragraph" w:styleId="TOC2">
    <w:name w:val="toc 2"/>
    <w:basedOn w:val="Normal"/>
    <w:uiPriority w:val="1"/>
    <w:qFormat/>
    <w:pPr>
      <w:spacing w:before="43"/>
      <w:ind w:left="1966" w:hanging="482"/>
    </w:pPr>
    <w:rPr>
      <w:sz w:val="24"/>
      <w:szCs w:val="24"/>
    </w:rPr>
  </w:style>
  <w:style w:type="paragraph" w:styleId="TOC3">
    <w:name w:val="toc 3"/>
    <w:basedOn w:val="Normal"/>
    <w:uiPriority w:val="1"/>
    <w:qFormat/>
    <w:pPr>
      <w:spacing w:before="41"/>
      <w:ind w:left="1995" w:hanging="480"/>
    </w:pPr>
    <w:rPr>
      <w:sz w:val="24"/>
      <w:szCs w:val="24"/>
    </w:rPr>
  </w:style>
  <w:style w:type="paragraph" w:styleId="TOC4">
    <w:name w:val="toc 4"/>
    <w:basedOn w:val="Normal"/>
    <w:uiPriority w:val="1"/>
    <w:qFormat/>
    <w:pPr>
      <w:spacing w:before="41"/>
      <w:ind w:left="2144" w:hanging="480"/>
    </w:pPr>
    <w:rPr>
      <w:sz w:val="24"/>
      <w:szCs w:val="24"/>
    </w:rPr>
  </w:style>
  <w:style w:type="paragraph" w:styleId="TOC5">
    <w:name w:val="toc 5"/>
    <w:basedOn w:val="Normal"/>
    <w:uiPriority w:val="1"/>
    <w:qFormat/>
    <w:pPr>
      <w:spacing w:before="41"/>
      <w:ind w:left="2775" w:hanging="660"/>
    </w:pPr>
    <w:rPr>
      <w:sz w:val="24"/>
      <w:szCs w:val="24"/>
    </w:rPr>
  </w:style>
  <w:style w:type="paragraph" w:styleId="TOC6">
    <w:name w:val="toc 6"/>
    <w:basedOn w:val="Normal"/>
    <w:uiPriority w:val="1"/>
    <w:qFormat/>
    <w:pPr>
      <w:spacing w:before="41"/>
      <w:ind w:left="2776" w:right="6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8"/>
      <w:ind w:left="130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671D"/>
    <w:rPr>
      <w:rFonts w:ascii="Tahoma" w:hAnsi="Tahoma" w:cs="Tahoma"/>
      <w:sz w:val="16"/>
      <w:szCs w:val="16"/>
    </w:rPr>
  </w:style>
  <w:style w:type="character" w:customStyle="1" w:styleId="BalloonTextChar">
    <w:name w:val="Balloon Text Char"/>
    <w:basedOn w:val="DefaultParagraphFont"/>
    <w:link w:val="BalloonText"/>
    <w:uiPriority w:val="99"/>
    <w:semiHidden/>
    <w:rsid w:val="008967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en.wikipedia.org/wiki/CO2_emissions" TargetMode="External"/><Relationship Id="rId117" Type="http://schemas.openxmlformats.org/officeDocument/2006/relationships/hyperlink" Target="https://www.iea.org/publications/freepublications/publication/KeyWorld_Statistics_2015.pdf" TargetMode="External"/><Relationship Id="rId21" Type="http://schemas.openxmlformats.org/officeDocument/2006/relationships/footer" Target="footer4.xml"/><Relationship Id="rId42" Type="http://schemas.openxmlformats.org/officeDocument/2006/relationships/image" Target="media/image4.jpeg"/><Relationship Id="rId47" Type="http://schemas.openxmlformats.org/officeDocument/2006/relationships/image" Target="media/image8.png"/><Relationship Id="rId63" Type="http://schemas.openxmlformats.org/officeDocument/2006/relationships/image" Target="media/image20.png"/><Relationship Id="rId68" Type="http://schemas.openxmlformats.org/officeDocument/2006/relationships/hyperlink" Target="http://www.cibse.org/content/Technical_Resources/Technical_Reports/%20TechnicalReport_%20CIBSEReporton45000DECs.pdf/" TargetMode="External"/><Relationship Id="rId84" Type="http://schemas.openxmlformats.org/officeDocument/2006/relationships/hyperlink" Target="http://www.sustainabilityexchange.ac.uk/files/energy_and_water_management_-" TargetMode="External"/><Relationship Id="rId89" Type="http://schemas.openxmlformats.org/officeDocument/2006/relationships/hyperlink" Target="http://www.electroluxgroup.com/en/electrolux-executive-takes-part-in-call-for-binding-energy-savings-target-9042/" TargetMode="External"/><Relationship Id="rId112" Type="http://schemas.openxmlformats.org/officeDocument/2006/relationships/hyperlink" Target="http://www.iea.org/w/bookshop/add.aspx?id=611" TargetMode="External"/><Relationship Id="rId133" Type="http://schemas.openxmlformats.org/officeDocument/2006/relationships/hyperlink" Target="http://www.health.state.pa.us/pdf/hpa/epi/revised_indoorair.pdf" TargetMode="External"/><Relationship Id="rId138" Type="http://schemas.openxmlformats.org/officeDocument/2006/relationships/hyperlink" Target="http://www.energy.gov.lk/sites/default/files/files/Guideline%20for%20Application" TargetMode="External"/><Relationship Id="rId154" Type="http://schemas.openxmlformats.org/officeDocument/2006/relationships/image" Target="media/image26.png"/><Relationship Id="rId16" Type="http://schemas.openxmlformats.org/officeDocument/2006/relationships/hyperlink" Target="http://iicbe.org/upload/7413C0416024.pdf" TargetMode="External"/><Relationship Id="rId107" Type="http://schemas.openxmlformats.org/officeDocument/2006/relationships/hyperlink" Target="http://www.sciencedirect.com/science/article/pii/S0959652612004416" TargetMode="External"/><Relationship Id="rId11" Type="http://schemas.openxmlformats.org/officeDocument/2006/relationships/hyperlink" Target="http://asrjetsjournal.org/index.php/American_Scientific_Journal/article/view/1631/766" TargetMode="External"/><Relationship Id="rId32" Type="http://schemas.openxmlformats.org/officeDocument/2006/relationships/hyperlink" Target="http://eur-lex.europa.eu/legal-content/EN/TXT/?qid=1399375464230&amp;amp;uri=CELEX%3A32012L0027" TargetMode="External"/><Relationship Id="rId37" Type="http://schemas.openxmlformats.org/officeDocument/2006/relationships/image" Target="media/image2.png"/><Relationship Id="rId53" Type="http://schemas.openxmlformats.org/officeDocument/2006/relationships/image" Target="media/image12.jpeg"/><Relationship Id="rId58" Type="http://schemas.openxmlformats.org/officeDocument/2006/relationships/image" Target="media/image17.png"/><Relationship Id="rId74" Type="http://schemas.openxmlformats.org/officeDocument/2006/relationships/hyperlink" Target="http://www.ingentaconnect.com/search/article%3Bjsessionid%3Dn5q5rdr8oyds.x-ic-live-02?option2=author&amp;amp;value2=V%c3%a1zquez-Brust%2c%2BDiego&amp;amp;pageSize=10&amp;amp;index=1" TargetMode="External"/><Relationship Id="rId79" Type="http://schemas.openxmlformats.org/officeDocument/2006/relationships/hyperlink" Target="http://www.surveysystem.com/%20sscalc.htm" TargetMode="External"/><Relationship Id="rId102" Type="http://schemas.openxmlformats.org/officeDocument/2006/relationships/hyperlink" Target="https://scholar.google.com/citations?view_op=view_citation&amp;amp;hl=en&amp;amp;user=kin7KpQAAAAJ&amp;amp;citation_for_view=kin7KpQAAAAJ%3AKlAtU1dfN6UC" TargetMode="External"/><Relationship Id="rId123" Type="http://schemas.openxmlformats.org/officeDocument/2006/relationships/hyperlink" Target="http://www.tandfonline.com/author/White%2C%2BEdward%2BD" TargetMode="External"/><Relationship Id="rId128" Type="http://schemas.openxmlformats.org/officeDocument/2006/relationships/hyperlink" Target="http://www.mnn.com/earth-matters/translating-uncle-sam/stories/cfl-vs-incandescent-battle-of-the-bulb" TargetMode="External"/><Relationship Id="rId144" Type="http://schemas.openxmlformats.org/officeDocument/2006/relationships/hyperlink" Target="http://apps1.eere.energy.gov/buildings/%20publications/pdfs/%20energysmartschools/" TargetMode="External"/><Relationship Id="rId149" Type="http://schemas.openxmlformats.org/officeDocument/2006/relationships/image" Target="media/image22.jpeg"/><Relationship Id="rId5" Type="http://schemas.openxmlformats.org/officeDocument/2006/relationships/footnotes" Target="footnotes.xml"/><Relationship Id="rId90" Type="http://schemas.openxmlformats.org/officeDocument/2006/relationships/hyperlink" Target="http://www.electroluxgroup.com/en/electrolux-executive-takes-part-in-call-for-binding-energy-savings-target-9042/" TargetMode="External"/><Relationship Id="rId95" Type="http://schemas.openxmlformats.org/officeDocument/2006/relationships/hyperlink" Target="http://eur-lex.europa.eu/legal-content/EN/TXT/HTML/?uri=URISERV%3A%20en0002&amp;amp;%20from=EN" TargetMode="External"/><Relationship Id="rId22" Type="http://schemas.openxmlformats.org/officeDocument/2006/relationships/footer" Target="footer5.xml"/><Relationship Id="rId27" Type="http://schemas.openxmlformats.org/officeDocument/2006/relationships/hyperlink" Target="http://en.wikipedia.org/wiki/CO2_emissions" TargetMode="External"/><Relationship Id="rId43" Type="http://schemas.openxmlformats.org/officeDocument/2006/relationships/image" Target="media/image5.jpeg"/><Relationship Id="rId48" Type="http://schemas.openxmlformats.org/officeDocument/2006/relationships/hyperlink" Target="https://en.wikipedia.org/wiki/Total_primary_energy_supply" TargetMode="External"/><Relationship Id="rId64" Type="http://schemas.openxmlformats.org/officeDocument/2006/relationships/image" Target="media/image21.png"/><Relationship Id="rId69" Type="http://schemas.openxmlformats.org/officeDocument/2006/relationships/hyperlink" Target="http://www.cibse.org/content/Technical_Resources/Technical_Reports/%20TechnicalReport_%20CIBSEReporton45000DECs.pdf/" TargetMode="External"/><Relationship Id="rId113" Type="http://schemas.openxmlformats.org/officeDocument/2006/relationships/hyperlink" Target="http://refhub.elsevier.com/S0959-6526(14)01265-7/sref30" TargetMode="External"/><Relationship Id="rId118" Type="http://schemas.openxmlformats.org/officeDocument/2006/relationships/hyperlink" Target="https://www.iea.org/publications/freepublications/publication/KeyWorld_Statistics_2015.pdf" TargetMode="External"/><Relationship Id="rId134" Type="http://schemas.openxmlformats.org/officeDocument/2006/relationships/hyperlink" Target="http://www.seai.ie/Your_Building/BER/BER_FAQ/FAQ_BER/General/What_%20Can_Be_Done_to_Improve_a_BER_.html" TargetMode="External"/><Relationship Id="rId139" Type="http://schemas.openxmlformats.org/officeDocument/2006/relationships/hyperlink" Target="https://www.unece.org/fileadmin/DAM/energy/se/pdfs/gee21/projects/cs/CS_%20Montenegro.pdf" TargetMode="External"/><Relationship Id="rId80" Type="http://schemas.openxmlformats.org/officeDocument/2006/relationships/hyperlink" Target="http://www.energykey.co.uk/epcsample.pdf" TargetMode="External"/><Relationship Id="rId85" Type="http://schemas.openxmlformats.org/officeDocument/2006/relationships/hyperlink" Target="http://www.gov.uk/government/uploads/system/uploads/attachment_data/file/4815" TargetMode="External"/><Relationship Id="rId150" Type="http://schemas.openxmlformats.org/officeDocument/2006/relationships/image" Target="media/image23.jpeg"/><Relationship Id="rId155" Type="http://schemas.openxmlformats.org/officeDocument/2006/relationships/fontTable" Target="fontTable.xml"/><Relationship Id="rId12" Type="http://schemas.openxmlformats.org/officeDocument/2006/relationships/hyperlink" Target="http://www.ijsint.org/sites/default/files/Issue%20Vol.%201%2C%20No.%2015%20March%202016.docx" TargetMode="External"/><Relationship Id="rId17" Type="http://schemas.openxmlformats.org/officeDocument/2006/relationships/hyperlink" Target="http://iaetr.org/conf-proceedingspdf.php?id=19&amp;amp;slug=www.crmt.org&amp;amp;sid=1&amp;amp;catDid=86" TargetMode="External"/><Relationship Id="rId25" Type="http://schemas.openxmlformats.org/officeDocument/2006/relationships/hyperlink" Target="https://en.wikipedia.org/wiki/IPMVP" TargetMode="External"/><Relationship Id="rId33" Type="http://schemas.openxmlformats.org/officeDocument/2006/relationships/hyperlink" Target="https://ec.europa.eu/energy/en/topics/energy-efficiency/buildings" TargetMode="External"/><Relationship Id="rId38" Type="http://schemas.openxmlformats.org/officeDocument/2006/relationships/hyperlink" Target="http://www.energykey.co.uk/epcsample.pdf" TargetMode="External"/><Relationship Id="rId46" Type="http://schemas.openxmlformats.org/officeDocument/2006/relationships/image" Target="media/image7.png"/><Relationship Id="rId59" Type="http://schemas.openxmlformats.org/officeDocument/2006/relationships/footer" Target="footer7.xml"/><Relationship Id="rId67" Type="http://schemas.openxmlformats.org/officeDocument/2006/relationships/hyperlink" Target="http://www.bluemarblecitizen.com/world-population/Kosovo" TargetMode="External"/><Relationship Id="rId103" Type="http://schemas.openxmlformats.org/officeDocument/2006/relationships/hyperlink" Target="https://scholar.google.com/citations?view_op=view_citation&amp;amp;hl=en&amp;amp;user=kin7KpQAAAAJ&amp;amp;citation_for_view=kin7KpQAAAAJ%3AKlAtU1dfN6UC" TargetMode="External"/><Relationship Id="rId108" Type="http://schemas.openxmlformats.org/officeDocument/2006/relationships/hyperlink" Target="http://www.sciencedirect.com/science/article/pii/S0959652612004416" TargetMode="External"/><Relationship Id="rId116" Type="http://schemas.openxmlformats.org/officeDocument/2006/relationships/hyperlink" Target="http://www.iea.org/publications/freepublications/publication/" TargetMode="External"/><Relationship Id="rId124" Type="http://schemas.openxmlformats.org/officeDocument/2006/relationships/hyperlink" Target="http://www.sciencedirect.com/science/journal/03787788" TargetMode="External"/><Relationship Id="rId129" Type="http://schemas.openxmlformats.org/officeDocument/2006/relationships/hyperlink" Target="https://www.nationalcollege.org.uk/transfer/open/csbm-managing-the-school-environment/csbm8env-s4/csbm8env-s4t2.html" TargetMode="External"/><Relationship Id="rId137" Type="http://schemas.openxmlformats.org/officeDocument/2006/relationships/hyperlink" Target="http://www.seai.ie/Your_Business/Public_Sector/Reporting/AnnualReport/%20Energy_%20Consumption_Calculation_Tool.xl" TargetMode="External"/><Relationship Id="rId20" Type="http://schemas.openxmlformats.org/officeDocument/2006/relationships/hyperlink" Target="http://dspace.epoka.edu.al/handle/1/1312?show=full" TargetMode="External"/><Relationship Id="rId41" Type="http://schemas.openxmlformats.org/officeDocument/2006/relationships/hyperlink" Target="https://en.wikipedia.org/wiki/Performance_indicator"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hyperlink" Target="http://www.ingentaconnect.com/search?option2=author&amp;amp;value2=Burgos-Jim%C3%A9nez%2C%20Jer%C3%B3nimo%20de" TargetMode="External"/><Relationship Id="rId75" Type="http://schemas.openxmlformats.org/officeDocument/2006/relationships/hyperlink" Target="http://www.ingentaconnect.com/search/article%3Bjsessionid%3Dn5q5rdr8oyds.x-ic-live-02?option2=author&amp;amp;value2=V%c3%a1zquez-Brust%2c%2BDiego&amp;amp;pageSize=10&amp;amp;index=1" TargetMode="External"/><Relationship Id="rId83" Type="http://schemas.openxmlformats.org/officeDocument/2006/relationships/hyperlink" Target="http://www.gov.uk/government/uploads/system/uploads/attachment_data/file/4007" TargetMode="External"/><Relationship Id="rId88" Type="http://schemas.openxmlformats.org/officeDocument/2006/relationships/hyperlink" Target="http://www.ncsl.org/research/energy/state-energy-savings-performance-" TargetMode="External"/><Relationship Id="rId91" Type="http://schemas.openxmlformats.org/officeDocument/2006/relationships/hyperlink" Target="http://www.evo-world.org/index.php?lang=en" TargetMode="External"/><Relationship Id="rId96" Type="http://schemas.openxmlformats.org/officeDocument/2006/relationships/hyperlink" Target="http://eur-lex.europa.eu/legal-content/EN/TXT/HTML/?uri=URISERV%3A%20en0002&amp;amp;%20from=EN" TargetMode="External"/><Relationship Id="rId111" Type="http://schemas.openxmlformats.org/officeDocument/2006/relationships/hyperlink" Target="http://www.iea.org/publications/freepublications/publication/buildings_certificatio" TargetMode="External"/><Relationship Id="rId132" Type="http://schemas.openxmlformats.org/officeDocument/2006/relationships/hyperlink" Target="http://eur-lex.europa.eu/legal-content/EN/TXT/PDF/?uri" TargetMode="External"/><Relationship Id="rId140" Type="http://schemas.openxmlformats.org/officeDocument/2006/relationships/hyperlink" Target="https://www.unece.org/fileadmin/DAM/energy/se/pdfs/gee21/projects/cs/CS_%20Montenegro.pdf" TargetMode="External"/><Relationship Id="rId145" Type="http://schemas.openxmlformats.org/officeDocument/2006/relationships/hyperlink" Target="http://www.energystar.gov/ia/products/downloads/CFL_PRG.pdf" TargetMode="External"/><Relationship Id="rId153"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icbe.org/upload/7413C0416024.pdf" TargetMode="External"/><Relationship Id="rId23" Type="http://schemas.openxmlformats.org/officeDocument/2006/relationships/footer" Target="footer6.xml"/><Relationship Id="rId28" Type="http://schemas.openxmlformats.org/officeDocument/2006/relationships/hyperlink" Target="https://en.wikipedia.org/wiki/Smart_meter" TargetMode="External"/><Relationship Id="rId36" Type="http://schemas.openxmlformats.org/officeDocument/2006/relationships/image" Target="media/image1.jpeg"/><Relationship Id="rId49" Type="http://schemas.openxmlformats.org/officeDocument/2006/relationships/hyperlink" Target="https://en.wikipedia.org/wiki/Total_primary_energy_supply" TargetMode="External"/><Relationship Id="rId57" Type="http://schemas.openxmlformats.org/officeDocument/2006/relationships/image" Target="media/image16.jpeg"/><Relationship Id="rId106" Type="http://schemas.openxmlformats.org/officeDocument/2006/relationships/hyperlink" Target="https://www.gov.uk/buy-sell-your-home/energy-performance-certificates" TargetMode="External"/><Relationship Id="rId114" Type="http://schemas.openxmlformats.org/officeDocument/2006/relationships/hyperlink" Target="http://refhub.elsevier.com/S0959-6526(14)01265-7/sref30" TargetMode="External"/><Relationship Id="rId119" Type="http://schemas.openxmlformats.org/officeDocument/2006/relationships/hyperlink" Target="http://www.wseas.us/e-library/conferences/2013/CambridgeUSA/ENVMECH/" TargetMode="External"/><Relationship Id="rId127" Type="http://schemas.openxmlformats.org/officeDocument/2006/relationships/hyperlink" Target="http://www.mnn.com/earth-matters/translating-uncle-sam/stories/cfl-vs-incandescent-battle-of-the-bulb" TargetMode="External"/><Relationship Id="rId10" Type="http://schemas.openxmlformats.org/officeDocument/2006/relationships/hyperlink" Target="https://en.wikipedia.org/wiki/Total_primary_energy_supply" TargetMode="External"/><Relationship Id="rId31" Type="http://schemas.openxmlformats.org/officeDocument/2006/relationships/hyperlink" Target="https://ec.europa.eu/energy/en/topics/energy-efficiency/buildings" TargetMode="External"/><Relationship Id="rId44" Type="http://schemas.openxmlformats.org/officeDocument/2006/relationships/image" Target="media/image6.jpeg"/><Relationship Id="rId52" Type="http://schemas.openxmlformats.org/officeDocument/2006/relationships/image" Target="media/image11.jpeg"/><Relationship Id="rId60" Type="http://schemas.openxmlformats.org/officeDocument/2006/relationships/footer" Target="footer8.xml"/><Relationship Id="rId65" Type="http://schemas.openxmlformats.org/officeDocument/2006/relationships/hyperlink" Target="http://www.ashrae.org/aedg" TargetMode="External"/><Relationship Id="rId73" Type="http://schemas.openxmlformats.org/officeDocument/2006/relationships/hyperlink" Target="http://www.ingentaconnect.com/search?option2=author&amp;amp;value2=Dijkshoorn%2C%20Jeroen" TargetMode="External"/><Relationship Id="rId78" Type="http://schemas.openxmlformats.org/officeDocument/2006/relationships/hyperlink" Target="http://www.courtfrm.bham.sch.uk/parents/policies" TargetMode="External"/><Relationship Id="rId81" Type="http://schemas.openxmlformats.org/officeDocument/2006/relationships/hyperlink" Target="http://www.se-2.co.uk/files/se2/uploads/Carbon%25" TargetMode="External"/><Relationship Id="rId86" Type="http://schemas.openxmlformats.org/officeDocument/2006/relationships/hyperlink" Target="http://www.epcmortgage.org.uk/assets/uploads/documents/20130613_-" TargetMode="External"/><Relationship Id="rId94" Type="http://schemas.openxmlformats.org/officeDocument/2006/relationships/hyperlink" Target="http://www.eesi.org/papers/view/fact-sheet-building-energy-" TargetMode="External"/><Relationship Id="rId99" Type="http://schemas.openxmlformats.org/officeDocument/2006/relationships/hyperlink" Target="http://www.cres.gr/greenbuilding/PDF/prend/set4/WI_25_Pre-" TargetMode="External"/><Relationship Id="rId101" Type="http://schemas.openxmlformats.org/officeDocument/2006/relationships/hyperlink" Target="http://www.emeraldinsight.com/journals.htm?articleid=1696939&amp;amp;show=abstract" TargetMode="External"/><Relationship Id="rId122" Type="http://schemas.openxmlformats.org/officeDocument/2006/relationships/hyperlink" Target="http://www.tandfonline.com/author/Unger%2C%2BEric%2BJ" TargetMode="External"/><Relationship Id="rId130" Type="http://schemas.openxmlformats.org/officeDocument/2006/relationships/hyperlink" Target="https://www.nationalcollege.org.uk/transfer/open/csbm-managing-the-school-environment/csbm8env-s4/csbm8env-s4t2.html" TargetMode="External"/><Relationship Id="rId135" Type="http://schemas.openxmlformats.org/officeDocument/2006/relationships/hyperlink" Target="http://www.seai.ie/Your_Building/BER/BER_FAQ/FAQ_BER/General/What_%20Can_Be_Done_to_Improve_a_BER_.html" TargetMode="External"/><Relationship Id="rId143" Type="http://schemas.openxmlformats.org/officeDocument/2006/relationships/hyperlink" Target="http://apps1.eere.energy.gov/buildings/%20publications/pdfs/%20energysmartschools/" TargetMode="External"/><Relationship Id="rId148" Type="http://schemas.openxmlformats.org/officeDocument/2006/relationships/hyperlink" Target="http://greenillusions.org/" TargetMode="External"/><Relationship Id="rId151" Type="http://schemas.openxmlformats.org/officeDocument/2006/relationships/footer" Target="footer9.xm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www.ijsint.org/sites/default/files/Issue%20Vol.%201%2C%20No.%2015%20March%202016.docx" TargetMode="External"/><Relationship Id="rId18" Type="http://schemas.openxmlformats.org/officeDocument/2006/relationships/hyperlink" Target="http://iaetr.org/conf-proceedingspdf.php?id=19&amp;amp;slug=www.crmt.org&amp;amp;sid=1&amp;amp;catDid=86" TargetMode="External"/><Relationship Id="rId39" Type="http://schemas.openxmlformats.org/officeDocument/2006/relationships/image" Target="media/image3.jpeg"/><Relationship Id="rId109" Type="http://schemas.openxmlformats.org/officeDocument/2006/relationships/hyperlink" Target="http://www.sciencedirect.com/science/article/pii/S0959652612004416" TargetMode="External"/><Relationship Id="rId34" Type="http://schemas.openxmlformats.org/officeDocument/2006/relationships/hyperlink" Target="http://www.sciencedirect.com/science/article/pii/S0301421514004054"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hyperlink" Target="http://www.ingentaconnect.com/content/mcb/024" TargetMode="External"/><Relationship Id="rId97" Type="http://schemas.openxmlformats.org/officeDocument/2006/relationships/hyperlink" Target="https://ec.europa.eu/energy/en/topics/energy-efficiency/buildings" TargetMode="External"/><Relationship Id="rId104" Type="http://schemas.openxmlformats.org/officeDocument/2006/relationships/hyperlink" Target="https://scholar.google.com/citations?view_op=view_citation&amp;amp;hl=en&amp;amp;user=kin7KpQAAAAJ&amp;amp;citation_for_view=kin7KpQAAAAJ%3AKlAtU1dfN6UC" TargetMode="External"/><Relationship Id="rId120" Type="http://schemas.openxmlformats.org/officeDocument/2006/relationships/hyperlink" Target="http://www.tandfonline.com/author/Lee%2C%2BSang%2BM" TargetMode="External"/><Relationship Id="rId125" Type="http://schemas.openxmlformats.org/officeDocument/2006/relationships/hyperlink" Target="http://www.mnn.com/earth-matters/translating-uncle-sam/stories/cfl-vs-incandescent-battle-of-the-bulb" TargetMode="External"/><Relationship Id="rId141" Type="http://schemas.openxmlformats.org/officeDocument/2006/relationships/hyperlink" Target="http://www.nrel.gov/docs/fy02osti/31505.pdf" TargetMode="External"/><Relationship Id="rId146" Type="http://schemas.openxmlformats.org/officeDocument/2006/relationships/hyperlink" Target="http://www.bluemarblecitizen.com/world-population/Kosovo" TargetMode="External"/><Relationship Id="rId7" Type="http://schemas.openxmlformats.org/officeDocument/2006/relationships/footer" Target="footer1.xml"/><Relationship Id="rId71" Type="http://schemas.openxmlformats.org/officeDocument/2006/relationships/hyperlink" Target="http://www.ingentaconnect.com/search?option2=author&amp;amp;value2=Burgos-Jim%C3%A9nez%2C%20Jer%C3%B3nimo%20de" TargetMode="External"/><Relationship Id="rId92" Type="http://schemas.openxmlformats.org/officeDocument/2006/relationships/hyperlink" Target="http://www.cibse.org/getmedia/082e52c7-b87a-404d-" TargetMode="External"/><Relationship Id="rId2" Type="http://schemas.openxmlformats.org/officeDocument/2006/relationships/styles" Target="styles.xml"/><Relationship Id="rId29" Type="http://schemas.openxmlformats.org/officeDocument/2006/relationships/hyperlink" Target="https://en.wikipedia.org/wiki/Green_Building_XML" TargetMode="External"/><Relationship Id="rId24" Type="http://schemas.openxmlformats.org/officeDocument/2006/relationships/hyperlink" Target="https://en.wikipedia.org/wiki/IPMVP" TargetMode="External"/><Relationship Id="rId40" Type="http://schemas.openxmlformats.org/officeDocument/2006/relationships/hyperlink" Target="http://www.energykey.co.uk/epcsample.pdf" TargetMode="External"/><Relationship Id="rId45" Type="http://schemas.openxmlformats.org/officeDocument/2006/relationships/hyperlink" Target="http://www.sciencedirect.com/science/article/pii/S0959652612004416" TargetMode="External"/><Relationship Id="rId66" Type="http://schemas.openxmlformats.org/officeDocument/2006/relationships/hyperlink" Target="http://inspirefp7.eu/wp-" TargetMode="External"/><Relationship Id="rId87" Type="http://schemas.openxmlformats.org/officeDocument/2006/relationships/hyperlink" Target="https://www.gov.uk/2050-pathways-analysis" TargetMode="External"/><Relationship Id="rId110" Type="http://schemas.openxmlformats.org/officeDocument/2006/relationships/hyperlink" Target="http://www.sciencedirect.com/science/journal/09596526" TargetMode="External"/><Relationship Id="rId115" Type="http://schemas.openxmlformats.org/officeDocument/2006/relationships/hyperlink" Target="http://www.iea.org/publications/freepublications/publication/TechnologyRoadmap" TargetMode="External"/><Relationship Id="rId131" Type="http://schemas.openxmlformats.org/officeDocument/2006/relationships/hyperlink" Target="http://regulations.completepicture.co.uk/pdf/EnergyConservation/" TargetMode="External"/><Relationship Id="rId136" Type="http://schemas.openxmlformats.org/officeDocument/2006/relationships/hyperlink" Target="http://www.seai.ie/Your_Business/Public_Sector/Reporting/AnnualReport/%20Energy_%20Consumption_Calculation_Tool.xl" TargetMode="External"/><Relationship Id="rId61" Type="http://schemas.openxmlformats.org/officeDocument/2006/relationships/image" Target="media/image18.png"/><Relationship Id="rId82" Type="http://schemas.openxmlformats.org/officeDocument/2006/relationships/hyperlink" Target="http://www.tjlassociates.co.uk/services/DEC_Guidance" TargetMode="External"/><Relationship Id="rId152" Type="http://schemas.openxmlformats.org/officeDocument/2006/relationships/image" Target="media/image24.png"/><Relationship Id="rId19" Type="http://schemas.openxmlformats.org/officeDocument/2006/relationships/hyperlink" Target="http://icell.beder.edu.al/docs/1st_ICELL.pdf" TargetMode="External"/><Relationship Id="rId14" Type="http://schemas.openxmlformats.org/officeDocument/2006/relationships/hyperlink" Target="http://www.mcser.org/journal/index.php/jesr/article/viewFile/9163/8849" TargetMode="External"/><Relationship Id="rId30" Type="http://schemas.openxmlformats.org/officeDocument/2006/relationships/hyperlink" Target="http://eur-lex.europa.eu/legal-content/EN/ALL/%3BELX_SESSIONID%3DFZMjThLLzfxmmMCQGp2Y1s2d3TjwtD8QS3pqdkhXZbwqGwlgY9KN%212064651424?uri=CELEX%3A32010L0031" TargetMode="External"/><Relationship Id="rId35" Type="http://schemas.openxmlformats.org/officeDocument/2006/relationships/hyperlink" Target="http://www.sciencedirect.com/science/article/pii/S0301421514004054" TargetMode="External"/><Relationship Id="rId56" Type="http://schemas.openxmlformats.org/officeDocument/2006/relationships/image" Target="media/image15.jpeg"/><Relationship Id="rId77" Type="http://schemas.openxmlformats.org/officeDocument/2006/relationships/hyperlink" Target="http://calculator.carbonfootprint.com/calculator.aspx?tab=2" TargetMode="External"/><Relationship Id="rId100" Type="http://schemas.openxmlformats.org/officeDocument/2006/relationships/hyperlink" Target="http://www.cres.gr/greenbuilding/PDF/prend/set4/WI_31_Pre-FV_version_prEN_" TargetMode="External"/><Relationship Id="rId105" Type="http://schemas.openxmlformats.org/officeDocument/2006/relationships/hyperlink" Target="https://www.gov.uk/buy-sell-your-home/energy-performance-certificates" TargetMode="External"/><Relationship Id="rId126" Type="http://schemas.openxmlformats.org/officeDocument/2006/relationships/hyperlink" Target="http://www.mnn.com/earth-matters/translating-uncle-sam/stories/cfl-vs-incandescent-battle-of-the-bulb" TargetMode="External"/><Relationship Id="rId147" Type="http://schemas.openxmlformats.org/officeDocument/2006/relationships/hyperlink" Target="http://www.wiltshire.gov.uk/get-" TargetMode="External"/><Relationship Id="rId8" Type="http://schemas.openxmlformats.org/officeDocument/2006/relationships/footer" Target="footer2.xml"/><Relationship Id="rId51" Type="http://schemas.openxmlformats.org/officeDocument/2006/relationships/image" Target="media/image10.png"/><Relationship Id="rId72" Type="http://schemas.openxmlformats.org/officeDocument/2006/relationships/hyperlink" Target="http://www.ingentaconnect.com/search?option2=author&amp;amp;value2=Plaza-%C3%9Abeda%2C%20Jos%C3%A9%20A" TargetMode="External"/><Relationship Id="rId93" Type="http://schemas.openxmlformats.org/officeDocument/2006/relationships/hyperlink" Target="https://www.energystar.gov/sites/default/files/buildings/tools/Guidelines%25" TargetMode="External"/><Relationship Id="rId98" Type="http://schemas.openxmlformats.org/officeDocument/2006/relationships/hyperlink" Target="http://www.consilium.europa.eu/ueDocs/cms_Data/docs/pressData/en/ec/93135.pdf" TargetMode="External"/><Relationship Id="rId121" Type="http://schemas.openxmlformats.org/officeDocument/2006/relationships/hyperlink" Target="http://www.tandfonline.com/author/Thal%2C%2BAlfred%2BE" TargetMode="External"/><Relationship Id="rId142" Type="http://schemas.openxmlformats.org/officeDocument/2006/relationships/hyperlink" Target="file://localhost/C:/Users/ibr/Downloads/2015MacedoniaImpac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204</Pages>
  <Words>48491</Words>
  <Characters>276405</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klienti 07</cp:lastModifiedBy>
  <cp:revision>19</cp:revision>
  <dcterms:created xsi:type="dcterms:W3CDTF">2017-07-12T23:57:00Z</dcterms:created>
  <dcterms:modified xsi:type="dcterms:W3CDTF">2017-07-13T11:17:00Z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2017-07-12T00:00:00Z</vt:filetime>
  </property>
</Properties>
</file>